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Montserrat" w:cs="Montserrat" w:eastAsia="Montserrat" w:hAnsi="Montserrat"/>
          <w:b/>
          <w:bCs/>
          <w:color w:val="18625F"/>
          <w:sz w:val="36"/>
          <w:szCs w:val="36"/>
        </w:rPr>
        <w:t xml:space="preserve">AFA ENERGY ROMANIA</w:t>
      </w:r>
    </w:p>
    <w:p>
      <w:pPr>
        <w:spacing w:after="40"/>
      </w:pPr>
      <w:r>
        <w:rPr>
          <w:rFonts w:ascii="Montserrat" w:cs="Montserrat" w:eastAsia="Montserrat" w:hAnsi="Montserrat"/>
          <w:b/>
          <w:bCs/>
          <w:color w:val="28AFB0"/>
          <w:sz w:val="28"/>
          <w:szCs w:val="28"/>
        </w:rPr>
        <w:t xml:space="preserve">PASİF KÖPRÜ TERMİNOLOJİ REHBERİ</w:t>
      </w:r>
    </w:p>
    <w:p>
      <w:pPr>
        <w:spacing w:after="20"/>
      </w:pPr>
      <w:r>
        <w:rPr>
          <w:color w:val="4A5568"/>
          <w:sz w:val="20"/>
          <w:szCs w:val="20"/>
        </w:rPr>
        <w:t xml:space="preserve">Versiyon: v1.0 — Bağlayıcı Terminoloji Standardı</w:t>
      </w:r>
    </w:p>
    <w:p>
      <w:pPr>
        <w:spacing w:after="20"/>
      </w:pPr>
      <w:r>
        <w:rPr>
          <w:color w:val="4A5568"/>
          <w:sz w:val="20"/>
          <w:szCs w:val="20"/>
        </w:rPr>
        <w:t xml:space="preserve">Tarih: Mart 2026</w:t>
      </w:r>
    </w:p>
    <w:p>
      <w:pPr>
        <w:spacing w:after="20"/>
      </w:pPr>
      <w:r>
        <w:rPr>
          <w:color w:val="4A5568"/>
          <w:sz w:val="20"/>
          <w:szCs w:val="20"/>
        </w:rPr>
        <w:t xml:space="preserve">Onay: Bülent Çebin — AFA Energy Romania</w:t>
      </w:r>
    </w:p>
    <w:p>
      <w:pPr>
        <w:pBdr>
          <w:bottom w:val="single" w:color="28AFB0" w:sz="6" w:space="8"/>
        </w:pBdr>
        <w:spacing w:after="300"/>
      </w:pPr>
    </w:p>
    <w:p>
      <w:pPr>
        <w:pStyle w:val="Heading1"/>
      </w:pPr>
      <w:r>
        <w:t xml:space="preserve">1. Amaç ve Stratejik Çerçeve</w:t>
      </w:r>
    </w:p>
    <w:p>
      <w:pPr>
        <w:spacing w:after="120"/>
      </w:pPr>
      <w:r>
        <w:t xml:space="preserve">Bu rehber, AFA Energy Romania’nın “pasif köprü” iletişim stratejisinin terminoloji standardını tanımlar. Tüm web sayfaları, formlar, SSS içerikleri, sunumlar ve dış iletişimde bağlayıcıdır.</w:t>
      </w:r>
    </w:p>
    <w:p>
      <w:pPr>
        <w:pStyle w:val="Heading2"/>
      </w:pPr>
      <w:r>
        <w:t xml:space="preserve">1.1 Pasif Köprü Nedir?</w:t>
      </w:r>
    </w:p>
    <w:p>
      <w:pPr>
        <w:spacing w:after="120"/>
      </w:pPr>
      <w:r>
        <w:t xml:space="preserve">AFA, geliştirici projelerini yatırımcı tarafıyla buluşturma fonksiyonunu taşır. Ancak bu fonksiyon doğrudan “aracılık” olarak konumlandırılmaz. Bunun yerine: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AFA’nın birincil rolü “teknik doğrulama” olarak çerçevelenir.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Projeler, AFA’nın teknik değerlendirme süreci sonucunda “yatırımcı tarafında görünür hale gelir” — AFA “sunmaz”, “iletmez”, “aracılık yapmaz”.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Bu dil stratejisi, AFA’nın bağımsızlık konumlanmasını, regülasyon uyumunu ve hukuki güvenliğini korur.</w:t>
      </w:r>
    </w:p>
    <w:p>
      <w:pPr>
        <w:pStyle w:val="Heading2"/>
      </w:pPr>
      <w:r>
        <w:t xml:space="preserve">1.2 Neden Önemli?</w:t>
      </w:r>
    </w:p>
    <w:p>
      <w:pPr>
        <w:spacing w:after="120"/>
      </w:pPr>
      <w:r>
        <w:t xml:space="preserve">Aktif aracılık dili kullanıldığında aşağıdaki riskler doğar: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Bağımsızlık algısı zedelenir — yatırımcı tarafı AFA’yı “tarafsız teknik filtre” yerine “satış kanalı” olarak algılar.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Regülasyon riski oluşur — “brokerlik” veya “financial intermediation” ima eden dil, lisans gereksinimleri tetikleyebilir.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Çıkar çatışması şüphesi doğar — AFA’nın “yatırımcı tarafında” konumlanması sorgulanır.</w:t>
      </w:r>
    </w:p>
    <w:p>
      <w:r>
        <w:br w:type="page"/>
      </w:r>
    </w:p>
    <w:p>
      <w:pPr>
        <w:pStyle w:val="Heading1"/>
      </w:pPr>
      <w:r>
        <w:t xml:space="preserve">2. Kullanılacak İfadeler (Onaylı Terminoloji)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862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İfade</w:t>
            </w:r>
          </w:p>
        </w:tc>
        <w:tc>
          <w:tcPr>
            <w:tcW w:type="dxa" w:w="18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862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Bağlam</w:t>
            </w:r>
          </w:p>
        </w:tc>
        <w:tc>
          <w:tcPr>
            <w:tcW w:type="dxa" w:w="41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862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Örnek Cümle</w:t>
            </w:r>
          </w:p>
        </w:tc>
      </w:tr>
      <w:tr>
        <w:tc>
          <w:tcPr>
            <w:tcW w:type="dxa" w:w="2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teknik doğrulama</w:t>
            </w:r>
          </w:p>
        </w:tc>
        <w:tc>
          <w:tcPr>
            <w:tcW w:type="dxa" w:w="18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AFA’nın temel fonksiyonu</w:t>
            </w:r>
          </w:p>
        </w:tc>
        <w:tc>
          <w:tcPr>
            <w:tcW w:type="dxa" w:w="41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AFA, bağımsız teknik doğrulama disiplini ile çalışır.</w:t>
            </w:r>
          </w:p>
        </w:tc>
      </w:tr>
      <w:tr>
        <w:tc>
          <w:tcPr>
            <w:tcW w:type="dxa" w:w="2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0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doğru projeyi doğru yatırımcıyla buluşturmak</w:t>
            </w:r>
          </w:p>
        </w:tc>
        <w:tc>
          <w:tcPr>
            <w:tcW w:type="dxa" w:w="18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0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Genel misyon</w:t>
            </w:r>
          </w:p>
        </w:tc>
        <w:tc>
          <w:tcPr>
            <w:tcW w:type="dxa" w:w="41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0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AFA, teknik gerçekliği netleştirerek doğru projeyi doğru yatırımcıyla buluşturur.</w:t>
            </w:r>
          </w:p>
        </w:tc>
      </w:tr>
      <w:tr>
        <w:tc>
          <w:tcPr>
            <w:tcW w:type="dxa" w:w="2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yatırımcı tarafında görünür hale gelir</w:t>
            </w:r>
          </w:p>
        </w:tc>
        <w:tc>
          <w:tcPr>
            <w:tcW w:type="dxa" w:w="18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Değerlendirme sonucu</w:t>
            </w:r>
          </w:p>
        </w:tc>
        <w:tc>
          <w:tcPr>
            <w:tcW w:type="dxa" w:w="41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İlerlenebilir statüsü alan projeler, yatırımcı tarafında görünür hale gelir.</w:t>
            </w:r>
          </w:p>
        </w:tc>
      </w:tr>
      <w:tr>
        <w:tc>
          <w:tcPr>
            <w:tcW w:type="dxa" w:w="2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0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bağımsız değerlendirme</w:t>
            </w:r>
          </w:p>
        </w:tc>
        <w:tc>
          <w:tcPr>
            <w:tcW w:type="dxa" w:w="18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0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Hizmet tanımı</w:t>
            </w:r>
          </w:p>
        </w:tc>
        <w:tc>
          <w:tcPr>
            <w:tcW w:type="dxa" w:w="41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0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AFA’nın bağımsız değerlendirmesi, projeye güvenilirlik kazandırır.</w:t>
            </w:r>
          </w:p>
        </w:tc>
      </w:tr>
      <w:tr>
        <w:tc>
          <w:tcPr>
            <w:tcW w:type="dxa" w:w="2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filtrelenmiş proje akışı</w:t>
            </w:r>
          </w:p>
        </w:tc>
        <w:tc>
          <w:tcPr>
            <w:tcW w:type="dxa" w:w="18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Yatırımcıya sunulan değer</w:t>
            </w:r>
          </w:p>
        </w:tc>
        <w:tc>
          <w:tcPr>
            <w:tcW w:type="dxa" w:w="41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ATR Matrix™ metodolojisinden geçmiş, filtrelenmiş proje akışına erişin.</w:t>
            </w:r>
          </w:p>
        </w:tc>
      </w:tr>
      <w:tr>
        <w:tc>
          <w:tcPr>
            <w:tcW w:type="dxa" w:w="2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0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profil eşleştirmesi</w:t>
            </w:r>
          </w:p>
        </w:tc>
        <w:tc>
          <w:tcPr>
            <w:tcW w:type="dxa" w:w="18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0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Yatırımcı-proje uyumu</w:t>
            </w:r>
          </w:p>
        </w:tc>
        <w:tc>
          <w:tcPr>
            <w:tcW w:type="dxa" w:w="41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0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Profil eşleştirmesi AFA’nın teknik değerlendirme süreci içinde gerçekleşir.</w:t>
            </w:r>
          </w:p>
        </w:tc>
      </w:tr>
      <w:tr>
        <w:tc>
          <w:tcPr>
            <w:tcW w:type="dxa" w:w="2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teknik gerçekliği netleştirmek</w:t>
            </w:r>
          </w:p>
        </w:tc>
        <w:tc>
          <w:tcPr>
            <w:tcW w:type="dxa" w:w="18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AFA’nın aktif eylemi</w:t>
            </w:r>
          </w:p>
        </w:tc>
        <w:tc>
          <w:tcPr>
            <w:tcW w:type="dxa" w:w="41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AFA, teknik gerçekliği netleştirerek karar verilebilir içerik üretir.</w:t>
            </w:r>
          </w:p>
        </w:tc>
      </w:tr>
      <w:tr>
        <w:tc>
          <w:tcPr>
            <w:tcW w:type="dxa" w:w="2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0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İlerlenebilir statüsü</w:t>
            </w:r>
          </w:p>
        </w:tc>
        <w:tc>
          <w:tcPr>
            <w:tcW w:type="dxa" w:w="18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0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ATR Matrix sonucu</w:t>
            </w:r>
          </w:p>
        </w:tc>
        <w:tc>
          <w:tcPr>
            <w:tcW w:type="dxa" w:w="41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0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Değerlendirme sonucunda İlerlenebilir statüsü alan projeler...</w:t>
            </w:r>
          </w:p>
        </w:tc>
      </w:tr>
      <w:tr>
        <w:tc>
          <w:tcPr>
            <w:tcW w:type="dxa" w:w="2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güvenilirlik kazandırır</w:t>
            </w:r>
          </w:p>
        </w:tc>
        <w:tc>
          <w:tcPr>
            <w:tcW w:type="dxa" w:w="18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Geliştirici değer önerisi</w:t>
            </w:r>
          </w:p>
        </w:tc>
        <w:tc>
          <w:tcPr>
            <w:tcW w:type="dxa" w:w="41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Bağımsız değerlendirme, projenize yatırımcı nezdinde güvenilirlik kazandırır.</w:t>
            </w:r>
          </w:p>
        </w:tc>
      </w:tr>
      <w:tr>
        <w:tc>
          <w:tcPr>
            <w:tcW w:type="dxa" w:w="2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0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karar verilebilir teknik içerik</w:t>
            </w:r>
          </w:p>
        </w:tc>
        <w:tc>
          <w:tcPr>
            <w:tcW w:type="dxa" w:w="18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0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Teslimat tanımı</w:t>
            </w:r>
          </w:p>
        </w:tc>
        <w:tc>
          <w:tcPr>
            <w:tcW w:type="dxa" w:w="41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0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Taleplerinizi karar verilebilir teknik içeriklerle yanıtlıyoruz.</w:t>
            </w:r>
          </w:p>
        </w:tc>
      </w:tr>
    </w:tbl>
    <w:p>
      <w:pPr>
        <w:pStyle w:val="Heading1"/>
      </w:pPr>
      <w:r>
        <w:t xml:space="preserve">3. Yasaklı İfadeler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862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İfade</w:t>
            </w:r>
          </w:p>
        </w:tc>
        <w:tc>
          <w:tcPr>
            <w:tcW w:type="dxa" w:w="2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862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Neden Yasak</w:t>
            </w:r>
          </w:p>
        </w:tc>
        <w:tc>
          <w:tcPr>
            <w:tcW w:type="dxa" w:w="37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862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Yerine Kullan</w:t>
            </w:r>
          </w:p>
        </w:tc>
      </w:tr>
      <w:tr>
        <w:tc>
          <w:tcPr>
            <w:tcW w:type="dxa" w:w="2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aracılık</w:t>
            </w:r>
          </w:p>
        </w:tc>
        <w:tc>
          <w:tcPr>
            <w:tcW w:type="dxa" w:w="2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AFA aracı değil, teknik filtre</w:t>
            </w:r>
          </w:p>
        </w:tc>
        <w:tc>
          <w:tcPr>
            <w:tcW w:type="dxa" w:w="37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teknik doğrulama</w:t>
            </w:r>
          </w:p>
        </w:tc>
      </w:tr>
      <w:tr>
        <w:tc>
          <w:tcPr>
            <w:tcW w:type="dxa" w:w="2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0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broker / brokerlik</w:t>
            </w:r>
          </w:p>
        </w:tc>
        <w:tc>
          <w:tcPr>
            <w:tcW w:type="dxa" w:w="2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0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Lisanslı finansal aracılık ima eder</w:t>
            </w:r>
          </w:p>
        </w:tc>
        <w:tc>
          <w:tcPr>
            <w:tcW w:type="dxa" w:w="37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0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bağımsız değerlendirme</w:t>
            </w:r>
          </w:p>
        </w:tc>
      </w:tr>
      <w:tr>
        <w:tc>
          <w:tcPr>
            <w:tcW w:type="dxa" w:w="2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komisyon</w:t>
            </w:r>
          </w:p>
        </w:tc>
        <w:tc>
          <w:tcPr>
            <w:tcW w:type="dxa" w:w="2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Ticari aracılık geliri ima eder</w:t>
            </w:r>
          </w:p>
        </w:tc>
        <w:tc>
          <w:tcPr>
            <w:tcW w:type="dxa" w:w="37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(kullanılmaz)</w:t>
            </w:r>
          </w:p>
        </w:tc>
      </w:tr>
      <w:tr>
        <w:tc>
          <w:tcPr>
            <w:tcW w:type="dxa" w:w="2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0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projeleri yatırımcıya sunuyoruz</w:t>
            </w:r>
          </w:p>
        </w:tc>
        <w:tc>
          <w:tcPr>
            <w:tcW w:type="dxa" w:w="2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0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Aktif satış dili</w:t>
            </w:r>
          </w:p>
        </w:tc>
        <w:tc>
          <w:tcPr>
            <w:tcW w:type="dxa" w:w="37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0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projeler görünür hale gelir</w:t>
            </w:r>
          </w:p>
        </w:tc>
      </w:tr>
      <w:tr>
        <w:tc>
          <w:tcPr>
            <w:tcW w:type="dxa" w:w="2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yatırımcıya iletiyoruz</w:t>
            </w:r>
          </w:p>
        </w:tc>
        <w:tc>
          <w:tcPr>
            <w:tcW w:type="dxa" w:w="2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Doğrudan iletim ima eder</w:t>
            </w:r>
          </w:p>
        </w:tc>
        <w:tc>
          <w:tcPr>
            <w:tcW w:type="dxa" w:w="37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yatırımcı tarafında görünür</w:t>
            </w:r>
          </w:p>
        </w:tc>
      </w:tr>
      <w:tr>
        <w:tc>
          <w:tcPr>
            <w:tcW w:type="dxa" w:w="2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0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iki taraflı hizmet</w:t>
            </w:r>
          </w:p>
        </w:tc>
        <w:tc>
          <w:tcPr>
            <w:tcW w:type="dxa" w:w="2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0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Tarafsızlık zedelenir</w:t>
            </w:r>
          </w:p>
        </w:tc>
        <w:tc>
          <w:tcPr>
            <w:tcW w:type="dxa" w:w="37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0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yatırımcı tarafında konumlanan</w:t>
            </w:r>
          </w:p>
        </w:tc>
      </w:tr>
      <w:tr>
        <w:tc>
          <w:tcPr>
            <w:tcW w:type="dxa" w:w="2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deal-making</w:t>
            </w:r>
          </w:p>
        </w:tc>
        <w:tc>
          <w:tcPr>
            <w:tcW w:type="dxa" w:w="2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Ticari müzakere rolü</w:t>
            </w:r>
          </w:p>
        </w:tc>
        <w:tc>
          <w:tcPr>
            <w:tcW w:type="dxa" w:w="37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teknik doğrulama süreci</w:t>
            </w:r>
          </w:p>
        </w:tc>
      </w:tr>
      <w:tr>
        <w:tc>
          <w:tcPr>
            <w:tcW w:type="dxa" w:w="2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0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projemi yatırımcıya sunmak istiyorum</w:t>
            </w:r>
          </w:p>
        </w:tc>
        <w:tc>
          <w:tcPr>
            <w:tcW w:type="dxa" w:w="2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0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Form seçeneği olarak yasak</w:t>
            </w:r>
          </w:p>
        </w:tc>
        <w:tc>
          <w:tcPr>
            <w:tcW w:type="dxa" w:w="37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0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Projem için bağımsız değerlendirme</w:t>
            </w:r>
          </w:p>
        </w:tc>
      </w:tr>
      <w:tr>
        <w:tc>
          <w:tcPr>
            <w:tcW w:type="dxa" w:w="2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hizmet sunuyoruz / hizmet veriyoruz</w:t>
            </w:r>
          </w:p>
        </w:tc>
        <w:tc>
          <w:tcPr>
            <w:tcW w:type="dxa" w:w="2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Pasif değil</w:t>
            </w:r>
          </w:p>
        </w:tc>
        <w:tc>
          <w:tcPr>
            <w:tcW w:type="dxa" w:w="37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değerlendirme disiplinimiz / yaklaşımımız</w:t>
            </w:r>
          </w:p>
        </w:tc>
      </w:tr>
      <w:tr>
        <w:tc>
          <w:tcPr>
            <w:tcW w:type="dxa" w:w="2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0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müşterilerimize sunulur</w:t>
            </w:r>
          </w:p>
        </w:tc>
        <w:tc>
          <w:tcPr>
            <w:tcW w:type="dxa" w:w="2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0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Satış dili</w:t>
            </w:r>
          </w:p>
        </w:tc>
        <w:tc>
          <w:tcPr>
            <w:tcW w:type="dxa" w:w="37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0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ilgili taraflarca değerlendirilir</w:t>
            </w:r>
          </w:p>
        </w:tc>
      </w:tr>
    </w:tbl>
    <w:p>
      <w:pPr>
        <w:pBdr>
          <w:left w:val="single" w:color="F25F5C" w:sz="12" w:space="8"/>
        </w:pBdr>
        <w:spacing w:before="120" w:after="120"/>
        <w:ind w:left="200"/>
      </w:pPr>
      <w:r>
        <w:rPr>
          <w:b/>
          <w:bCs/>
          <w:color w:val="F25F5C"/>
        </w:rPr>
        <w:t xml:space="preserve">⚠ </w:t>
      </w:r>
      <w:r>
        <w:rPr>
          <w:i/>
          <w:iCs/>
          <w:color w:val="F25F5C"/>
        </w:rPr>
        <w:t xml:space="preserve">İhlal durumunda içerik derhal revize edilir. Bu liste genişletilebilir; yeni şüpheli ifadeler için bu rehbere danışın.</w:t>
      </w:r>
    </w:p>
    <w:p>
      <w:r>
        <w:br w:type="page"/>
      </w:r>
    </w:p>
    <w:p>
      <w:pPr>
        <w:pStyle w:val="Heading1"/>
      </w:pPr>
      <w:r>
        <w:t xml:space="preserve">4. Sayfa Bazlı Uygulamalar</w:t>
      </w:r>
    </w:p>
    <w:p>
      <w:pPr>
        <w:pStyle w:val="Heading2"/>
      </w:pPr>
      <w:r>
        <w:t xml:space="preserve">4.1 İletişim Sayfası</w:t>
      </w:r>
    </w:p>
    <w:p>
      <w:pPr>
        <w:spacing w:after="120"/>
      </w:pPr>
      <w:r>
        <w:t xml:space="preserve">En yoğun pasif köprü uygulaması bu sayfadadır. Kritik noktalar: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Hero subtitle: “AFA, teknik gerçekliği netleştirerek doğru projeyi doğru yatırımcıyla buluşturur.”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Geliştirici kutusu: “yatırımcı nezdinde güvenilirlik kazandırır ve yatırımcı tarafında görünür hale getirir”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Form dropdown: “Projem İçin Bağımsız Teknik Değerlendirme” (projemi yatırımcıya sunmak istiyorum DEĞİL)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SSS Soru 4: AFA’nın aracılık yapmadığını açıkça belirtir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SSS Soru 7: “görünür hale gelir”, “profil eşleştirmesi süreç içinde gerçekleşir”</w:t>
      </w:r>
    </w:p>
    <w:p>
      <w:pPr>
        <w:pStyle w:val="Heading2"/>
      </w:pPr>
      <w:r>
        <w:t xml:space="preserve">4.2 Ana Sayfa</w:t>
      </w:r>
    </w:p>
    <w:p>
      <w:pPr>
        <w:spacing w:after="120"/>
      </w:pPr>
      <w:r>
        <w:t xml:space="preserve">Değer önerisi bölümünde: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“AFA, projeleri satışa sunmaz; teknik gerçekliği netleştirerek yatırım kararını destekler.”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“Filtrelenmiş proje akışı” ifadesi kullanılabilir.</w:t>
      </w:r>
    </w:p>
    <w:p>
      <w:pPr>
        <w:pStyle w:val="Heading2"/>
      </w:pPr>
      <w:r>
        <w:t xml:space="preserve">4.3 Hizmetler Sayfası</w:t>
      </w:r>
    </w:p>
    <w:p>
      <w:pPr>
        <w:spacing w:after="120"/>
      </w:pPr>
      <w:r>
        <w:t xml:space="preserve">Hizmet tanımlarında: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“Değerlendirmeden geçen projeler, risk profilleriyle birlikte yatırımcı tarafında görünür hale gelir.”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ATR Matrix™ sonuçları: “İlerlenebilir” statüsü — proje yatırım sürecine uygun (aracılığa uygun DEĞİL)</w:t>
      </w:r>
    </w:p>
    <w:p>
      <w:pPr>
        <w:pStyle w:val="Heading2"/>
      </w:pPr>
      <w:r>
        <w:t xml:space="preserve">4.4 Investor Access Sayfası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“AFA FİLTRELİ proje akışı” — AFA’nın teknik filtresi vurgulanır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“Yatırım komitesine sunulabilir projeler” — AFA sunmaz, proje sunulabilir hale gelir</w:t>
      </w:r>
    </w:p>
    <w:p>
      <w:pPr>
        <w:pStyle w:val="Heading2"/>
      </w:pPr>
      <w:r>
        <w:t xml:space="preserve">4.5 Developer Access Sayfası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Geliştirici motivasyonu teknik doğrulama şemsiyesinde çerçevelenir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“Projeniz yatırımcı karşısında savunulabilir mi?” — soru formatı, satış vaat etmez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“AFA’nın bağımsız değerlendirmesi, projenize yatırımcı nezdinde güvenilirlik kazandırır”</w:t>
      </w:r>
    </w:p>
    <w:p>
      <w:pPr>
        <w:pStyle w:val="Heading1"/>
      </w:pPr>
      <w:r>
        <w:t xml:space="preserve">5. Form Dili Standardı</w:t>
      </w:r>
    </w:p>
    <w:p>
      <w:pPr>
        <w:spacing w:after="120"/>
      </w:pPr>
      <w:r>
        <w:t xml:space="preserve">İletişim formundaki dropdown seçenekleri pasif köprü stratejisiyle uyumlu olmalıdır: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3860"/>
      </w:tblGrid>
      <w:tr>
        <w:trPr>
          <w:tblHeader/>
        </w:trPr>
        <w:tc>
          <w:tcPr>
            <w:tcW w:type="dxa" w:w="3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862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Seçenek</w:t>
            </w:r>
          </w:p>
        </w:tc>
        <w:tc>
          <w:tcPr>
            <w:tcW w:type="dxa" w:w="1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862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Pasif Köprü Uyumu</w:t>
            </w:r>
          </w:p>
        </w:tc>
        <w:tc>
          <w:tcPr>
            <w:tcW w:type="dxa" w:w="38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862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Not</w:t>
            </w:r>
          </w:p>
        </w:tc>
      </w:tr>
      <w:tr>
        <w:tc>
          <w:tcPr>
            <w:tcW w:type="dxa" w:w="3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Yatırım Fırsatı Değerlendirmesi</w:t>
            </w:r>
          </w:p>
        </w:tc>
        <w:tc>
          <w:tcPr>
            <w:tcW w:type="dxa" w:w="1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Uygun</w:t>
            </w:r>
          </w:p>
        </w:tc>
        <w:tc>
          <w:tcPr>
            <w:tcW w:type="dxa" w:w="38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Yatırımcı perspektifi</w:t>
            </w:r>
          </w:p>
        </w:tc>
      </w:tr>
      <w:tr>
        <w:tc>
          <w:tcPr>
            <w:tcW w:type="dxa" w:w="3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0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Projem İçin Bağımsız Teknik Değerlendirme</w:t>
            </w:r>
          </w:p>
        </w:tc>
        <w:tc>
          <w:tcPr>
            <w:tcW w:type="dxa" w:w="1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0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Uygun</w:t>
            </w:r>
          </w:p>
        </w:tc>
        <w:tc>
          <w:tcPr>
            <w:tcW w:type="dxa" w:w="38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0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Teknik doğrulama şemsiyesi</w:t>
            </w:r>
          </w:p>
        </w:tc>
      </w:tr>
      <w:tr>
        <w:tc>
          <w:tcPr>
            <w:tcW w:type="dxa" w:w="3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Teknik Ön İnceleme / ATR Analiz Talebi</w:t>
            </w:r>
          </w:p>
        </w:tc>
        <w:tc>
          <w:tcPr>
            <w:tcW w:type="dxa" w:w="1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Uygun</w:t>
            </w:r>
          </w:p>
        </w:tc>
        <w:tc>
          <w:tcPr>
            <w:tcW w:type="dxa" w:w="38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Spesifik hizmet</w:t>
            </w:r>
          </w:p>
        </w:tc>
      </w:tr>
      <w:tr>
        <w:tc>
          <w:tcPr>
            <w:tcW w:type="dxa" w:w="3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0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Mevcut Proje Hakkında Soru</w:t>
            </w:r>
          </w:p>
        </w:tc>
        <w:tc>
          <w:tcPr>
            <w:tcW w:type="dxa" w:w="1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0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Uygun</w:t>
            </w:r>
          </w:p>
        </w:tc>
        <w:tc>
          <w:tcPr>
            <w:tcW w:type="dxa" w:w="38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0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Nötr</w:t>
            </w:r>
          </w:p>
        </w:tc>
      </w:tr>
      <w:tr>
        <w:tc>
          <w:tcPr>
            <w:tcW w:type="dxa" w:w="3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İş Birliği / Ortaklık Önerisi</w:t>
            </w:r>
          </w:p>
        </w:tc>
        <w:tc>
          <w:tcPr>
            <w:tcW w:type="dxa" w:w="1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Uygun</w:t>
            </w:r>
          </w:p>
        </w:tc>
        <w:tc>
          <w:tcPr>
            <w:tcW w:type="dxa" w:w="38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Nötr</w:t>
            </w:r>
          </w:p>
        </w:tc>
      </w:tr>
      <w:tr>
        <w:tc>
          <w:tcPr>
            <w:tcW w:type="dxa" w:w="3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0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Finansman Süreci Teknik Destek</w:t>
            </w:r>
          </w:p>
        </w:tc>
        <w:tc>
          <w:tcPr>
            <w:tcW w:type="dxa" w:w="1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0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Uygun</w:t>
            </w:r>
          </w:p>
        </w:tc>
        <w:tc>
          <w:tcPr>
            <w:tcW w:type="dxa" w:w="38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0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Teknik şemsiye</w:t>
            </w:r>
          </w:p>
        </w:tc>
      </w:tr>
      <w:tr>
        <w:tc>
          <w:tcPr>
            <w:tcW w:type="dxa" w:w="3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Diğer</w:t>
            </w:r>
          </w:p>
        </w:tc>
        <w:tc>
          <w:tcPr>
            <w:tcW w:type="dxa" w:w="1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Uygun</w:t>
            </w:r>
          </w:p>
        </w:tc>
        <w:tc>
          <w:tcPr>
            <w:tcW w:type="dxa" w:w="38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Genel</w:t>
            </w:r>
          </w:p>
        </w:tc>
      </w:tr>
    </w:tbl>
    <w:p>
      <w:pPr>
        <w:pBdr>
          <w:left w:val="single" w:color="F25F5C" w:sz="12" w:space="8"/>
        </w:pBdr>
        <w:spacing w:before="120" w:after="120"/>
        <w:ind w:left="200"/>
      </w:pPr>
      <w:r>
        <w:rPr>
          <w:b/>
          <w:bCs/>
          <w:color w:val="F25F5C"/>
        </w:rPr>
        <w:t xml:space="preserve">⚠ </w:t>
      </w:r>
      <w:r>
        <w:rPr>
          <w:i/>
          <w:iCs/>
          <w:color w:val="F25F5C"/>
        </w:rPr>
        <w:t xml:space="preserve">“Yatırımcı buluyorum”, “Projemi tanıtın”, “Yatırımcıyla tanıştırın” gibi seçenekler form dropdown’ına ASLA eklenmez.</w:t>
      </w:r>
    </w:p>
    <w:p>
      <w:pPr>
        <w:pStyle w:val="Heading1"/>
      </w:pPr>
      <w:r>
        <w:t xml:space="preserve">6. İngilizce Karşılıklar</w:t>
      </w:r>
    </w:p>
    <w:p>
      <w:pPr>
        <w:spacing w:after="120"/>
      </w:pPr>
      <w:r>
        <w:t xml:space="preserve">İngilizce içeriklerde aynı strateji uygulanır: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3160"/>
      </w:tblGrid>
      <w:tr>
        <w:trPr>
          <w:tblHeader/>
        </w:trPr>
        <w:tc>
          <w:tcPr>
            <w:tcW w:type="dxa" w:w="2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862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Türkçe</w:t>
            </w:r>
          </w:p>
        </w:tc>
        <w:tc>
          <w:tcPr>
            <w:tcW w:type="dxa" w:w="28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862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İngilizce Karşılık</w:t>
            </w:r>
          </w:p>
        </w:tc>
        <w:tc>
          <w:tcPr>
            <w:tcW w:type="dxa" w:w="31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862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Yasak Karşılık</w:t>
            </w:r>
          </w:p>
        </w:tc>
      </w:tr>
      <w:tr>
        <w:tc>
          <w:tcPr>
            <w:tcW w:type="dxa" w:w="2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görünür hale gelir</w:t>
            </w:r>
          </w:p>
        </w:tc>
        <w:tc>
          <w:tcPr>
            <w:tcW w:type="dxa" w:w="28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becomes visible to investors</w:t>
            </w:r>
          </w:p>
        </w:tc>
        <w:tc>
          <w:tcPr>
            <w:tcW w:type="dxa" w:w="31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is presented to investors</w:t>
            </w:r>
          </w:p>
        </w:tc>
      </w:tr>
      <w:tr>
        <w:tc>
          <w:tcPr>
            <w:tcW w:type="dxa" w:w="2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0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teknik doğrulama</w:t>
            </w:r>
          </w:p>
        </w:tc>
        <w:tc>
          <w:tcPr>
            <w:tcW w:type="dxa" w:w="28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0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technical validation</w:t>
            </w:r>
          </w:p>
        </w:tc>
        <w:tc>
          <w:tcPr>
            <w:tcW w:type="dxa" w:w="31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0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deal facilitation</w:t>
            </w:r>
          </w:p>
        </w:tc>
      </w:tr>
      <w:tr>
        <w:tc>
          <w:tcPr>
            <w:tcW w:type="dxa" w:w="2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filtrelenmiş proje akışı</w:t>
            </w:r>
          </w:p>
        </w:tc>
        <w:tc>
          <w:tcPr>
            <w:tcW w:type="dxa" w:w="28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filtered project pipeline</w:t>
            </w:r>
          </w:p>
        </w:tc>
        <w:tc>
          <w:tcPr>
            <w:tcW w:type="dxa" w:w="31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deal flow</w:t>
            </w:r>
          </w:p>
        </w:tc>
      </w:tr>
      <w:tr>
        <w:tc>
          <w:tcPr>
            <w:tcW w:type="dxa" w:w="2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0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profil eşleştirmesi</w:t>
            </w:r>
          </w:p>
        </w:tc>
        <w:tc>
          <w:tcPr>
            <w:tcW w:type="dxa" w:w="28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0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profile matching</w:t>
            </w:r>
          </w:p>
        </w:tc>
        <w:tc>
          <w:tcPr>
            <w:tcW w:type="dxa" w:w="31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0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investor matchmaking</w:t>
            </w:r>
          </w:p>
        </w:tc>
      </w:tr>
      <w:tr>
        <w:tc>
          <w:tcPr>
            <w:tcW w:type="dxa" w:w="2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bağımsız değerlendirme</w:t>
            </w:r>
          </w:p>
        </w:tc>
        <w:tc>
          <w:tcPr>
            <w:tcW w:type="dxa" w:w="28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independent assessment</w:t>
            </w:r>
          </w:p>
        </w:tc>
        <w:tc>
          <w:tcPr>
            <w:tcW w:type="dxa" w:w="31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intermediary service</w:t>
            </w:r>
          </w:p>
        </w:tc>
      </w:tr>
      <w:tr>
        <w:tc>
          <w:tcPr>
            <w:tcW w:type="dxa" w:w="2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0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buluşturmak</w:t>
            </w:r>
          </w:p>
        </w:tc>
        <w:tc>
          <w:tcPr>
            <w:tcW w:type="dxa" w:w="28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0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connecting the right project with the right investor</w:t>
            </w:r>
          </w:p>
        </w:tc>
        <w:tc>
          <w:tcPr>
            <w:tcW w:type="dxa" w:w="31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0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brokering deals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İçerik Test Protokolü</w:t>
      </w:r>
    </w:p>
    <w:p>
      <w:pPr>
        <w:spacing w:after="120"/>
      </w:pPr>
      <w:r>
        <w:t xml:space="preserve">Yeni sayfa veya içerik yayınlanmadan önce aşağıdaki kontrol uygulanır:</w:t>
      </w:r>
    </w:p>
    <w:p>
      <w:pPr>
        <w:pStyle w:val="Heading2"/>
      </w:pPr>
      <w:r>
        <w:t xml:space="preserve">7.1 Otomatik Tarama</w:t>
      </w:r>
    </w:p>
    <w:p>
      <w:pPr>
        <w:spacing w:after="120"/>
      </w:pPr>
      <w:r>
        <w:t xml:space="preserve">Tüm sayfa metinlerinde aşağıdaki kelimeler aranır (case-insensitive):</w:t>
      </w:r>
    </w:p>
    <w:p>
      <w:pPr>
        <w:spacing w:after="120"/>
      </w:pPr>
      <w:r>
        <w:rPr>
          <w:rFonts w:ascii="JetBrains Mono" w:cs="JetBrains Mono" w:eastAsia="JetBrains Mono" w:hAnsi="JetBrains Mono"/>
          <w:color w:val="F25F5C"/>
          <w:sz w:val="18"/>
          <w:szCs w:val="18"/>
        </w:rPr>
        <w:t xml:space="preserve">aracılık, broker, komisyon, sunuyoruz, iletiyoruz, deal-making, deal flow, matchmaking, intermediary, brokering</w:t>
      </w:r>
    </w:p>
    <w:p>
      <w:pPr>
        <w:spacing w:after="120"/>
      </w:pPr>
      <w:r>
        <w:t xml:space="preserve">Bu kelimelerden herhangi biri bulunursa içerik yayınlanmaz ve revize edilir.</w:t>
      </w:r>
    </w:p>
    <w:p>
      <w:pPr>
        <w:pStyle w:val="Heading2"/>
      </w:pPr>
      <w:r>
        <w:t xml:space="preserve">7.2 Manuel Kontrol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Her yeni sayfa içeriği bu rehber ile çapraz kontrol edilir.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SSS içerikleri özellikle dikkatli incelenir — kullanıcı sorusu formatı “aracılık yapıyor musunuz?” şeklinde olsa bile cevap pasif köprü dilinde kalmalıdır.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Form dropdown seçenekleri her güncellemede kontrol edilir.</w:t>
      </w:r>
    </w:p>
    <w:p>
      <w:pPr>
        <w:pStyle w:val="Heading1"/>
      </w:pPr>
      <w:r>
        <w:t xml:space="preserve">8. Çapraz Referanslar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860"/>
      </w:tblGrid>
      <w:tr>
        <w:trPr>
          <w:tblHeader/>
        </w:trPr>
        <w:tc>
          <w:tcPr>
            <w:tcW w:type="dxa" w:w="3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862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Doküman</w:t>
            </w:r>
          </w:p>
        </w:tc>
        <w:tc>
          <w:tcPr>
            <w:tcW w:type="dxa" w:w="48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862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Pasif Köprü İlişkisi</w:t>
            </w:r>
          </w:p>
        </w:tc>
      </w:tr>
      <w:tr>
        <w:tc>
          <w:tcPr>
            <w:tcW w:type="dxa" w:w="3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Slogan ve Kurumsal Dil Rehberi v1.3</w:t>
            </w:r>
          </w:p>
        </w:tc>
        <w:tc>
          <w:tcPr>
            <w:tcW w:type="dxa" w:w="48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Bölüm 7: Pasif Köprü özet referansı ve kontrol listesi</w:t>
            </w:r>
          </w:p>
        </w:tc>
      </w:tr>
      <w:tr>
        <w:tc>
          <w:tcPr>
            <w:tcW w:type="dxa" w:w="3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0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Digital System Specification v8.0</w:t>
            </w:r>
          </w:p>
        </w:tc>
        <w:tc>
          <w:tcPr>
            <w:tcW w:type="dxa" w:w="48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0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Bölüm XII: Tamamlama kriterlerinde terminoloji kontrolü</w:t>
            </w:r>
          </w:p>
        </w:tc>
      </w:tr>
      <w:tr>
        <w:tc>
          <w:tcPr>
            <w:tcW w:type="dxa" w:w="3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İletişim Sayfası Spesifikasyonu v2.0</w:t>
            </w:r>
          </w:p>
        </w:tc>
        <w:tc>
          <w:tcPr>
            <w:tcW w:type="dxa" w:w="48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SSS, form dropdown, routing kutuları, hero subtitle</w:t>
            </w:r>
          </w:p>
        </w:tc>
      </w:tr>
      <w:tr>
        <w:tc>
          <w:tcPr>
            <w:tcW w:type="dxa" w:w="3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0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UI Technical Specification v2.0</w:t>
            </w:r>
          </w:p>
        </w:tc>
        <w:tc>
          <w:tcPr>
            <w:tcW w:type="dxa" w:w="48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0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Bölüm 7: İçerik enjeksiyonu dil disiplini</w:t>
            </w:r>
          </w:p>
        </w:tc>
      </w:tr>
    </w:tbl>
    <w:p>
      <w:pPr>
        <w:pStyle w:val="Heading1"/>
      </w:pPr>
      <w:r>
        <w:t xml:space="preserve">9. Versiyon Tarihçesi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5660"/>
      </w:tblGrid>
      <w:tr>
        <w:trPr>
          <w:tblHeader/>
        </w:trPr>
        <w:tc>
          <w:tcPr>
            <w:tcW w:type="dxa" w:w="1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862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Versiyon</w:t>
            </w:r>
          </w:p>
        </w:tc>
        <w:tc>
          <w:tcPr>
            <w:tcW w:type="dxa" w:w="1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862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Tarih</w:t>
            </w:r>
          </w:p>
        </w:tc>
        <w:tc>
          <w:tcPr>
            <w:tcW w:type="dxa" w:w="56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862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Değişiklikler</w:t>
            </w:r>
          </w:p>
        </w:tc>
      </w:tr>
      <w:tr>
        <w:tc>
          <w:tcPr>
            <w:tcW w:type="dxa" w:w="1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v1.0</w:t>
            </w:r>
          </w:p>
        </w:tc>
        <w:tc>
          <w:tcPr>
            <w:tcW w:type="dxa" w:w="1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Mart 2026</w:t>
            </w:r>
          </w:p>
        </w:tc>
        <w:tc>
          <w:tcPr>
            <w:tcW w:type="dxa" w:w="56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Open Sans" w:cs="Open Sans" w:eastAsia="Open Sans" w:hAnsi="Open Sans"/>
                <w:sz w:val="20"/>
                <w:szCs w:val="20"/>
              </w:rPr>
              <w:t xml:space="preserve">İlk basım. Onaylı ve yasaklı ifadeler, sayfa bazlı uygulamalar, form dili standardı, İngilizce karşılıklar, içerik test protokolü tanımlandı.</w:t>
            </w:r>
          </w:p>
        </w:tc>
      </w:tr>
    </w:tbl>
    <w:p>
      <w:pPr>
        <w:pBdr>
          <w:top w:val="single" w:color="28AFB0" w:sz="2" w:space="8"/>
        </w:pBdr>
        <w:spacing w:before="300"/>
      </w:pPr>
    </w:p>
    <w:p>
      <w:pPr>
        <w:spacing w:after="120"/>
      </w:pPr>
      <w:r>
        <w:rPr>
          <w:b/>
          <w:bCs/>
          <w:i/>
          <w:iCs/>
          <w:color w:val="4A5568"/>
          <w:sz w:val="20"/>
          <w:szCs w:val="20"/>
        </w:rPr>
        <w:t xml:space="preserve">Bu rehber, AFA Energy Romania’nın tüm dijital ve basılı iletişiminde bağlayıcıdır.</w:t>
      </w:r>
    </w:p>
    <w:sectPr>
      <w:headerReference w:type="default" r:id="rId6"/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Open Sans" w:cs="Open Sans" w:eastAsia="Open Sans" w:hAnsi="Open Sans"/>
        <w:color w:val="9CA3AF"/>
        <w:sz w:val="16"/>
        <w:szCs w:val="16"/>
      </w:rPr>
      <w:t xml:space="preserve">Sayfa </w:t>
    </w:r>
    <w:r>
      <w:rPr>
        <w:rFonts w:ascii="Open Sans" w:cs="Open Sans" w:eastAsia="Open Sans" w:hAnsi="Open Sans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Open Sans" w:cs="Open Sans" w:eastAsia="Open Sans" w:hAnsi="Open Sans"/>
        <w:color w:val="9CA3AF"/>
        <w:sz w:val="16"/>
        <w:szCs w:val="16"/>
      </w:rPr>
      <w:t xml:space="preserve">AFA Energy Romania — Pasif Köprü Terminoloji Rehberi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Open Sans" w:cs="Open Sans" w:eastAsia="Open Sans" w:hAnsi="Open Sans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Montserrat" w:cs="Montserrat" w:eastAsia="Montserrat" w:hAnsi="Montserrat"/>
      <w:b/>
      <w:bCs/>
      <w:color w:val="1862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Montserrat" w:cs="Montserrat" w:eastAsia="Montserrat" w:hAnsi="Montserrat"/>
      <w:b/>
      <w:bCs/>
      <w:color w:val="18625F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Montserrat" w:cs="Montserrat" w:eastAsia="Montserrat" w:hAnsi="Montserrat"/>
      <w:b/>
      <w:bCs/>
      <w:color w:val="28AFB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2026-03-03T23:05:32.609Z</dcterms:created>
  <dcterms:modified xsi:type="dcterms:W3CDTF">2026-03-03T23:05:32.610Z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