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6728" w14:textId="7B756EF2" w:rsidR="00A73760" w:rsidRDefault="00A73760" w:rsidP="00A73760">
      <w:r>
        <w:t>Presentation sources with brief notes</w:t>
      </w:r>
    </w:p>
    <w:p w14:paraId="253B2D34" w14:textId="2BF4F405" w:rsidR="00A73760" w:rsidRDefault="00A12C33" w:rsidP="00A73760">
      <w:hyperlink r:id="rId4" w:history="1">
        <w:r w:rsidRPr="00A32355">
          <w:rPr>
            <w:rStyle w:val="Hyperlink"/>
          </w:rPr>
          <w:t>https://www.gsb.stanford.edu/insights/explainer-what-private-equity</w:t>
        </w:r>
      </w:hyperlink>
    </w:p>
    <w:p w14:paraId="6B158530" w14:textId="2150BE1E" w:rsidR="00A12C33" w:rsidRDefault="00A12C33" w:rsidP="00A73760">
      <w:r>
        <w:t>overview of what private equity is</w:t>
      </w:r>
    </w:p>
    <w:p w14:paraId="6D043903" w14:textId="77777777" w:rsidR="00A12C33" w:rsidRDefault="00A12C33" w:rsidP="00A73760"/>
    <w:p w14:paraId="3CA19A03" w14:textId="67683EB9" w:rsidR="00A73760" w:rsidRDefault="00A73760" w:rsidP="00A73760">
      <w:r>
        <w:t>https://www.immediateannuities.com/insurance-company-ratings/insurer-owned-by-private-equity.html</w:t>
      </w:r>
    </w:p>
    <w:p w14:paraId="1E9E34D1" w14:textId="77777777" w:rsidR="00A73760" w:rsidRDefault="00A73760" w:rsidP="00A73760">
      <w:r>
        <w:t>brief overview of what an insurer being owned by private equity means</w:t>
      </w:r>
    </w:p>
    <w:p w14:paraId="365CF398" w14:textId="77777777" w:rsidR="00A73760" w:rsidRDefault="00A73760" w:rsidP="00A73760"/>
    <w:p w14:paraId="26F9D481" w14:textId="77777777" w:rsidR="00A73760" w:rsidRDefault="00A73760" w:rsidP="00A73760">
      <w:r>
        <w:t>https://papers.ssrn.com/sol3/papers.cfm?abstract_id=7152239</w:t>
      </w:r>
    </w:p>
    <w:p w14:paraId="595A1AE0" w14:textId="77777777" w:rsidR="00A73760" w:rsidRDefault="00A73760" w:rsidP="00A73760">
      <w:r>
        <w:t>Drall &amp; Granato (2026): private equity risk ultimately funded by more conservative insurers and taxpayers</w:t>
      </w:r>
    </w:p>
    <w:p w14:paraId="70C5DE2F" w14:textId="77777777" w:rsidR="00A73760" w:rsidRDefault="00A73760" w:rsidP="00A73760"/>
    <w:p w14:paraId="71E9B6F8" w14:textId="77777777" w:rsidR="00A73760" w:rsidRDefault="00A73760" w:rsidP="00A73760">
      <w:r>
        <w:t>https://www.skadden.com/insights/publications/2023/06/quarterly-insights/how-and-why-private-capital-continues-to-invest</w:t>
      </w:r>
    </w:p>
    <w:p w14:paraId="2E1D38B6" w14:textId="77777777" w:rsidR="00A73760" w:rsidRDefault="00A73760" w:rsidP="00A73760">
      <w:r>
        <w:t>"financial sponsors" are increasingly involved in insurance; top five financial sponsors all own or partially own a life &amp; annuity business insurer or reinsurer</w:t>
      </w:r>
    </w:p>
    <w:p w14:paraId="32157842" w14:textId="77777777" w:rsidR="00A73760" w:rsidRDefault="00A73760" w:rsidP="00A73760"/>
    <w:p w14:paraId="7CB34328" w14:textId="77777777" w:rsidR="00A73760" w:rsidRDefault="00A73760" w:rsidP="00A73760">
      <w:r>
        <w:t>https://www.institutionalinvestor.com/article/imf-raising-alarm-insurance-investments-private-credit</w:t>
      </w:r>
    </w:p>
    <w:p w14:paraId="042444CE" w14:textId="77777777" w:rsidR="00A73760" w:rsidRDefault="00A73760" w:rsidP="00A73760">
      <w:r>
        <w:t>summary of IMF report raising issues with private equity's involvement in the insurance sector</w:t>
      </w:r>
    </w:p>
    <w:p w14:paraId="7E703C45" w14:textId="77777777" w:rsidR="00A73760" w:rsidRDefault="00A73760" w:rsidP="00A73760"/>
    <w:p w14:paraId="32C50E11" w14:textId="77777777" w:rsidR="00A73760" w:rsidRDefault="00A73760" w:rsidP="00A73760">
      <w:r>
        <w:t>https://gfmag.com/insurance/private-equitys-growing-role-in-insurance-rewards-and-risks/</w:t>
      </w:r>
    </w:p>
    <w:p w14:paraId="4CB96456" w14:textId="77777777" w:rsidR="00A73760" w:rsidRDefault="00A73760" w:rsidP="00A73760">
      <w:r>
        <w:t>history of private equity's involvement in the sector</w:t>
      </w:r>
    </w:p>
    <w:p w14:paraId="7F4B1FFD" w14:textId="77777777" w:rsidR="00A73760" w:rsidRDefault="00A73760" w:rsidP="00A73760"/>
    <w:p w14:paraId="00172A92" w14:textId="77777777" w:rsidR="00A73760" w:rsidRDefault="00A73760" w:rsidP="00A73760">
      <w:r>
        <w:t>https://content.naic.org/insurance-topics/private-equity</w:t>
      </w:r>
    </w:p>
    <w:p w14:paraId="13C8C7AF" w14:textId="77777777" w:rsidR="00A73760" w:rsidRDefault="00A73760" w:rsidP="00A73760">
      <w:r>
        <w:t>background + forecast of future private equity involvement in P/C and health insurance</w:t>
      </w:r>
    </w:p>
    <w:p w14:paraId="18A1313C" w14:textId="77777777" w:rsidR="00A73760" w:rsidRDefault="00A73760" w:rsidP="00A73760"/>
    <w:p w14:paraId="7AEA95D1" w14:textId="77777777" w:rsidR="00A73760" w:rsidRDefault="00A73760" w:rsidP="00A73760">
      <w:r>
        <w:t>https://retirementincomejournal.com/wp-content/uploads/2025/06/SSRN-Foley-Fisher-2023-shadow-banks.pdf</w:t>
      </w:r>
    </w:p>
    <w:p w14:paraId="14826477" w14:textId="77777777" w:rsidR="00A73760" w:rsidRDefault="00A73760" w:rsidP="00A73760">
      <w:r>
        <w:t>quantitative experiments showed that insurers are exponentially more vulnerable to an aggregate corporate sector shock</w:t>
      </w:r>
    </w:p>
    <w:p w14:paraId="6954DC1B" w14:textId="77777777" w:rsidR="00A73760" w:rsidRDefault="00A73760" w:rsidP="00A73760"/>
    <w:p w14:paraId="778CDE75" w14:textId="77777777" w:rsidR="00A73760" w:rsidRDefault="00A73760" w:rsidP="00A73760">
      <w:r>
        <w:t>https://academic.oup.com/rfs/article/37/1/201/7224255</w:t>
      </w:r>
    </w:p>
    <w:p w14:paraId="723F28DC" w14:textId="77777777" w:rsidR="00A73760" w:rsidRDefault="00A73760" w:rsidP="00A73760">
      <w:r>
        <w:t>consumers benefit from PE firms being involved in the short run but are exposed to more risk</w:t>
      </w:r>
    </w:p>
    <w:p w14:paraId="171FED14" w14:textId="7C0F7196" w:rsidR="002F6C75" w:rsidRDefault="00A73760" w:rsidP="00A73760">
      <w:r>
        <w:t>changes with PE ownership occur within days</w:t>
      </w:r>
    </w:p>
    <w:sectPr w:rsidR="002F6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60"/>
    <w:rsid w:val="002F6C75"/>
    <w:rsid w:val="006736F5"/>
    <w:rsid w:val="00A12C33"/>
    <w:rsid w:val="00A16C9D"/>
    <w:rsid w:val="00A73760"/>
    <w:rsid w:val="00A9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52F4"/>
  <w15:chartTrackingRefBased/>
  <w15:docId w15:val="{32BF99E3-0B06-4B81-A937-0408BE1F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sb.stanford.edu/insights/explainer-what-private-equ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 Flores-Brown</dc:creator>
  <cp:keywords/>
  <dc:description/>
  <cp:lastModifiedBy>Alejandro D Flores-Brown</cp:lastModifiedBy>
  <cp:revision>2</cp:revision>
  <dcterms:created xsi:type="dcterms:W3CDTF">2026-10-06T19:14:00Z</dcterms:created>
  <dcterms:modified xsi:type="dcterms:W3CDTF">2026-10-06T19:17:00Z</dcterms:modified>
</cp:coreProperties>
</file>