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D77F97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7F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A94209A" w14:textId="77777777" w:rsidR="00D77F97" w:rsidRPr="00D77F97" w:rsidRDefault="00D77F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FB39546" w14:textId="77777777" w:rsidR="001C6C2D" w:rsidRDefault="004A5D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7F97">
              <w:rPr>
                <w:rFonts w:ascii="Arial" w:hAnsi="Arial" w:cs="Arial"/>
                <w:sz w:val="20"/>
                <w:szCs w:val="20"/>
              </w:rPr>
              <w:t>Romli</w:t>
            </w:r>
            <w:proofErr w:type="spellEnd"/>
            <w:r w:rsidRPr="00D77F97">
              <w:rPr>
                <w:rFonts w:ascii="Arial" w:hAnsi="Arial" w:cs="Arial"/>
                <w:sz w:val="20"/>
                <w:szCs w:val="20"/>
              </w:rPr>
              <w:t xml:space="preserve">, M. H., &amp; Wan </w:t>
            </w:r>
            <w:proofErr w:type="spellStart"/>
            <w:r w:rsidRPr="00D77F97">
              <w:rPr>
                <w:rFonts w:ascii="Arial" w:hAnsi="Arial" w:cs="Arial"/>
                <w:sz w:val="20"/>
                <w:szCs w:val="20"/>
              </w:rPr>
              <w:t>Yunus</w:t>
            </w:r>
            <w:proofErr w:type="spellEnd"/>
            <w:r w:rsidRPr="00D77F97">
              <w:rPr>
                <w:rFonts w:ascii="Arial" w:hAnsi="Arial" w:cs="Arial"/>
                <w:sz w:val="20"/>
                <w:szCs w:val="20"/>
              </w:rPr>
              <w:t xml:space="preserve">, F. (2020). </w:t>
            </w:r>
            <w:bookmarkStart w:id="0" w:name="_GoBack"/>
            <w:r w:rsidRPr="00D77F97">
              <w:rPr>
                <w:rFonts w:ascii="Arial" w:hAnsi="Arial" w:cs="Arial"/>
                <w:sz w:val="20"/>
                <w:szCs w:val="20"/>
              </w:rPr>
              <w:t xml:space="preserve">A systematic review on </w:t>
            </w:r>
            <w:proofErr w:type="spellStart"/>
            <w:r w:rsidRPr="00D77F97">
              <w:rPr>
                <w:rFonts w:ascii="Arial" w:hAnsi="Arial" w:cs="Arial"/>
                <w:sz w:val="20"/>
                <w:szCs w:val="20"/>
              </w:rPr>
              <w:t>clinimetric</w:t>
            </w:r>
            <w:proofErr w:type="spellEnd"/>
            <w:r w:rsidRPr="00D77F97">
              <w:rPr>
                <w:rFonts w:ascii="Arial" w:hAnsi="Arial" w:cs="Arial"/>
                <w:sz w:val="20"/>
                <w:szCs w:val="20"/>
              </w:rPr>
              <w:t xml:space="preserve"> properties of play instruments for occupational therapy practice</w:t>
            </w:r>
            <w:bookmarkEnd w:id="0"/>
            <w:r w:rsidRPr="00D77F97">
              <w:rPr>
                <w:rFonts w:ascii="Arial" w:hAnsi="Arial" w:cs="Arial"/>
                <w:sz w:val="20"/>
                <w:szCs w:val="20"/>
              </w:rPr>
              <w:t>. </w:t>
            </w:r>
            <w:r w:rsidRPr="00D77F97">
              <w:rPr>
                <w:rFonts w:ascii="Arial" w:hAnsi="Arial" w:cs="Arial"/>
                <w:i/>
                <w:iCs/>
                <w:sz w:val="20"/>
                <w:szCs w:val="20"/>
              </w:rPr>
              <w:t>Occupational therapy international</w:t>
            </w:r>
            <w:r w:rsidRPr="00D77F97">
              <w:rPr>
                <w:rFonts w:ascii="Arial" w:hAnsi="Arial" w:cs="Arial"/>
                <w:sz w:val="20"/>
                <w:szCs w:val="20"/>
              </w:rPr>
              <w:t>, </w:t>
            </w:r>
            <w:r w:rsidRPr="00D77F97">
              <w:rPr>
                <w:rFonts w:ascii="Arial" w:hAnsi="Arial" w:cs="Arial"/>
                <w:i/>
                <w:iCs/>
                <w:sz w:val="20"/>
                <w:szCs w:val="20"/>
              </w:rPr>
              <w:t>2020</w:t>
            </w:r>
            <w:r w:rsidRPr="00D77F9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6BC2B" w14:textId="776843E0" w:rsidR="00D77F97" w:rsidRPr="00D77F97" w:rsidRDefault="00D77F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77F97" w14:paraId="263547A7" w14:textId="77777777" w:rsidTr="008C6915">
        <w:tc>
          <w:tcPr>
            <w:tcW w:w="9010" w:type="dxa"/>
          </w:tcPr>
          <w:p w14:paraId="686637B3" w14:textId="20525EEA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D77F9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7729CC3" w14:textId="77777777" w:rsidR="00D77F97" w:rsidRPr="00D77F97" w:rsidRDefault="00D77F9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76CB" w14:textId="44BE164E" w:rsidR="001C6C2D" w:rsidRPr="00D77F97" w:rsidRDefault="00D37CD7">
            <w:p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>https://www.hindawi.com/journals/oti/2020/2490519/</w:t>
            </w:r>
          </w:p>
          <w:p w14:paraId="6C196B46" w14:textId="6C328005" w:rsidR="001C6C2D" w:rsidRPr="00D77F9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77F97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7F97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72F4A1E7" w14:textId="77777777" w:rsidR="00D77F97" w:rsidRPr="00D77F97" w:rsidRDefault="00D77F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284DCD" w14:textId="77777777" w:rsidR="00D77F97" w:rsidRDefault="00D77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r</w:t>
            </w:r>
            <w:r w:rsidR="00187E3D" w:rsidRPr="00D77F97">
              <w:rPr>
                <w:rFonts w:ascii="Arial" w:hAnsi="Arial" w:cs="Arial"/>
                <w:sz w:val="20"/>
                <w:szCs w:val="20"/>
              </w:rPr>
              <w:t xml:space="preserve">eview identifying play instruments relevant to occupational therapy practice and their </w:t>
            </w:r>
            <w:proofErr w:type="spellStart"/>
            <w:r w:rsidR="00187E3D" w:rsidRPr="00D77F97">
              <w:rPr>
                <w:rFonts w:ascii="Arial" w:hAnsi="Arial" w:cs="Arial"/>
                <w:sz w:val="20"/>
                <w:szCs w:val="20"/>
              </w:rPr>
              <w:t>clinimetric</w:t>
            </w:r>
            <w:proofErr w:type="spellEnd"/>
            <w:r w:rsidR="00187E3D" w:rsidRPr="00D77F97">
              <w:rPr>
                <w:rFonts w:ascii="Arial" w:hAnsi="Arial" w:cs="Arial"/>
                <w:sz w:val="20"/>
                <w:szCs w:val="20"/>
              </w:rPr>
              <w:t xml:space="preserve"> properties. </w:t>
            </w:r>
          </w:p>
          <w:p w14:paraId="510BD350" w14:textId="77777777" w:rsidR="00D77F97" w:rsidRDefault="00D77F9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6F395F5E" w:rsidR="001C6C2D" w:rsidRPr="00D77F97" w:rsidRDefault="00187E3D">
            <w:p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 xml:space="preserve">The analysis comprised of 30 articles, </w:t>
            </w:r>
            <w:r w:rsidR="00D77F97">
              <w:rPr>
                <w:rFonts w:ascii="Arial" w:hAnsi="Arial" w:cs="Arial"/>
                <w:sz w:val="20"/>
                <w:szCs w:val="20"/>
              </w:rPr>
              <w:t>and examined</w:t>
            </w:r>
            <w:r w:rsidRPr="00D77F97">
              <w:rPr>
                <w:rFonts w:ascii="Arial" w:hAnsi="Arial" w:cs="Arial"/>
                <w:sz w:val="20"/>
                <w:szCs w:val="20"/>
              </w:rPr>
              <w:t xml:space="preserve"> 8 play instruments.</w:t>
            </w:r>
          </w:p>
          <w:p w14:paraId="408F5EB5" w14:textId="47FE7D8A" w:rsidR="001C6C2D" w:rsidRPr="00D77F9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D77F97" w14:paraId="22CADDD7" w14:textId="77777777" w:rsidTr="003713B4">
        <w:tc>
          <w:tcPr>
            <w:tcW w:w="9010" w:type="dxa"/>
          </w:tcPr>
          <w:p w14:paraId="0F576CA1" w14:textId="3473BFD8" w:rsidR="001C6C2D" w:rsidRPr="00D77F9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7F97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D77F9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151CE548" w:rsidR="001C6C2D" w:rsidRPr="00D77F97" w:rsidRDefault="00187E3D" w:rsidP="00187E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>The Revised Knox Preschool Play Scale is considered the most extensive and comprehensive play instrument for extrinsic aspects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D77F97">
              <w:rPr>
                <w:rFonts w:ascii="Arial" w:hAnsi="Arial" w:cs="Arial"/>
                <w:sz w:val="20"/>
                <w:szCs w:val="20"/>
              </w:rPr>
              <w:t xml:space="preserve"> it can be considered the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 xml:space="preserve"> gold standard for OT play assessment, </w:t>
            </w:r>
            <w:r w:rsidR="00D77F97">
              <w:rPr>
                <w:rFonts w:ascii="Arial" w:hAnsi="Arial" w:cs="Arial"/>
                <w:sz w:val="20"/>
                <w:szCs w:val="20"/>
              </w:rPr>
              <w:t>easy to administer and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 xml:space="preserve"> accepted across disciplines. </w:t>
            </w:r>
            <w:r w:rsidR="00D77F97">
              <w:rPr>
                <w:rFonts w:ascii="Arial" w:hAnsi="Arial" w:cs="Arial"/>
                <w:sz w:val="20"/>
                <w:szCs w:val="20"/>
              </w:rPr>
              <w:t>The scale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 xml:space="preserve"> utilizes </w:t>
            </w:r>
            <w:r w:rsidR="00FD61CF" w:rsidRPr="00D77F97">
              <w:rPr>
                <w:rFonts w:ascii="Arial" w:hAnsi="Arial" w:cs="Arial"/>
                <w:sz w:val="20"/>
                <w:szCs w:val="20"/>
              </w:rPr>
              <w:t>observations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AF333D3" w14:textId="77777777" w:rsidR="001C6C2D" w:rsidRPr="00D77F9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48018001" w:rsidR="001C6C2D" w:rsidRPr="00D77F97" w:rsidRDefault="0045080A" w:rsidP="00187E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 xml:space="preserve">The Test of Playfulness + Test of Environmental Supportiveness Unifying Measure </w:t>
            </w:r>
            <w:r w:rsidR="00187E3D" w:rsidRPr="00D77F97">
              <w:rPr>
                <w:rFonts w:ascii="Arial" w:hAnsi="Arial" w:cs="Arial"/>
                <w:sz w:val="20"/>
                <w:szCs w:val="20"/>
              </w:rPr>
              <w:t>is a promising play instrument for intrinsic aspect of play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>, such as motivation.</w:t>
            </w:r>
            <w:r w:rsidR="00D77F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7F9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77F97">
              <w:rPr>
                <w:rFonts w:ascii="Arial" w:hAnsi="Arial" w:cs="Arial"/>
                <w:sz w:val="20"/>
                <w:szCs w:val="20"/>
              </w:rPr>
              <w:t>measure also</w:t>
            </w:r>
            <w:r w:rsidR="00D77F97" w:rsidRPr="00D77F97">
              <w:rPr>
                <w:rFonts w:ascii="Arial" w:hAnsi="Arial" w:cs="Arial"/>
                <w:sz w:val="20"/>
                <w:szCs w:val="20"/>
              </w:rPr>
              <w:t xml:space="preserve"> utilizes observations. </w:t>
            </w:r>
            <w:r w:rsidR="006C4B53" w:rsidRPr="00D77F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6D0797" w14:textId="77777777" w:rsidR="001C6C2D" w:rsidRPr="00D77F9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2D73E302" w:rsidR="001C6C2D" w:rsidRPr="00D77F97" w:rsidRDefault="0045080A" w:rsidP="00187E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>In addition</w:t>
            </w:r>
            <w:r w:rsidR="00FD61CF" w:rsidRPr="00D77F97">
              <w:rPr>
                <w:rFonts w:ascii="Arial" w:hAnsi="Arial" w:cs="Arial"/>
                <w:sz w:val="20"/>
                <w:szCs w:val="20"/>
              </w:rPr>
              <w:t xml:space="preserve"> to observational instruments, the </w:t>
            </w:r>
            <w:r w:rsidR="00187E3D" w:rsidRPr="00D77F97">
              <w:rPr>
                <w:rFonts w:ascii="Arial" w:hAnsi="Arial" w:cs="Arial"/>
                <w:sz w:val="20"/>
                <w:szCs w:val="20"/>
              </w:rPr>
              <w:t>My Child’s Play is a potential questionnaire-based play instrument.</w:t>
            </w:r>
          </w:p>
          <w:p w14:paraId="28D85BC1" w14:textId="77777777" w:rsidR="001C6C2D" w:rsidRPr="00D77F9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A5549C" w14:textId="50F2E3DA" w:rsidR="001C6C2D" w:rsidRPr="00D77F97" w:rsidRDefault="00187E3D" w:rsidP="006C4B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 xml:space="preserve">The current development of play instruments within OT is immature </w:t>
            </w:r>
            <w:r w:rsidRPr="00D77F9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D77F97">
              <w:rPr>
                <w:rFonts w:ascii="Arial" w:hAnsi="Arial" w:cs="Arial"/>
                <w:sz w:val="20"/>
                <w:szCs w:val="20"/>
              </w:rPr>
              <w:t xml:space="preserve"> occupational therapists should</w:t>
            </w:r>
            <w:r w:rsidR="00FD61CF" w:rsidRPr="00D77F97">
              <w:rPr>
                <w:rFonts w:ascii="Arial" w:hAnsi="Arial" w:cs="Arial"/>
                <w:sz w:val="20"/>
                <w:szCs w:val="20"/>
              </w:rPr>
              <w:t xml:space="preserve"> combine findings from the instrument with</w:t>
            </w:r>
            <w:r w:rsidRPr="00D77F97">
              <w:rPr>
                <w:rFonts w:ascii="Arial" w:hAnsi="Arial" w:cs="Arial"/>
                <w:sz w:val="20"/>
                <w:szCs w:val="20"/>
              </w:rPr>
              <w:t xml:space="preserve"> good clinical reasoning when selecting a play instrument to use in practice.</w:t>
            </w:r>
            <w:r w:rsidR="00FD61CF" w:rsidRPr="00D77F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1B1AFCD" w14:textId="77777777" w:rsidR="00FD61CF" w:rsidRPr="00D77F97" w:rsidRDefault="00FD61CF" w:rsidP="00FD61C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E611F06" w14:textId="4938581D" w:rsidR="001C6C2D" w:rsidRPr="00D77F97" w:rsidRDefault="0045080A" w:rsidP="0045080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F97">
              <w:rPr>
                <w:rFonts w:ascii="Arial" w:hAnsi="Arial" w:cs="Arial"/>
                <w:sz w:val="20"/>
                <w:szCs w:val="20"/>
              </w:rPr>
              <w:t xml:space="preserve">Occupational therapy practitioners should consider both characteristics (i.e., skills) and quality traits (i.e., enjoyment) on play either during the evaluation or </w:t>
            </w:r>
            <w:r w:rsidR="00FD61CF" w:rsidRPr="00D77F97">
              <w:rPr>
                <w:rFonts w:ascii="Arial" w:hAnsi="Arial" w:cs="Arial"/>
                <w:sz w:val="20"/>
                <w:szCs w:val="20"/>
              </w:rPr>
              <w:t>intervention.</w:t>
            </w:r>
          </w:p>
          <w:p w14:paraId="09EB4BE2" w14:textId="1EF01621" w:rsidR="001C6C2D" w:rsidRPr="00D77F9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D77F97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337B6"/>
    <w:multiLevelType w:val="hybridMultilevel"/>
    <w:tmpl w:val="26782FFA"/>
    <w:lvl w:ilvl="0" w:tplc="F9688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87E3D"/>
    <w:rsid w:val="001C6C2D"/>
    <w:rsid w:val="0045080A"/>
    <w:rsid w:val="00492E35"/>
    <w:rsid w:val="004A5D18"/>
    <w:rsid w:val="006C4B53"/>
    <w:rsid w:val="00980E16"/>
    <w:rsid w:val="00C13940"/>
    <w:rsid w:val="00D37CD7"/>
    <w:rsid w:val="00D77F97"/>
    <w:rsid w:val="00FB29EF"/>
    <w:rsid w:val="00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2022-09-18T03:12:00Z</dcterms:created>
  <dcterms:modified xsi:type="dcterms:W3CDTF">2022-09-18T03:12:00Z</dcterms:modified>
</cp:coreProperties>
</file>