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FA06E6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FA06E6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Full source reference: </w:t>
            </w:r>
          </w:p>
          <w:p w14:paraId="4241C39C" w14:textId="77777777" w:rsidR="00FA06E6" w:rsidRPr="00FA06E6" w:rsidRDefault="00FA06E6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6FFA0538" w14:textId="77777777" w:rsidR="001C6C2D" w:rsidRDefault="00796A38">
            <w:p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  <w:lang w:val="it-IT"/>
              </w:rPr>
              <w:t xml:space="preserve">Valè, N., Gandolfi, M., Vignoli, L., Botticelli, A., Posteraro, F., Morone, G., ... </w:t>
            </w:r>
            <w:r w:rsidRPr="00FA06E6">
              <w:rPr>
                <w:rFonts w:ascii="Arial" w:hAnsi="Arial" w:cs="Arial"/>
                <w:sz w:val="20"/>
                <w:szCs w:val="20"/>
              </w:rPr>
              <w:t xml:space="preserve">&amp; Italian Consensus Conference on Robotic in Neurorehabilitation CICERONE. (2021). </w:t>
            </w:r>
            <w:bookmarkStart w:id="0" w:name="_GoBack"/>
            <w:r w:rsidRPr="00FA06E6">
              <w:rPr>
                <w:rFonts w:ascii="Arial" w:hAnsi="Arial" w:cs="Arial"/>
                <w:sz w:val="20"/>
                <w:szCs w:val="20"/>
              </w:rPr>
              <w:t>Electromechanical and Robotic Devices for Gait and Balance Rehabilitation of Children with Neurological Disability</w:t>
            </w:r>
            <w:bookmarkEnd w:id="0"/>
            <w:r w:rsidRPr="00FA06E6">
              <w:rPr>
                <w:rFonts w:ascii="Arial" w:hAnsi="Arial" w:cs="Arial"/>
                <w:sz w:val="20"/>
                <w:szCs w:val="20"/>
              </w:rPr>
              <w:t>: A Systematic Review. </w:t>
            </w:r>
            <w:r w:rsidRPr="00FA06E6">
              <w:rPr>
                <w:rFonts w:ascii="Arial" w:hAnsi="Arial" w:cs="Arial"/>
                <w:i/>
                <w:iCs/>
                <w:sz w:val="20"/>
                <w:szCs w:val="20"/>
              </w:rPr>
              <w:t>Applied Sciences</w:t>
            </w:r>
            <w:r w:rsidRPr="00FA06E6">
              <w:rPr>
                <w:rFonts w:ascii="Arial" w:hAnsi="Arial" w:cs="Arial"/>
                <w:sz w:val="20"/>
                <w:szCs w:val="20"/>
              </w:rPr>
              <w:t>, </w:t>
            </w:r>
            <w:r w:rsidRPr="00FA06E6">
              <w:rPr>
                <w:rFonts w:ascii="Arial" w:hAnsi="Arial" w:cs="Arial"/>
                <w:i/>
                <w:iCs/>
                <w:sz w:val="20"/>
                <w:szCs w:val="20"/>
              </w:rPr>
              <w:t>11</w:t>
            </w:r>
            <w:r w:rsidRPr="00FA06E6">
              <w:rPr>
                <w:rFonts w:ascii="Arial" w:hAnsi="Arial" w:cs="Arial"/>
                <w:sz w:val="20"/>
                <w:szCs w:val="20"/>
              </w:rPr>
              <w:t>(24), 12061.</w:t>
            </w:r>
          </w:p>
          <w:p w14:paraId="7526BC2B" w14:textId="64621B51" w:rsidR="00FA06E6" w:rsidRP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A06E6" w14:paraId="263547A7" w14:textId="77777777" w:rsidTr="008C6915">
        <w:tc>
          <w:tcPr>
            <w:tcW w:w="9010" w:type="dxa"/>
          </w:tcPr>
          <w:p w14:paraId="686637B3" w14:textId="20525EEA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FA06E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168CBF" w14:textId="509B6589" w:rsidR="00FA06E6" w:rsidRP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FA06E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https://www.mdpi.com/2076-3417/11/24/12061</w:t>
              </w:r>
            </w:hyperlink>
          </w:p>
          <w:p w14:paraId="6C196B46" w14:textId="6C328005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A06E6" w14:paraId="57312E94" w14:textId="77777777" w:rsidTr="003713B4">
        <w:tc>
          <w:tcPr>
            <w:tcW w:w="9010" w:type="dxa"/>
          </w:tcPr>
          <w:p w14:paraId="0E93D522" w14:textId="77777777" w:rsidR="001C6C2D" w:rsidRPr="00FA06E6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06E6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EB6BC6D" w14:textId="5ABB2DCF" w:rsid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</w:rPr>
              <w:t>This systematic r</w:t>
            </w:r>
            <w:r w:rsidR="00796A38" w:rsidRPr="00FA06E6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offered</w:t>
            </w:r>
            <w:r w:rsidRPr="00FA06E6">
              <w:rPr>
                <w:rFonts w:ascii="Arial" w:hAnsi="Arial" w:cs="Arial"/>
                <w:sz w:val="20"/>
                <w:szCs w:val="20"/>
              </w:rPr>
              <w:t xml:space="preserve"> a snapshot </w:t>
            </w:r>
            <w:r w:rsidR="00796A38" w:rsidRPr="00FA06E6">
              <w:rPr>
                <w:rFonts w:ascii="Arial" w:hAnsi="Arial" w:cs="Arial"/>
                <w:sz w:val="20"/>
                <w:szCs w:val="20"/>
              </w:rPr>
              <w:t xml:space="preserve">of the existing literature on robotic systems for the rehabilitation of gait and balance in children with neurological disabilities. </w:t>
            </w:r>
          </w:p>
          <w:p w14:paraId="59D949A5" w14:textId="77777777" w:rsidR="00FA06E6" w:rsidRP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7EC371" w14:textId="77777777" w:rsid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review included </w:t>
            </w:r>
            <w:r w:rsidR="00796A38" w:rsidRPr="00FA06E6">
              <w:rPr>
                <w:rFonts w:ascii="Arial" w:hAnsi="Arial" w:cs="Arial"/>
                <w:sz w:val="20"/>
                <w:szCs w:val="20"/>
              </w:rPr>
              <w:t xml:space="preserve">31 articles, mostly involving children with cerebral palsy. </w:t>
            </w:r>
          </w:p>
          <w:p w14:paraId="274A7939" w14:textId="77777777" w:rsidR="00FA06E6" w:rsidRDefault="00FA06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6C1CC8A6" w:rsidR="001C6C2D" w:rsidRPr="00FA06E6" w:rsidRDefault="00796A38">
            <w:p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</w:rPr>
              <w:t xml:space="preserve">Sample: children (age &lt; 18 years old) affected by neurological diseases. </w:t>
            </w:r>
          </w:p>
          <w:p w14:paraId="408F5EB5" w14:textId="47FE7D8A" w:rsidR="001C6C2D" w:rsidRPr="00FA06E6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FA06E6" w14:paraId="22CADDD7" w14:textId="77777777" w:rsidTr="003713B4">
        <w:tc>
          <w:tcPr>
            <w:tcW w:w="9010" w:type="dxa"/>
          </w:tcPr>
          <w:p w14:paraId="0F576CA1" w14:textId="3473BFD8" w:rsidR="001C6C2D" w:rsidRPr="00FA06E6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06E6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FA06E6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5E090098" w:rsidR="001C6C2D" w:rsidRPr="00FA06E6" w:rsidRDefault="00796A38" w:rsidP="00796A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</w:rPr>
              <w:t xml:space="preserve">A limited number of studies on this topic were found. 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>Methodologic</w:t>
            </w:r>
            <w:r w:rsidR="007F75A7">
              <w:rPr>
                <w:rFonts w:ascii="Arial" w:hAnsi="Arial" w:cs="Arial"/>
                <w:sz w:val="20"/>
                <w:szCs w:val="20"/>
              </w:rPr>
              <w:t xml:space="preserve">al quality was low to moderate. </w:t>
            </w:r>
          </w:p>
          <w:p w14:paraId="1AF333D3" w14:textId="77777777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1704A15D" w:rsidR="001C6C2D" w:rsidRPr="00FA06E6" w:rsidRDefault="007F75A7" w:rsidP="00E617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were l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>imited number of devices developed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paediatric population, whereby 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>most were ini</w:t>
            </w:r>
            <w:r>
              <w:rPr>
                <w:rFonts w:ascii="Arial" w:hAnsi="Arial" w:cs="Arial"/>
                <w:sz w:val="20"/>
                <w:szCs w:val="20"/>
              </w:rPr>
              <w:t>tially intended for adult users. H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 xml:space="preserve">owever, several studies have shown that their use can offer relevant opportunities to promote children’s sensorimotor recovery and prevent disease progression. </w:t>
            </w:r>
          </w:p>
          <w:p w14:paraId="526D0797" w14:textId="77777777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23A020C1" w:rsidR="001C6C2D" w:rsidRPr="00FA06E6" w:rsidRDefault="007F75A7" w:rsidP="00E617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an identified n</w:t>
            </w:r>
            <w:r w:rsidR="00B6680B" w:rsidRPr="00FA06E6">
              <w:rPr>
                <w:rFonts w:ascii="Arial" w:hAnsi="Arial" w:cs="Arial"/>
                <w:sz w:val="20"/>
                <w:szCs w:val="20"/>
              </w:rPr>
              <w:t>eed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 xml:space="preserve"> for new devices specifically designed and developed for children. It would be essential to involve both engineers and therapists during the design stage</w:t>
            </w:r>
            <w:r w:rsidR="00B6680B" w:rsidRPr="00FA06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9E95AD" w14:textId="77777777" w:rsidR="00B6680B" w:rsidRPr="00FA06E6" w:rsidRDefault="00B6680B" w:rsidP="00B6680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8DBFA03" w14:textId="511546DC" w:rsidR="001C6C2D" w:rsidRPr="00FA06E6" w:rsidRDefault="00B6680B" w:rsidP="00B668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</w:rPr>
              <w:t>Findings suggested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 xml:space="preserve"> that rehabilitation protocols are highly heterogeneous in terms of treatment duration, ranging from one to 60 sessions and duration of each session ranging from eight to 75 min</w:t>
            </w:r>
            <w:r w:rsidR="007F75A7">
              <w:rPr>
                <w:rFonts w:ascii="Arial" w:hAnsi="Arial" w:cs="Arial"/>
                <w:sz w:val="20"/>
                <w:szCs w:val="20"/>
              </w:rPr>
              <w:t>s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A06E6">
              <w:rPr>
                <w:rFonts w:ascii="Arial" w:hAnsi="Arial" w:cs="Arial"/>
                <w:sz w:val="20"/>
                <w:szCs w:val="20"/>
              </w:rPr>
              <w:t>In</w:t>
            </w:r>
            <w:r w:rsidR="00E617B8" w:rsidRPr="00FA06E6">
              <w:rPr>
                <w:rFonts w:ascii="Arial" w:hAnsi="Arial" w:cs="Arial"/>
                <w:sz w:val="20"/>
                <w:szCs w:val="20"/>
              </w:rPr>
              <w:t xml:space="preserve"> a limited number of studies, the difficulty level of the treatment was adjustable to the patient’s needs.</w:t>
            </w:r>
          </w:p>
          <w:p w14:paraId="766D9295" w14:textId="77777777" w:rsidR="00B6680B" w:rsidRPr="00FA06E6" w:rsidRDefault="00B6680B" w:rsidP="00B6680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F4EBA63" w14:textId="307FD378" w:rsidR="001C6C2D" w:rsidRPr="00FA06E6" w:rsidRDefault="00B6680B" w:rsidP="00B668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A06E6">
              <w:rPr>
                <w:rFonts w:ascii="Arial" w:hAnsi="Arial" w:cs="Arial"/>
                <w:sz w:val="20"/>
                <w:szCs w:val="20"/>
              </w:rPr>
              <w:t xml:space="preserve">Robot-assisted rehabilitation may be helpful and feasible for neurorehabilitation in children. When using robotic devices, clinicians should design intensive, task-oriented, personalized treatment to foster neuroplasticity and recovery. </w:t>
            </w:r>
          </w:p>
          <w:p w14:paraId="6E611F06" w14:textId="77777777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FA06E6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7F75A7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4746"/>
    <w:multiLevelType w:val="hybridMultilevel"/>
    <w:tmpl w:val="A5146A62"/>
    <w:lvl w:ilvl="0" w:tplc="9CF6F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492E35"/>
    <w:rsid w:val="00796A38"/>
    <w:rsid w:val="007F75A7"/>
    <w:rsid w:val="00980E16"/>
    <w:rsid w:val="00B6680B"/>
    <w:rsid w:val="00C13940"/>
    <w:rsid w:val="00E617B8"/>
    <w:rsid w:val="00F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2076-3417/11/24/120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2022-09-18T02:09:00Z</dcterms:created>
  <dcterms:modified xsi:type="dcterms:W3CDTF">2022-09-18T02:09:00Z</dcterms:modified>
</cp:coreProperties>
</file>