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C6C2D" w:rsidRPr="00BF6F6E" w14:paraId="6A0DAF49" w14:textId="77777777" w:rsidTr="001331E0">
        <w:tc>
          <w:tcPr>
            <w:tcW w:w="9010" w:type="dxa"/>
          </w:tcPr>
          <w:p w14:paraId="3C0F247F" w14:textId="7231977E" w:rsidR="001C6C2D" w:rsidRPr="00BF6F6E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6F6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Full source reference: </w:t>
            </w:r>
          </w:p>
          <w:p w14:paraId="13391B84" w14:textId="77777777" w:rsidR="00BF6F6E" w:rsidRDefault="00BF6F6E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5057A99C" w14:textId="10E1536C" w:rsidR="001C6C2D" w:rsidRPr="00BF6F6E" w:rsidRDefault="0079180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F6F6E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Carsone</w:t>
            </w:r>
            <w:proofErr w:type="spellEnd"/>
            <w:r w:rsidRPr="00BF6F6E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B., Green, K., </w:t>
            </w:r>
            <w:proofErr w:type="spellStart"/>
            <w:r w:rsidRPr="00BF6F6E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Torrence</w:t>
            </w:r>
            <w:proofErr w:type="spellEnd"/>
            <w:r w:rsidRPr="00BF6F6E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W., &amp; Henry, B. (2021). </w:t>
            </w:r>
            <w:bookmarkStart w:id="0" w:name="_GoBack"/>
            <w:r w:rsidRPr="00BF6F6E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Systematic Review of Visual Motor Integration in Children with Developmental Disabilities</w:t>
            </w:r>
            <w:bookmarkEnd w:id="0"/>
            <w:r w:rsidRPr="00BF6F6E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 </w:t>
            </w:r>
            <w:r w:rsidRPr="00BF6F6E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Occupational Therapy International</w:t>
            </w:r>
            <w:r w:rsidRPr="00BF6F6E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 </w:t>
            </w:r>
            <w:r w:rsidRPr="00BF6F6E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2021</w:t>
            </w:r>
            <w:r w:rsidRPr="00BF6F6E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</w:t>
            </w:r>
          </w:p>
          <w:p w14:paraId="7526BC2B" w14:textId="22FFF49B" w:rsidR="001C6C2D" w:rsidRPr="00BF6F6E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6C2D" w:rsidRPr="00BF6F6E" w14:paraId="263547A7" w14:textId="77777777" w:rsidTr="008C6915">
        <w:tc>
          <w:tcPr>
            <w:tcW w:w="9010" w:type="dxa"/>
          </w:tcPr>
          <w:p w14:paraId="686637B3" w14:textId="20525EEA" w:rsidR="001C6C2D" w:rsidRPr="00BF6F6E" w:rsidRDefault="001C6C2D">
            <w:pPr>
              <w:rPr>
                <w:rFonts w:ascii="Arial" w:hAnsi="Arial" w:cs="Arial"/>
                <w:sz w:val="20"/>
                <w:szCs w:val="20"/>
              </w:rPr>
            </w:pPr>
            <w:r w:rsidRPr="00BF6F6E">
              <w:rPr>
                <w:rFonts w:ascii="Arial" w:hAnsi="Arial" w:cs="Arial"/>
                <w:b/>
                <w:bCs/>
                <w:sz w:val="20"/>
                <w:szCs w:val="20"/>
              </w:rPr>
              <w:t>Free access link</w:t>
            </w:r>
            <w:r w:rsidRPr="00BF6F6E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440776CB" w14:textId="77777777" w:rsidR="001C6C2D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39293815" w14:textId="72BE8DCB" w:rsidR="00BF6F6E" w:rsidRDefault="00BF6F6E">
            <w:pPr>
              <w:rPr>
                <w:rFonts w:ascii="Arial" w:hAnsi="Arial" w:cs="Arial"/>
                <w:sz w:val="20"/>
                <w:szCs w:val="20"/>
              </w:rPr>
            </w:pPr>
            <w:hyperlink r:id="rId5" w:history="1">
              <w:r w:rsidRPr="003332F9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https://www.ncbi.nlm.nih.gov/pmc/articles/PMC8321716/pdf/OTI2021-1801196.pdf</w:t>
              </w:r>
            </w:hyperlink>
          </w:p>
          <w:p w14:paraId="6C196B46" w14:textId="6C328005" w:rsidR="001C6C2D" w:rsidRPr="00BF6F6E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6C2D" w:rsidRPr="00BF6F6E" w14:paraId="57312E94" w14:textId="77777777" w:rsidTr="003713B4">
        <w:tc>
          <w:tcPr>
            <w:tcW w:w="9010" w:type="dxa"/>
          </w:tcPr>
          <w:p w14:paraId="0E93D522" w14:textId="77777777" w:rsidR="001C6C2D" w:rsidRPr="00BF6F6E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6F6E">
              <w:rPr>
                <w:rFonts w:ascii="Arial" w:hAnsi="Arial" w:cs="Arial"/>
                <w:b/>
                <w:bCs/>
                <w:sz w:val="20"/>
                <w:szCs w:val="20"/>
              </w:rPr>
              <w:t>Article Overview:</w:t>
            </w:r>
          </w:p>
          <w:p w14:paraId="7C42F039" w14:textId="7BFDA3EC" w:rsidR="0079180E" w:rsidRPr="00BF6F6E" w:rsidRDefault="00BF6F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article is a systematic</w:t>
            </w:r>
            <w:r w:rsidR="0079180E" w:rsidRPr="00BF6F6E">
              <w:rPr>
                <w:rFonts w:ascii="Arial" w:hAnsi="Arial" w:cs="Arial"/>
                <w:sz w:val="20"/>
                <w:szCs w:val="20"/>
              </w:rPr>
              <w:t xml:space="preserve"> review evaluating the current understanding of visual motor integration (VMI) scores of children with developmental disabilities.</w:t>
            </w:r>
            <w:r>
              <w:rPr>
                <w:rFonts w:ascii="Arial" w:hAnsi="Arial" w:cs="Arial"/>
                <w:sz w:val="20"/>
                <w:szCs w:val="20"/>
              </w:rPr>
              <w:t xml:space="preserve"> 24 articles were selected for review. Four themes emerged from the s</w:t>
            </w:r>
            <w:r w:rsidR="0079180E" w:rsidRPr="00BF6F6E">
              <w:rPr>
                <w:rFonts w:ascii="Arial" w:hAnsi="Arial" w:cs="Arial"/>
                <w:sz w:val="20"/>
                <w:szCs w:val="20"/>
              </w:rPr>
              <w:t xml:space="preserve">elected articles: age, gender and diagnosis. </w:t>
            </w:r>
          </w:p>
          <w:p w14:paraId="408F5EB5" w14:textId="47FE7D8A" w:rsidR="001C6C2D" w:rsidRPr="00BF6F6E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C6C2D" w:rsidRPr="00BF6F6E" w14:paraId="22CADDD7" w14:textId="77777777" w:rsidTr="003713B4">
        <w:tc>
          <w:tcPr>
            <w:tcW w:w="9010" w:type="dxa"/>
          </w:tcPr>
          <w:p w14:paraId="0F576CA1" w14:textId="3473BFD8" w:rsidR="001C6C2D" w:rsidRPr="00BF6F6E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6F6E">
              <w:rPr>
                <w:rFonts w:ascii="Arial" w:hAnsi="Arial" w:cs="Arial"/>
                <w:b/>
                <w:bCs/>
                <w:sz w:val="20"/>
                <w:szCs w:val="20"/>
              </w:rPr>
              <w:t>Key take home messages:</w:t>
            </w:r>
          </w:p>
          <w:p w14:paraId="579397EF" w14:textId="77777777" w:rsidR="001C6C2D" w:rsidRPr="00BF6F6E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50C65B9" w14:textId="39FA3B65" w:rsidR="001C6C2D" w:rsidRPr="00BF6F6E" w:rsidRDefault="0079180E" w:rsidP="0079180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BF6F6E">
              <w:rPr>
                <w:rFonts w:ascii="Arial" w:hAnsi="Arial" w:cs="Arial"/>
                <w:sz w:val="20"/>
                <w:szCs w:val="20"/>
              </w:rPr>
              <w:t xml:space="preserve">Age shown to impact VMI scores </w:t>
            </w:r>
            <w:r w:rsidRPr="00BF6F6E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="00BF6F6E">
              <w:rPr>
                <w:rFonts w:ascii="Arial" w:hAnsi="Arial" w:cs="Arial"/>
                <w:sz w:val="20"/>
                <w:szCs w:val="20"/>
              </w:rPr>
              <w:t xml:space="preserve"> therefore it is</w:t>
            </w:r>
            <w:r w:rsidRPr="00BF6F6E">
              <w:rPr>
                <w:rFonts w:ascii="Arial" w:hAnsi="Arial" w:cs="Arial"/>
                <w:sz w:val="20"/>
                <w:szCs w:val="20"/>
              </w:rPr>
              <w:t xml:space="preserve"> important for clinicians to take note of the impact of </w:t>
            </w:r>
            <w:r w:rsidR="00A12B72" w:rsidRPr="00BF6F6E">
              <w:rPr>
                <w:rFonts w:ascii="Arial" w:hAnsi="Arial" w:cs="Arial"/>
                <w:sz w:val="20"/>
                <w:szCs w:val="20"/>
              </w:rPr>
              <w:t xml:space="preserve">age </w:t>
            </w:r>
            <w:r w:rsidRPr="00BF6F6E">
              <w:rPr>
                <w:rFonts w:ascii="Arial" w:hAnsi="Arial" w:cs="Arial"/>
                <w:sz w:val="20"/>
                <w:szCs w:val="20"/>
              </w:rPr>
              <w:t xml:space="preserve">on VMI. </w:t>
            </w:r>
            <w:r w:rsidR="00BF6F6E">
              <w:rPr>
                <w:rFonts w:ascii="Arial" w:hAnsi="Arial" w:cs="Arial"/>
                <w:sz w:val="20"/>
                <w:szCs w:val="20"/>
              </w:rPr>
              <w:t>This emphasises the n</w:t>
            </w:r>
            <w:r w:rsidR="00A12B72" w:rsidRPr="00BF6F6E">
              <w:rPr>
                <w:rFonts w:ascii="Arial" w:hAnsi="Arial" w:cs="Arial"/>
                <w:sz w:val="20"/>
                <w:szCs w:val="20"/>
              </w:rPr>
              <w:t xml:space="preserve">eed to consider age-based norms when assessing VMI skills. </w:t>
            </w:r>
          </w:p>
          <w:p w14:paraId="1AF333D3" w14:textId="77777777" w:rsidR="001C6C2D" w:rsidRPr="00BF6F6E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2BA38B57" w14:textId="42D90196" w:rsidR="001C6C2D" w:rsidRPr="00BF6F6E" w:rsidRDefault="0079180E" w:rsidP="0079180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BF6F6E">
              <w:rPr>
                <w:rFonts w:ascii="Arial" w:hAnsi="Arial" w:cs="Arial"/>
                <w:sz w:val="20"/>
                <w:szCs w:val="20"/>
              </w:rPr>
              <w:t xml:space="preserve">Gender </w:t>
            </w:r>
            <w:r w:rsidR="00BF6F6E">
              <w:rPr>
                <w:rFonts w:ascii="Arial" w:hAnsi="Arial" w:cs="Arial"/>
                <w:sz w:val="20"/>
                <w:szCs w:val="20"/>
              </w:rPr>
              <w:t>mat</w:t>
            </w:r>
            <w:r w:rsidRPr="00BF6F6E">
              <w:rPr>
                <w:rFonts w:ascii="Arial" w:hAnsi="Arial" w:cs="Arial"/>
                <w:sz w:val="20"/>
                <w:szCs w:val="20"/>
              </w:rPr>
              <w:t xml:space="preserve"> have an impact on VMI scores too, e.g. </w:t>
            </w:r>
            <w:r w:rsidR="00A12B72" w:rsidRPr="00BF6F6E">
              <w:rPr>
                <w:rFonts w:ascii="Arial" w:hAnsi="Arial" w:cs="Arial"/>
                <w:sz w:val="20"/>
                <w:szCs w:val="20"/>
              </w:rPr>
              <w:t xml:space="preserve">some </w:t>
            </w:r>
            <w:r w:rsidRPr="00BF6F6E">
              <w:rPr>
                <w:rFonts w:ascii="Arial" w:hAnsi="Arial" w:cs="Arial"/>
                <w:sz w:val="20"/>
                <w:szCs w:val="20"/>
              </w:rPr>
              <w:t xml:space="preserve">studies found that males would have </w:t>
            </w:r>
            <w:r w:rsidR="00BF6F6E">
              <w:rPr>
                <w:rFonts w:ascii="Arial" w:hAnsi="Arial" w:cs="Arial"/>
                <w:sz w:val="20"/>
                <w:szCs w:val="20"/>
              </w:rPr>
              <w:t>higher risk of VMI deficits. H</w:t>
            </w:r>
            <w:r w:rsidRPr="00BF6F6E">
              <w:rPr>
                <w:rFonts w:ascii="Arial" w:hAnsi="Arial" w:cs="Arial"/>
                <w:sz w:val="20"/>
                <w:szCs w:val="20"/>
              </w:rPr>
              <w:t>o</w:t>
            </w:r>
            <w:r w:rsidR="00A12B72" w:rsidRPr="00BF6F6E">
              <w:rPr>
                <w:rFonts w:ascii="Arial" w:hAnsi="Arial" w:cs="Arial"/>
                <w:sz w:val="20"/>
                <w:szCs w:val="20"/>
              </w:rPr>
              <w:t>wever</w:t>
            </w:r>
            <w:r w:rsidR="00000265" w:rsidRPr="00BF6F6E">
              <w:rPr>
                <w:rFonts w:ascii="Arial" w:hAnsi="Arial" w:cs="Arial"/>
                <w:sz w:val="20"/>
                <w:szCs w:val="20"/>
              </w:rPr>
              <w:t>,</w:t>
            </w:r>
            <w:r w:rsidR="00A12B72" w:rsidRPr="00BF6F6E">
              <w:rPr>
                <w:rFonts w:ascii="Arial" w:hAnsi="Arial" w:cs="Arial"/>
                <w:sz w:val="20"/>
                <w:szCs w:val="20"/>
              </w:rPr>
              <w:t xml:space="preserve"> the literature is inconsistent and definitive conclusions </w:t>
            </w:r>
            <w:r w:rsidR="00000265" w:rsidRPr="00BF6F6E">
              <w:rPr>
                <w:rFonts w:ascii="Arial" w:hAnsi="Arial" w:cs="Arial"/>
                <w:sz w:val="20"/>
                <w:szCs w:val="20"/>
              </w:rPr>
              <w:t>cannot</w:t>
            </w:r>
            <w:r w:rsidR="00A12B72" w:rsidRPr="00BF6F6E">
              <w:rPr>
                <w:rFonts w:ascii="Arial" w:hAnsi="Arial" w:cs="Arial"/>
                <w:sz w:val="20"/>
                <w:szCs w:val="20"/>
              </w:rPr>
              <w:t xml:space="preserve"> be drawn yet. </w:t>
            </w:r>
          </w:p>
          <w:p w14:paraId="526D0797" w14:textId="77777777" w:rsidR="001C6C2D" w:rsidRPr="00BF6F6E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6636942D" w14:textId="683CF298" w:rsidR="001C6C2D" w:rsidRPr="00BF6F6E" w:rsidRDefault="00A12B72" w:rsidP="00A12B7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BF6F6E">
              <w:rPr>
                <w:rFonts w:ascii="Arial" w:hAnsi="Arial" w:cs="Arial"/>
                <w:sz w:val="20"/>
                <w:szCs w:val="20"/>
              </w:rPr>
              <w:t>Diagno</w:t>
            </w:r>
            <w:r w:rsidR="00BF6F6E">
              <w:rPr>
                <w:rFonts w:ascii="Arial" w:hAnsi="Arial" w:cs="Arial"/>
                <w:sz w:val="20"/>
                <w:szCs w:val="20"/>
              </w:rPr>
              <w:t>sis seems to impact VMI skills. S</w:t>
            </w:r>
            <w:r w:rsidRPr="00BF6F6E">
              <w:rPr>
                <w:rFonts w:ascii="Arial" w:hAnsi="Arial" w:cs="Arial"/>
                <w:sz w:val="20"/>
                <w:szCs w:val="20"/>
              </w:rPr>
              <w:t xml:space="preserve">pecifically </w:t>
            </w:r>
            <w:r w:rsidR="00BF6F6E">
              <w:rPr>
                <w:rFonts w:ascii="Arial" w:hAnsi="Arial" w:cs="Arial"/>
                <w:sz w:val="20"/>
                <w:szCs w:val="20"/>
              </w:rPr>
              <w:t>autism spectrum disorder</w:t>
            </w:r>
            <w:r w:rsidRPr="00BF6F6E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BF6F6E">
              <w:rPr>
                <w:rFonts w:ascii="Arial" w:hAnsi="Arial" w:cs="Arial"/>
                <w:sz w:val="20"/>
                <w:szCs w:val="20"/>
              </w:rPr>
              <w:t>brachial plexus injury</w:t>
            </w:r>
            <w:r w:rsidRPr="00BF6F6E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BF6F6E">
              <w:rPr>
                <w:rFonts w:ascii="Arial" w:hAnsi="Arial" w:cs="Arial"/>
                <w:sz w:val="20"/>
                <w:szCs w:val="20"/>
              </w:rPr>
              <w:t>cerebral palsy</w:t>
            </w:r>
            <w:r w:rsidRPr="00BF6F6E">
              <w:rPr>
                <w:rFonts w:ascii="Arial" w:hAnsi="Arial" w:cs="Arial"/>
                <w:sz w:val="20"/>
                <w:szCs w:val="20"/>
              </w:rPr>
              <w:t xml:space="preserve"> are associated with VMI deficits.</w:t>
            </w:r>
          </w:p>
          <w:p w14:paraId="28D85BC1" w14:textId="77777777" w:rsidR="001C6C2D" w:rsidRPr="00BF6F6E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68DBFA03" w14:textId="0533AD61" w:rsidR="001C6C2D" w:rsidRPr="00BF6F6E" w:rsidRDefault="00A12B72" w:rsidP="00A12B7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BF6F6E">
              <w:rPr>
                <w:rFonts w:ascii="Arial" w:hAnsi="Arial" w:cs="Arial"/>
                <w:sz w:val="20"/>
                <w:szCs w:val="20"/>
              </w:rPr>
              <w:t>Standardised assessments, such as the Berry VMI (</w:t>
            </w:r>
            <w:r w:rsidR="00BF6F6E">
              <w:rPr>
                <w:rFonts w:ascii="Arial" w:hAnsi="Arial" w:cs="Arial"/>
                <w:sz w:val="20"/>
                <w:szCs w:val="20"/>
              </w:rPr>
              <w:t xml:space="preserve">which </w:t>
            </w:r>
            <w:r w:rsidRPr="00BF6F6E">
              <w:rPr>
                <w:rFonts w:ascii="Arial" w:hAnsi="Arial" w:cs="Arial"/>
                <w:sz w:val="20"/>
                <w:szCs w:val="20"/>
              </w:rPr>
              <w:t xml:space="preserve">uses age-based norms) are recommended. </w:t>
            </w:r>
          </w:p>
          <w:p w14:paraId="5AA5549C" w14:textId="77777777" w:rsidR="001C6C2D" w:rsidRPr="00BF6F6E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7F4EBA63" w14:textId="74C57352" w:rsidR="001C6C2D" w:rsidRPr="00BF6F6E" w:rsidRDefault="00A12B72" w:rsidP="00A12B7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BF6F6E">
              <w:rPr>
                <w:rFonts w:ascii="Arial" w:hAnsi="Arial" w:cs="Arial"/>
                <w:sz w:val="20"/>
                <w:szCs w:val="20"/>
              </w:rPr>
              <w:t xml:space="preserve">Improvement of VMI can lead to positive changes in occupational performance and </w:t>
            </w:r>
            <w:r w:rsidR="00BF6F6E">
              <w:rPr>
                <w:rFonts w:ascii="Arial" w:hAnsi="Arial" w:cs="Arial"/>
                <w:sz w:val="20"/>
                <w:szCs w:val="20"/>
              </w:rPr>
              <w:t xml:space="preserve">assessments exploring this </w:t>
            </w:r>
            <w:r w:rsidRPr="00BF6F6E">
              <w:rPr>
                <w:rFonts w:ascii="Arial" w:hAnsi="Arial" w:cs="Arial"/>
                <w:sz w:val="20"/>
                <w:szCs w:val="20"/>
              </w:rPr>
              <w:t xml:space="preserve">should be included during evaluation. </w:t>
            </w:r>
          </w:p>
          <w:p w14:paraId="09EB4BE2" w14:textId="1EF01621" w:rsidR="001C6C2D" w:rsidRPr="00BF6F6E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6DA679" w14:textId="77777777" w:rsidR="003B2CF7" w:rsidRDefault="00BF6F6E"/>
    <w:sectPr w:rsidR="003B2CF7" w:rsidSect="00C139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852A0D"/>
    <w:multiLevelType w:val="hybridMultilevel"/>
    <w:tmpl w:val="64465B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C2D"/>
    <w:rsid w:val="00000265"/>
    <w:rsid w:val="00033FD7"/>
    <w:rsid w:val="001C6C2D"/>
    <w:rsid w:val="00492E35"/>
    <w:rsid w:val="0079180E"/>
    <w:rsid w:val="00980E16"/>
    <w:rsid w:val="00A12B72"/>
    <w:rsid w:val="00BF6F6E"/>
    <w:rsid w:val="00C1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C6D70"/>
  <w15:chartTrackingRefBased/>
  <w15:docId w15:val="{419F9602-C992-DC4C-8276-5898338A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6C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18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6F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cbi.nlm.nih.gov/pmc/articles/PMC8321716/pdf/OTI2021-1801196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Ferreira</dc:creator>
  <cp:keywords/>
  <dc:description/>
  <cp:lastModifiedBy>Astrid Ferreira</cp:lastModifiedBy>
  <cp:revision>2</cp:revision>
  <dcterms:created xsi:type="dcterms:W3CDTF">2022-09-18T07:54:00Z</dcterms:created>
  <dcterms:modified xsi:type="dcterms:W3CDTF">2022-09-18T07:54:00Z</dcterms:modified>
</cp:coreProperties>
</file>