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1F4A28" w14:paraId="6A0DAF49" w14:textId="77777777" w:rsidTr="001331E0">
        <w:tc>
          <w:tcPr>
            <w:tcW w:w="9010" w:type="dxa"/>
          </w:tcPr>
          <w:p w14:paraId="3C0F247F" w14:textId="7231977E" w:rsidR="001C6C2D" w:rsidRPr="001F4A28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4A2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26DFFF90" w14:textId="77777777" w:rsidR="001F4A28" w:rsidRDefault="001F4A2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7A99C" w14:textId="067570C9" w:rsidR="001C6C2D" w:rsidRPr="001F4A28" w:rsidRDefault="007C2FE2">
            <w:pPr>
              <w:rPr>
                <w:rFonts w:ascii="Arial" w:hAnsi="Arial" w:cs="Arial"/>
                <w:sz w:val="20"/>
                <w:szCs w:val="20"/>
              </w:rPr>
            </w:pPr>
            <w:r w:rsidRPr="001F4A28">
              <w:rPr>
                <w:rFonts w:ascii="Arial" w:hAnsi="Arial" w:cs="Arial"/>
                <w:sz w:val="20"/>
                <w:szCs w:val="20"/>
              </w:rPr>
              <w:t xml:space="preserve">Stewart, E., Milton, A., Yee, H. F., Song, M. J., Roberts, A., Davenport, T., &amp; </w:t>
            </w:r>
            <w:proofErr w:type="spellStart"/>
            <w:r w:rsidRPr="001F4A28">
              <w:rPr>
                <w:rFonts w:ascii="Arial" w:hAnsi="Arial" w:cs="Arial"/>
                <w:sz w:val="20"/>
                <w:szCs w:val="20"/>
              </w:rPr>
              <w:t>Hickie</w:t>
            </w:r>
            <w:proofErr w:type="spellEnd"/>
            <w:r w:rsidRPr="001F4A28">
              <w:rPr>
                <w:rFonts w:ascii="Arial" w:hAnsi="Arial" w:cs="Arial"/>
                <w:sz w:val="20"/>
                <w:szCs w:val="20"/>
              </w:rPr>
              <w:t xml:space="preserve">, I. (2022). </w:t>
            </w:r>
            <w:bookmarkStart w:id="0" w:name="_GoBack"/>
            <w:proofErr w:type="gramStart"/>
            <w:r w:rsidRPr="001F4A28">
              <w:rPr>
                <w:rFonts w:ascii="Arial" w:hAnsi="Arial" w:cs="Arial"/>
                <w:sz w:val="20"/>
                <w:szCs w:val="20"/>
              </w:rPr>
              <w:t>eHealth</w:t>
            </w:r>
            <w:proofErr w:type="gramEnd"/>
            <w:r w:rsidRPr="001F4A28">
              <w:rPr>
                <w:rFonts w:ascii="Arial" w:hAnsi="Arial" w:cs="Arial"/>
                <w:sz w:val="20"/>
                <w:szCs w:val="20"/>
              </w:rPr>
              <w:t xml:space="preserve"> Tools That Assess and Track Health and Well-being in Children and Young People: Systematic Review</w:t>
            </w:r>
            <w:bookmarkEnd w:id="0"/>
            <w:r w:rsidRPr="001F4A28">
              <w:rPr>
                <w:rFonts w:ascii="Arial" w:hAnsi="Arial" w:cs="Arial"/>
                <w:sz w:val="20"/>
                <w:szCs w:val="20"/>
              </w:rPr>
              <w:t>. </w:t>
            </w:r>
            <w:r w:rsidRPr="001F4A28">
              <w:rPr>
                <w:rFonts w:ascii="Arial" w:hAnsi="Arial" w:cs="Arial"/>
                <w:i/>
                <w:iCs/>
                <w:sz w:val="20"/>
                <w:szCs w:val="20"/>
              </w:rPr>
              <w:t>Journal of Medical Internet Research</w:t>
            </w:r>
            <w:r w:rsidRPr="001F4A28">
              <w:rPr>
                <w:rFonts w:ascii="Arial" w:hAnsi="Arial" w:cs="Arial"/>
                <w:sz w:val="20"/>
                <w:szCs w:val="20"/>
              </w:rPr>
              <w:t>, </w:t>
            </w:r>
            <w:r w:rsidRPr="001F4A28">
              <w:rPr>
                <w:rFonts w:ascii="Arial" w:hAnsi="Arial" w:cs="Arial"/>
                <w:i/>
                <w:iCs/>
                <w:sz w:val="20"/>
                <w:szCs w:val="20"/>
              </w:rPr>
              <w:t>24</w:t>
            </w:r>
            <w:r w:rsidRPr="001F4A28">
              <w:rPr>
                <w:rFonts w:ascii="Arial" w:hAnsi="Arial" w:cs="Arial"/>
                <w:sz w:val="20"/>
                <w:szCs w:val="20"/>
              </w:rPr>
              <w:t>(5), e26015.</w:t>
            </w:r>
          </w:p>
          <w:p w14:paraId="7526BC2B" w14:textId="22FFF49B" w:rsidR="001C6C2D" w:rsidRPr="001F4A28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1F4A28" w14:paraId="263547A7" w14:textId="77777777" w:rsidTr="008C6915">
        <w:tc>
          <w:tcPr>
            <w:tcW w:w="9010" w:type="dxa"/>
          </w:tcPr>
          <w:p w14:paraId="686637B3" w14:textId="20525EEA" w:rsidR="001C6C2D" w:rsidRPr="001F4A28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1F4A28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1F4A28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1F4A28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5CC209" w14:textId="77014308" w:rsidR="001C6C2D" w:rsidRDefault="001F4A28" w:rsidP="001F4A28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8B24F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https://www.ncbi.nlm.nih.gov/pmc/articles/PMC9136648/</w:t>
              </w:r>
            </w:hyperlink>
          </w:p>
          <w:p w14:paraId="6C196B46" w14:textId="754ACB0E" w:rsidR="001F4A28" w:rsidRPr="001F4A28" w:rsidRDefault="001F4A28" w:rsidP="001F4A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1F4A28" w14:paraId="57312E94" w14:textId="77777777" w:rsidTr="003713B4">
        <w:tc>
          <w:tcPr>
            <w:tcW w:w="9010" w:type="dxa"/>
          </w:tcPr>
          <w:p w14:paraId="0E93D522" w14:textId="77777777" w:rsidR="001C6C2D" w:rsidRPr="001F4A28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4A28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711381B9" w14:textId="77777777" w:rsidR="001F4A28" w:rsidRDefault="001F4A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review summarised</w:t>
            </w:r>
            <w:r w:rsidR="002953AF" w:rsidRPr="001F4A28">
              <w:rPr>
                <w:rFonts w:ascii="Arial" w:hAnsi="Arial" w:cs="Arial"/>
                <w:sz w:val="20"/>
                <w:szCs w:val="20"/>
              </w:rPr>
              <w:t xml:space="preserve"> eHealth tools assessing and tracking health in children and young people (birth to the age of 24 years). </w:t>
            </w:r>
          </w:p>
          <w:p w14:paraId="6E841300" w14:textId="77777777" w:rsidR="001F4A28" w:rsidRDefault="001F4A2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230163" w14:textId="4EDE465D" w:rsidR="001C6C2D" w:rsidRPr="001F4A28" w:rsidRDefault="001F4A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were </w:t>
            </w:r>
            <w:r w:rsidR="002953AF" w:rsidRPr="001F4A28">
              <w:rPr>
                <w:rFonts w:ascii="Arial" w:hAnsi="Arial" w:cs="Arial"/>
                <w:sz w:val="20"/>
                <w:szCs w:val="20"/>
              </w:rPr>
              <w:t xml:space="preserve">39 papers were included. </w:t>
            </w:r>
          </w:p>
          <w:p w14:paraId="408F5EB5" w14:textId="47FE7D8A" w:rsidR="001C6C2D" w:rsidRPr="001F4A28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1F4A28" w14:paraId="22CADDD7" w14:textId="77777777" w:rsidTr="003713B4">
        <w:tc>
          <w:tcPr>
            <w:tcW w:w="9010" w:type="dxa"/>
          </w:tcPr>
          <w:p w14:paraId="0F576CA1" w14:textId="3473BFD8" w:rsidR="001C6C2D" w:rsidRPr="001F4A28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4A28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1AF333D3" w14:textId="77777777" w:rsidR="001C6C2D" w:rsidRPr="001F4A28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F16490" w14:textId="514497FD" w:rsidR="0067347C" w:rsidRPr="001F4A28" w:rsidRDefault="001F4A28" w:rsidP="0067347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67347C" w:rsidRPr="001F4A28">
              <w:rPr>
                <w:rFonts w:ascii="Arial" w:hAnsi="Arial" w:cs="Arial"/>
                <w:sz w:val="20"/>
                <w:szCs w:val="20"/>
              </w:rPr>
              <w:t xml:space="preserve"> strong evidence base validating the clinical utility, efficacy and safety of eHealth tools is lacking. There is a need to investigate the potential risks and challenges of using these emerging technologies. </w:t>
            </w:r>
          </w:p>
          <w:p w14:paraId="21F51238" w14:textId="77777777" w:rsidR="0067347C" w:rsidRPr="001F4A28" w:rsidRDefault="0067347C" w:rsidP="0067347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BA38B57" w14:textId="231E03B0" w:rsidR="001C6C2D" w:rsidRPr="001F4A28" w:rsidRDefault="0067347C" w:rsidP="0067347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F4A28">
              <w:rPr>
                <w:rFonts w:ascii="Arial" w:hAnsi="Arial" w:cs="Arial"/>
                <w:sz w:val="20"/>
                <w:szCs w:val="20"/>
              </w:rPr>
              <w:t xml:space="preserve">Over half of the tools facilitated a connection between the young person and a health care provider. </w:t>
            </w:r>
            <w:r w:rsidR="001F4A28">
              <w:rPr>
                <w:rFonts w:ascii="Arial" w:hAnsi="Arial" w:cs="Arial"/>
                <w:sz w:val="20"/>
                <w:szCs w:val="20"/>
              </w:rPr>
              <w:t>A</w:t>
            </w:r>
            <w:r w:rsidRPr="001F4A28">
              <w:rPr>
                <w:rFonts w:ascii="Arial" w:hAnsi="Arial" w:cs="Arial"/>
                <w:sz w:val="20"/>
                <w:szCs w:val="20"/>
              </w:rPr>
              <w:t xml:space="preserve"> potential advantage is the ability to overcome geographical, financial, and social barriers hindering the provision of health services in specific populations and locations. </w:t>
            </w:r>
          </w:p>
          <w:p w14:paraId="526D0797" w14:textId="77777777" w:rsidR="001C6C2D" w:rsidRPr="001F4A28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CCA935" w14:textId="7C682100" w:rsidR="0067347C" w:rsidRPr="001F4A28" w:rsidRDefault="0067347C" w:rsidP="0067347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F4A28">
              <w:rPr>
                <w:rFonts w:ascii="Arial" w:hAnsi="Arial" w:cs="Arial"/>
                <w:sz w:val="20"/>
                <w:szCs w:val="20"/>
              </w:rPr>
              <w:t>Potential barriers were related to accessibility and functionality of devices, clinical utility and user uptake.</w:t>
            </w:r>
          </w:p>
          <w:p w14:paraId="34B0C9C9" w14:textId="77777777" w:rsidR="0067347C" w:rsidRPr="001F4A28" w:rsidRDefault="0067347C" w:rsidP="0067347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83141AA" w14:textId="47EEE7CF" w:rsidR="0067347C" w:rsidRPr="001F4A28" w:rsidRDefault="0067347C" w:rsidP="0067347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F4A28">
              <w:rPr>
                <w:rFonts w:ascii="Arial" w:hAnsi="Arial" w:cs="Arial"/>
                <w:sz w:val="20"/>
                <w:szCs w:val="20"/>
              </w:rPr>
              <w:t>With future research and development efforts in place, these tools have the potential to facilitate collaborative decision-making, improved communication, transmission of remote health data, and re</w:t>
            </w:r>
            <w:r w:rsidR="001F4A28">
              <w:rPr>
                <w:rFonts w:ascii="Arial" w:hAnsi="Arial" w:cs="Arial"/>
                <w:sz w:val="20"/>
                <w:szCs w:val="20"/>
              </w:rPr>
              <w:t xml:space="preserve">al-time assessment and tracking. This could support </w:t>
            </w:r>
            <w:r w:rsidRPr="001F4A28">
              <w:rPr>
                <w:rFonts w:ascii="Arial" w:hAnsi="Arial" w:cs="Arial"/>
                <w:sz w:val="20"/>
                <w:szCs w:val="20"/>
              </w:rPr>
              <w:t>a positive step forward in digitalizing health practices.</w:t>
            </w:r>
          </w:p>
          <w:p w14:paraId="08EBAFFF" w14:textId="77777777" w:rsidR="0067347C" w:rsidRPr="001F4A28" w:rsidRDefault="0067347C" w:rsidP="0067347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F4EBA63" w14:textId="21D614D3" w:rsidR="001C6C2D" w:rsidRPr="001F4A28" w:rsidRDefault="002953AF" w:rsidP="0067347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F4A28">
              <w:rPr>
                <w:rFonts w:ascii="Arial" w:hAnsi="Arial" w:cs="Arial"/>
                <w:sz w:val="20"/>
                <w:szCs w:val="20"/>
              </w:rPr>
              <w:t>Overall, the current tools showed potential to enhance the assessment and tracking of children or young people in health services.</w:t>
            </w:r>
          </w:p>
          <w:p w14:paraId="09EB4BE2" w14:textId="1EF01621" w:rsidR="001C6C2D" w:rsidRPr="001F4A28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1F4A28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22BDF"/>
    <w:multiLevelType w:val="hybridMultilevel"/>
    <w:tmpl w:val="82BAA44E"/>
    <w:lvl w:ilvl="0" w:tplc="9AAC1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0A1C29"/>
    <w:rsid w:val="001C6C2D"/>
    <w:rsid w:val="001F4A28"/>
    <w:rsid w:val="002953AF"/>
    <w:rsid w:val="00492E35"/>
    <w:rsid w:val="0067347C"/>
    <w:rsid w:val="007C2FE2"/>
    <w:rsid w:val="00980E16"/>
    <w:rsid w:val="00C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53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913664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2022-09-18T03:01:00Z</dcterms:created>
  <dcterms:modified xsi:type="dcterms:W3CDTF">2022-09-18T03:01:00Z</dcterms:modified>
</cp:coreProperties>
</file>