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color="auto" w:val="clear"/>
          </w:tcPr>
          <w:p>
            <w:pPr>
              <w:spacing w:after="100" w:before="200"/>
              <w:jc w:val="center"/>
            </w:pPr>
            <w:r>
              <w:rPr>
                <w:b/>
                <w:bCs/>
                <w:color w:val="FFFFFF"/>
                <w:sz w:val="32"/>
                <w:szCs w:val="32"/>
              </w:rPr>
              <w:t xml:space="preserve">BVRIT HYDERABAD COLLEGE OF ENGINEERING FOR WOMEN</w:t>
            </w:r>
          </w:p>
          <w:p>
            <w:pPr>
              <w:spacing w:after="100"/>
              <w:jc w:val="center"/>
            </w:pPr>
            <w:r>
              <w:rPr>
                <w:b/>
                <w:bCs/>
                <w:color w:val="FFFFFF"/>
                <w:sz w:val="26"/>
                <w:szCs w:val="26"/>
              </w:rPr>
              <w:t xml:space="preserve">College Information Document</w:t>
            </w:r>
          </w:p>
          <w:p>
            <w:pPr>
              <w:spacing w:after="100"/>
              <w:jc w:val="center"/>
            </w:pPr>
            <w:r>
              <w:rPr>
                <w:color w:val="FFFFFF"/>
                <w:sz w:val="20"/>
                <w:szCs w:val="20"/>
              </w:rPr>
              <w:t xml:space="preserve">Comprehensive reference for the BVRIT Hyderabad FAQ Chatbot · Academic Year 2025–26</w:t>
            </w:r>
          </w:p>
          <w:p>
            <w:pPr>
              <w:spacing w:after="200"/>
              <w:jc w:val="center"/>
            </w:pPr>
            <w:r>
              <w:rPr>
                <w:i/>
                <w:iCs/>
                <w:color w:val="FFFFFF"/>
                <w:sz w:val="18"/>
                <w:szCs w:val="18"/>
              </w:rPr>
              <w:t xml:space="preserve">Version 1.0 · Compiled 4 July 2026 · Source: bvrithyderabad.edu.in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8860B" w:sz="6"/>
              <w:left w:val="single" w:color="B8860B" w:sz="6"/>
              <w:bottom w:val="single" w:color="B8860B" w:sz="6"/>
              <w:right w:val="single" w:color="B8860B" w:sz="6"/>
            </w:tcBorders>
            <w:shd w:fill="FFF4E5" w:color="auto" w:val="clear"/>
          </w:tcPr>
          <w:p>
            <w:r>
              <w:rPr>
                <w:b/>
                <w:bCs/>
                <w:sz w:val="22"/>
                <w:szCs w:val="22"/>
              </w:rPr>
              <w:t xml:space="preserve">NOTICE</w:t>
            </w:r>
          </w:p>
          <w:p>
            <w:pPr>
              <w:spacing w:before="100"/>
            </w:pPr>
            <w:r>
              <w:rPr>
                <w:sz w:val="20"/>
                <w:szCs w:val="20"/>
              </w:rPr>
              <w:t xml:space="preserve">This document has been compiled from publicly available pages of the official BVRIT HYDERABAD College of Engineering for Women website (https://bvrithyderabad.edu.in/) as of 4 July 2026, for use as a grounding/knowledge-base document in chatbot and GenAI project exercises.</w:t>
            </w:r>
          </w:p>
          <w:p>
            <w:pPr>
              <w:spacing w:before="100"/>
            </w:pPr>
            <w:r>
              <w:rPr>
                <w:sz w:val="20"/>
                <w:szCs w:val="20"/>
              </w:rPr>
              <w:t xml:space="preserve">All facts, figures, fee amounts, placement statistics, and names below are drawn directly from the official site (About, Admissions, Fee Details, Intake of Courses, Placements, Contact Us, and Principal pages). Where the website did not publish a figure (e.g. exact hostel or transport fee amounts, department-wise faculty counts), this is marked as 'Not published on website' rather than invented.</w:t>
            </w:r>
          </w:p>
          <w:p>
            <w:pPr>
              <w:spacing w:before="100"/>
            </w:pPr>
            <w:r>
              <w:rPr>
                <w:sz w:val="20"/>
                <w:szCs w:val="20"/>
              </w:rPr>
              <w:t xml:space="preserve">Website content changes over time — always cross-check current figures (fees, dates, placement stats) against the live website or the college admissions office before relying on them for decisions.</w:t>
            </w:r>
          </w:p>
        </w:tc>
      </w:tr>
    </w:tbl>
    <w:p>
      <w:r>
        <w:br w:type="page"/>
      </w:r>
    </w:p>
    <w:p>
      <w:pPr>
        <w:pStyle w:val="Heading1"/>
        <w:spacing w:after="150" w:before="300"/>
      </w:pPr>
      <w:r>
        <w:rPr>
          <w:b/>
          <w:bCs/>
          <w:color w:val="1F3864"/>
          <w:sz w:val="30"/>
          <w:szCs w:val="30"/>
        </w:rPr>
        <w:t xml:space="preserve">1. About BVRIT Hyderabad</w:t>
      </w:r>
    </w:p>
    <w:p>
      <w:pPr>
        <w:spacing w:after="160"/>
      </w:pPr>
      <w:r>
        <w:rPr>
          <w:sz w:val="21"/>
          <w:szCs w:val="21"/>
        </w:rPr>
        <w:t xml:space="preserve">BVRIT HYDERABAD College of Engineering for Women (BVRITH) is an autonomous, women-only engineering college established in 2012 as the youngest institution under the Sri Vishnu Educational Society (SVES), founded by Chairman Sri K V Vishnu Raju. The college is located in Bachupally, Hyderabad, and is affiliated to Jawaharlal Nehru Technological University Hyderabad (JNTUH).</w:t>
      </w:r>
    </w:p>
    <w:p>
      <w:pPr>
        <w:spacing w:after="160"/>
      </w:pPr>
      <w:r>
        <w:rPr>
          <w:sz w:val="21"/>
          <w:szCs w:val="21"/>
        </w:rPr>
        <w:t xml:space="preserve">The college was accredited by NAAC with Grade 'A' (CGPA 3.23) in 2020 and was granted UGC Autonomous status from AY 2023–24 for a period of 10 years. It is approved by AICTE and the Government of Telangana. The UG programmes in EEE, ECE and CSE are NBA accredited.</w:t>
      </w:r>
    </w:p>
    <w:p>
      <w:pPr>
        <w:spacing w:after="160"/>
      </w:pPr>
      <w:r>
        <w:rPr>
          <w:sz w:val="21"/>
          <w:szCs w:val="21"/>
        </w:rPr>
        <w:t xml:space="preserve">BVRITH currently offers 4 UG B.Tech programmes — CSE, CSE (AI&amp;ML), ECE and EEE — with a combined annual intake of 660, plus 3 PG M.Tech programmes: Data Sciences (intake 18), Computer Science and Engineering (intake 12), and VLSI Design (intake 12). Historically the college also ran a B.Tech Information Technology (IT) programme; IT no longer appears in the current UG intake table on the college website, though IT graduates from earlier batches are reflected in placement records below.</w:t>
      </w:r>
    </w:p>
    <w:p>
      <w:pPr>
        <w:pStyle w:val="Heading2"/>
        <w:spacing w:after="120" w:before="240"/>
      </w:pPr>
      <w:r>
        <w:rPr>
          <w:b/>
          <w:bCs/>
          <w:color w:val="1F3864"/>
          <w:sz w:val="24"/>
          <w:szCs w:val="24"/>
        </w:rPr>
        <w:t xml:space="preserve">1.1 Vision</w:t>
      </w:r>
    </w:p>
    <w:p>
      <w:pPr>
        <w:spacing w:after="160"/>
      </w:pPr>
      <w:r>
        <w:rPr>
          <w:sz w:val="21"/>
          <w:szCs w:val="21"/>
        </w:rPr>
        <w:t xml:space="preserve">To emerge as the best among the institutes of technology and research in the country dedicated to the cause of promoting quality technical education.</w:t>
      </w:r>
    </w:p>
    <w:p>
      <w:pPr>
        <w:pStyle w:val="Heading2"/>
        <w:spacing w:after="120" w:before="240"/>
      </w:pPr>
      <w:r>
        <w:rPr>
          <w:b/>
          <w:bCs/>
          <w:color w:val="1F3864"/>
          <w:sz w:val="24"/>
          <w:szCs w:val="24"/>
        </w:rPr>
        <w:t xml:space="preserve">1.2 Mission</w:t>
      </w:r>
    </w:p>
    <w:p>
      <w:pPr>
        <w:pStyle w:val="ListParagraph"/>
        <w:numPr>
          <w:ilvl w:val="0"/>
          <w:numId w:val="1"/>
        </w:numPr>
        <w:spacing w:after="80"/>
      </w:pPr>
      <w:r>
        <w:rPr>
          <w:sz w:val="21"/>
          <w:szCs w:val="21"/>
        </w:rPr>
        <w:t xml:space="preserve">Achieve academic excellence through innovative learning practices.</w:t>
      </w:r>
    </w:p>
    <w:p>
      <w:pPr>
        <w:pStyle w:val="ListParagraph"/>
        <w:numPr>
          <w:ilvl w:val="0"/>
          <w:numId w:val="1"/>
        </w:numPr>
        <w:spacing w:after="80"/>
      </w:pPr>
      <w:r>
        <w:rPr>
          <w:sz w:val="21"/>
          <w:szCs w:val="21"/>
        </w:rPr>
        <w:t xml:space="preserve">Enhance intellectual ability and technical competency for a successful career.</w:t>
      </w:r>
    </w:p>
    <w:p>
      <w:pPr>
        <w:pStyle w:val="ListParagraph"/>
        <w:numPr>
          <w:ilvl w:val="0"/>
          <w:numId w:val="1"/>
        </w:numPr>
        <w:spacing w:after="80"/>
      </w:pPr>
      <w:r>
        <w:rPr>
          <w:sz w:val="21"/>
          <w:szCs w:val="21"/>
        </w:rPr>
        <w:t xml:space="preserve">Encourage research and innovation.</w:t>
      </w:r>
    </w:p>
    <w:p>
      <w:pPr>
        <w:pStyle w:val="ListParagraph"/>
        <w:numPr>
          <w:ilvl w:val="0"/>
          <w:numId w:val="1"/>
        </w:numPr>
        <w:spacing w:after="80"/>
      </w:pPr>
      <w:r>
        <w:rPr>
          <w:sz w:val="21"/>
          <w:szCs w:val="21"/>
        </w:rPr>
        <w:t xml:space="preserve">Nurture students towards holistic development with emphasis on leadership skills, life skills and human values.</w:t>
      </w:r>
    </w:p>
    <w:p>
      <w:pPr>
        <w:pStyle w:val="Heading2"/>
        <w:spacing w:after="120" w:before="240"/>
      </w:pPr>
      <w:r>
        <w:rPr>
          <w:b/>
          <w:bCs/>
          <w:color w:val="1F3864"/>
          <w:sz w:val="24"/>
          <w:szCs w:val="24"/>
        </w:rPr>
        <w:t xml:space="preserve">1.3 Accreditations &amp; Recognitions</w:t>
      </w:r>
    </w:p>
    <w:p>
      <w:pPr>
        <w:pStyle w:val="ListParagraph"/>
        <w:numPr>
          <w:ilvl w:val="0"/>
          <w:numId w:val="1"/>
        </w:numPr>
        <w:spacing w:after="80"/>
      </w:pPr>
      <w:r>
        <w:rPr>
          <w:sz w:val="21"/>
          <w:szCs w:val="21"/>
        </w:rPr>
        <w:t xml:space="preserve">NAAC Accredited with Grade 'A' (CGPA 3.23), awarded 2020</w:t>
      </w:r>
    </w:p>
    <w:p>
      <w:pPr>
        <w:pStyle w:val="ListParagraph"/>
        <w:numPr>
          <w:ilvl w:val="0"/>
          <w:numId w:val="1"/>
        </w:numPr>
        <w:spacing w:after="80"/>
      </w:pPr>
      <w:r>
        <w:rPr>
          <w:sz w:val="21"/>
          <w:szCs w:val="21"/>
        </w:rPr>
        <w:t xml:space="preserve">NBA Accredited: EEE, ECE and CSE</w:t>
      </w:r>
    </w:p>
    <w:p>
      <w:pPr>
        <w:pStyle w:val="ListParagraph"/>
        <w:numPr>
          <w:ilvl w:val="0"/>
          <w:numId w:val="1"/>
        </w:numPr>
        <w:spacing w:after="80"/>
      </w:pPr>
      <w:r>
        <w:rPr>
          <w:sz w:val="21"/>
          <w:szCs w:val="21"/>
        </w:rPr>
        <w:t xml:space="preserve">UGC Autonomous status granted from AY 2023–24 (10-year term)</w:t>
      </w:r>
    </w:p>
    <w:p>
      <w:pPr>
        <w:pStyle w:val="ListParagraph"/>
        <w:numPr>
          <w:ilvl w:val="0"/>
          <w:numId w:val="1"/>
        </w:numPr>
        <w:spacing w:after="80"/>
      </w:pPr>
      <w:r>
        <w:rPr>
          <w:sz w:val="21"/>
          <w:szCs w:val="21"/>
        </w:rPr>
        <w:t xml:space="preserve">Approved by AICTE, New Delhi; affiliated to JNTUH</w:t>
      </w:r>
    </w:p>
    <w:p>
      <w:pPr>
        <w:pStyle w:val="ListParagraph"/>
        <w:numPr>
          <w:ilvl w:val="0"/>
          <w:numId w:val="1"/>
        </w:numPr>
        <w:spacing w:after="80"/>
      </w:pPr>
      <w:r>
        <w:rPr>
          <w:sz w:val="21"/>
          <w:szCs w:val="21"/>
        </w:rPr>
        <w:t xml:space="preserve">Ranked by NIRF for three consecutive years: 2019, 2020 and 2021</w:t>
      </w:r>
    </w:p>
    <w:p>
      <w:pPr>
        <w:pStyle w:val="ListParagraph"/>
        <w:numPr>
          <w:ilvl w:val="0"/>
          <w:numId w:val="1"/>
        </w:numPr>
        <w:spacing w:after="80"/>
      </w:pPr>
      <w:r>
        <w:rPr>
          <w:sz w:val="21"/>
          <w:szCs w:val="21"/>
        </w:rPr>
        <w:t xml:space="preserve">Ranked by ARIIA-2020 in Band B (26th–50th)</w:t>
      </w:r>
    </w:p>
    <w:p>
      <w:pPr>
        <w:pStyle w:val="ListParagraph"/>
        <w:numPr>
          <w:ilvl w:val="0"/>
          <w:numId w:val="1"/>
        </w:numPr>
        <w:spacing w:after="80"/>
      </w:pPr>
      <w:r>
        <w:rPr>
          <w:sz w:val="21"/>
          <w:szCs w:val="21"/>
        </w:rPr>
        <w:t xml:space="preserve">IMC Ramakrishna Bajaj National Quality Award (Education category)</w:t>
      </w:r>
    </w:p>
    <w:p>
      <w:pPr>
        <w:pStyle w:val="ListParagraph"/>
        <w:numPr>
          <w:ilvl w:val="0"/>
          <w:numId w:val="1"/>
        </w:numPr>
        <w:spacing w:after="80"/>
      </w:pPr>
      <w:r>
        <w:rPr>
          <w:sz w:val="21"/>
          <w:szCs w:val="21"/>
        </w:rPr>
        <w:t xml:space="preserve">Entered the Asia Book of Records (2018) for the largest Mental Health Peer Counseling event for women</w:t>
      </w:r>
    </w:p>
    <w:p>
      <w:pPr>
        <w:pStyle w:val="Heading2"/>
        <w:spacing w:after="120" w:before="240"/>
      </w:pPr>
      <w:r>
        <w:rPr>
          <w:b/>
          <w:bCs/>
          <w:color w:val="1F3864"/>
          <w:sz w:val="24"/>
          <w:szCs w:val="24"/>
        </w:rPr>
        <w:t xml:space="preserve">1.4 Core Values</w:t>
      </w:r>
    </w:p>
    <w:p>
      <w:pPr>
        <w:pStyle w:val="ListParagraph"/>
        <w:numPr>
          <w:ilvl w:val="0"/>
          <w:numId w:val="1"/>
        </w:numPr>
        <w:spacing w:after="80"/>
      </w:pPr>
      <w:r>
        <w:rPr>
          <w:sz w:val="21"/>
          <w:szCs w:val="21"/>
        </w:rPr>
        <w:t xml:space="preserve">Holistic development — academics balanced with sports, cultural activities, internships and mentorships</w:t>
      </w:r>
    </w:p>
    <w:p>
      <w:pPr>
        <w:pStyle w:val="ListParagraph"/>
        <w:numPr>
          <w:ilvl w:val="0"/>
          <w:numId w:val="1"/>
        </w:numPr>
        <w:spacing w:after="80"/>
      </w:pPr>
      <w:r>
        <w:rPr>
          <w:sz w:val="21"/>
          <w:szCs w:val="21"/>
        </w:rPr>
        <w:t xml:space="preserve">Excellence in education — outcome-based, student-centric learning models</w:t>
      </w:r>
    </w:p>
    <w:p>
      <w:pPr>
        <w:pStyle w:val="ListParagraph"/>
        <w:numPr>
          <w:ilvl w:val="0"/>
          <w:numId w:val="1"/>
        </w:numPr>
        <w:spacing w:after="80"/>
      </w:pPr>
      <w:r>
        <w:rPr>
          <w:sz w:val="21"/>
          <w:szCs w:val="21"/>
        </w:rPr>
        <w:t xml:space="preserve">Women empowerment — the founding purpose of the institution</w:t>
      </w:r>
    </w:p>
    <w:p>
      <w:pPr>
        <w:pStyle w:val="ListParagraph"/>
        <w:numPr>
          <w:ilvl w:val="0"/>
          <w:numId w:val="1"/>
        </w:numPr>
        <w:spacing w:after="80"/>
      </w:pPr>
      <w:r>
        <w:rPr>
          <w:sz w:val="21"/>
          <w:szCs w:val="21"/>
        </w:rPr>
        <w:t xml:space="preserve">Integrity, accountability and transparency across all levels of the organisation</w:t>
      </w:r>
    </w:p>
    <w:p>
      <w:pPr>
        <w:pStyle w:val="ListParagraph"/>
        <w:numPr>
          <w:ilvl w:val="0"/>
          <w:numId w:val="1"/>
        </w:numPr>
        <w:spacing w:after="80"/>
      </w:pPr>
      <w:r>
        <w:rPr>
          <w:sz w:val="21"/>
          <w:szCs w:val="21"/>
        </w:rPr>
        <w:t xml:space="preserve">Social responsibility and freedom of expression</w:t>
      </w:r>
    </w:p>
    <w:p>
      <w:pPr>
        <w:pStyle w:val="Heading1"/>
        <w:spacing w:after="150" w:before="300"/>
      </w:pPr>
      <w:r>
        <w:rPr>
          <w:b/>
          <w:bCs/>
          <w:color w:val="1F3864"/>
          <w:sz w:val="30"/>
          <w:szCs w:val="30"/>
        </w:rPr>
        <w:t xml:space="preserve">2. Departments &amp; Programmes</w:t>
      </w:r>
    </w:p>
    <w:p>
      <w:pPr>
        <w:spacing w:after="160"/>
      </w:pPr>
      <w:r>
        <w:rPr>
          <w:sz w:val="21"/>
          <w:szCs w:val="21"/>
        </w:rPr>
        <w:t xml:space="preserve">BVRITH's UG intake (as published in the current Intake of Courses table) is as follows: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00"/>
        <w:gridCol w:w="2850"/>
      </w:tblGrid>
      <w:tr>
        <w:trPr>
          <w:tblHeader/>
        </w:trPr>
        <w:tc>
          <w:tcPr>
            <w:tcW w:type="dxa" w:w="6500"/>
            <w:shd w:fill="1F3864" w:color="auto" w:val="clear"/>
          </w:tcPr>
          <w:p>
            <w:r>
              <w:rPr>
                <w:b/>
                <w:bCs/>
                <w:color w:val="FFFFFF"/>
                <w:sz w:val="20"/>
                <w:szCs w:val="20"/>
              </w:rPr>
              <w:t xml:space="preserve">Programme</w:t>
            </w:r>
          </w:p>
        </w:tc>
        <w:tc>
          <w:tcPr>
            <w:tcW w:type="dxa" w:w="2850"/>
            <w:shd w:fill="1F3864" w:color="auto" w:val="clear"/>
          </w:tcPr>
          <w:p>
            <w:r>
              <w:rPr>
                <w:b/>
                <w:bCs/>
                <w:color w:val="FFFFFF"/>
                <w:sz w:val="20"/>
                <w:szCs w:val="20"/>
              </w:rPr>
              <w:t xml:space="preserve">Annual Intake</w:t>
            </w:r>
          </w:p>
        </w:tc>
      </w:tr>
      <w:tr>
        <w:tc>
          <w:tcPr>
            <w:tcW w:type="dxa" w:w="6500"/>
          </w:tcPr>
          <w:p>
            <w:r>
              <w:rPr>
                <w:sz w:val="20"/>
                <w:szCs w:val="20"/>
              </w:rPr>
              <w:t xml:space="preserve">Computer Science and Engineering (CSE)</w:t>
            </w:r>
          </w:p>
        </w:tc>
        <w:tc>
          <w:tcPr>
            <w:tcW w:type="dxa" w:w="2850"/>
          </w:tcPr>
          <w:p>
            <w:r>
              <w:rPr>
                <w:sz w:val="20"/>
                <w:szCs w:val="20"/>
              </w:rPr>
              <w:t xml:space="preserve">360</w:t>
            </w:r>
          </w:p>
        </w:tc>
      </w:tr>
      <w:tr>
        <w:tc>
          <w:tcPr>
            <w:tcW w:type="dxa" w:w="6500"/>
          </w:tcPr>
          <w:p>
            <w:r>
              <w:rPr>
                <w:sz w:val="20"/>
                <w:szCs w:val="20"/>
              </w:rPr>
              <w:t xml:space="preserve">Electronics and Communication Engineering (ECE)</w:t>
            </w:r>
          </w:p>
        </w:tc>
        <w:tc>
          <w:tcPr>
            <w:tcW w:type="dxa" w:w="2850"/>
          </w:tcPr>
          <w:p>
            <w:r>
              <w:rPr>
                <w:sz w:val="20"/>
                <w:szCs w:val="20"/>
              </w:rPr>
              <w:t xml:space="preserve">120</w:t>
            </w:r>
          </w:p>
        </w:tc>
      </w:tr>
      <w:tr>
        <w:tc>
          <w:tcPr>
            <w:tcW w:type="dxa" w:w="6500"/>
          </w:tcPr>
          <w:p>
            <w:r>
              <w:rPr>
                <w:sz w:val="20"/>
                <w:szCs w:val="20"/>
              </w:rPr>
              <w:t xml:space="preserve">Computer Science and Engineering (AI&amp;ML)</w:t>
            </w:r>
          </w:p>
        </w:tc>
        <w:tc>
          <w:tcPr>
            <w:tcW w:type="dxa" w:w="2850"/>
          </w:tcPr>
          <w:p>
            <w:r>
              <w:rPr>
                <w:sz w:val="20"/>
                <w:szCs w:val="20"/>
              </w:rPr>
              <w:t xml:space="preserve">120</w:t>
            </w:r>
          </w:p>
        </w:tc>
      </w:tr>
      <w:tr>
        <w:tc>
          <w:tcPr>
            <w:tcW w:type="dxa" w:w="6500"/>
          </w:tcPr>
          <w:p>
            <w:r>
              <w:rPr>
                <w:sz w:val="20"/>
                <w:szCs w:val="20"/>
              </w:rPr>
              <w:t xml:space="preserve">Electrical and Electronics Engineering (EEE)</w:t>
            </w:r>
          </w:p>
        </w:tc>
        <w:tc>
          <w:tcPr>
            <w:tcW w:type="dxa" w:w="2850"/>
          </w:tcPr>
          <w:p>
            <w:r>
              <w:rPr>
                <w:sz w:val="20"/>
                <w:szCs w:val="20"/>
              </w:rPr>
              <w:t xml:space="preserve">60</w:t>
            </w:r>
          </w:p>
        </w:tc>
      </w:tr>
      <w:tr>
        <w:tc>
          <w:tcPr>
            <w:tcW w:type="dxa" w:w="6500"/>
          </w:tcPr>
          <w:p>
            <w:r>
              <w:rPr>
                <w:sz w:val="20"/>
                <w:szCs w:val="20"/>
              </w:rPr>
              <w:t xml:space="preserve">Total</w:t>
            </w:r>
          </w:p>
        </w:tc>
        <w:tc>
          <w:tcPr>
            <w:tcW w:type="dxa" w:w="2850"/>
          </w:tcPr>
          <w:p>
            <w:r>
              <w:rPr>
                <w:sz w:val="20"/>
                <w:szCs w:val="20"/>
              </w:rPr>
              <w:t xml:space="preserve">660</w:t>
            </w:r>
          </w:p>
        </w:tc>
      </w:tr>
    </w:tbl>
    <w:p>
      <w:pPr>
        <w:spacing w:after="200"/>
      </w:pPr>
    </w:p>
    <w:p>
      <w:pPr>
        <w:spacing w:after="160"/>
      </w:pPr>
      <w:r>
        <w:rPr>
          <w:sz w:val="21"/>
          <w:szCs w:val="21"/>
        </w:rPr>
        <w:t xml:space="preserve">Postgraduate (M.Tech) programmes: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00"/>
        <w:gridCol w:w="2850"/>
      </w:tblGrid>
      <w:tr>
        <w:trPr>
          <w:tblHeader/>
        </w:trPr>
        <w:tc>
          <w:tcPr>
            <w:tcW w:type="dxa" w:w="6500"/>
            <w:shd w:fill="1F3864" w:color="auto" w:val="clear"/>
          </w:tcPr>
          <w:p>
            <w:r>
              <w:rPr>
                <w:b/>
                <w:bCs/>
                <w:color w:val="FFFFFF"/>
                <w:sz w:val="20"/>
                <w:szCs w:val="20"/>
              </w:rPr>
              <w:t xml:space="preserve">Programme</w:t>
            </w:r>
          </w:p>
        </w:tc>
        <w:tc>
          <w:tcPr>
            <w:tcW w:type="dxa" w:w="2850"/>
            <w:shd w:fill="1F3864" w:color="auto" w:val="clear"/>
          </w:tcPr>
          <w:p>
            <w:r>
              <w:rPr>
                <w:b/>
                <w:bCs/>
                <w:color w:val="FFFFFF"/>
                <w:sz w:val="20"/>
                <w:szCs w:val="20"/>
              </w:rPr>
              <w:t xml:space="preserve">Annual Intake</w:t>
            </w:r>
          </w:p>
        </w:tc>
      </w:tr>
      <w:tr>
        <w:tc>
          <w:tcPr>
            <w:tcW w:type="dxa" w:w="6500"/>
          </w:tcPr>
          <w:p>
            <w:r>
              <w:rPr>
                <w:sz w:val="20"/>
                <w:szCs w:val="20"/>
              </w:rPr>
              <w:t xml:space="preserve">M.Tech – Data Sciences</w:t>
            </w:r>
          </w:p>
        </w:tc>
        <w:tc>
          <w:tcPr>
            <w:tcW w:type="dxa" w:w="2850"/>
          </w:tcPr>
          <w:p>
            <w:r>
              <w:rPr>
                <w:sz w:val="20"/>
                <w:szCs w:val="20"/>
              </w:rPr>
              <w:t xml:space="preserve">18</w:t>
            </w:r>
          </w:p>
        </w:tc>
      </w:tr>
      <w:tr>
        <w:tc>
          <w:tcPr>
            <w:tcW w:type="dxa" w:w="6500"/>
          </w:tcPr>
          <w:p>
            <w:r>
              <w:rPr>
                <w:sz w:val="20"/>
                <w:szCs w:val="20"/>
              </w:rPr>
              <w:t xml:space="preserve">M.Tech – Computer Science and Engineering</w:t>
            </w:r>
          </w:p>
        </w:tc>
        <w:tc>
          <w:tcPr>
            <w:tcW w:type="dxa" w:w="2850"/>
          </w:tcPr>
          <w:p>
            <w:r>
              <w:rPr>
                <w:sz w:val="20"/>
                <w:szCs w:val="20"/>
              </w:rPr>
              <w:t xml:space="preserve">12</w:t>
            </w:r>
          </w:p>
        </w:tc>
      </w:tr>
      <w:tr>
        <w:tc>
          <w:tcPr>
            <w:tcW w:type="dxa" w:w="6500"/>
          </w:tcPr>
          <w:p>
            <w:r>
              <w:rPr>
                <w:sz w:val="20"/>
                <w:szCs w:val="20"/>
              </w:rPr>
              <w:t xml:space="preserve">M.Tech – VLSI Design</w:t>
            </w:r>
          </w:p>
        </w:tc>
        <w:tc>
          <w:tcPr>
            <w:tcW w:type="dxa" w:w="2850"/>
          </w:tcPr>
          <w:p>
            <w:r>
              <w:rPr>
                <w:sz w:val="20"/>
                <w:szCs w:val="20"/>
              </w:rPr>
              <w:t xml:space="preserve">12</w:t>
            </w:r>
          </w:p>
        </w:tc>
      </w:tr>
    </w:tbl>
    <w:p>
      <w:pPr>
        <w:spacing w:after="200"/>
      </w:pPr>
    </w:p>
    <w:p>
      <w:pPr>
        <w:spacing w:after="160"/>
      </w:pPr>
      <w:r>
        <w:rPr>
          <w:sz w:val="21"/>
          <w:szCs w:val="21"/>
        </w:rPr>
        <w:t xml:space="preserve">Academic departments listed on the college website:</w:t>
      </w:r>
    </w:p>
    <w:p>
      <w:pPr>
        <w:pStyle w:val="ListParagraph"/>
        <w:numPr>
          <w:ilvl w:val="0"/>
          <w:numId w:val="1"/>
        </w:numPr>
        <w:spacing w:after="80"/>
      </w:pPr>
      <w:r>
        <w:rPr>
          <w:sz w:val="21"/>
          <w:szCs w:val="21"/>
        </w:rPr>
        <w:t xml:space="preserve">Basic Sciences and Humanities (BS&amp;H)</w:t>
      </w:r>
    </w:p>
    <w:p>
      <w:pPr>
        <w:pStyle w:val="ListParagraph"/>
        <w:numPr>
          <w:ilvl w:val="0"/>
          <w:numId w:val="1"/>
        </w:numPr>
        <w:spacing w:after="80"/>
      </w:pPr>
      <w:r>
        <w:rPr>
          <w:sz w:val="21"/>
          <w:szCs w:val="21"/>
        </w:rPr>
        <w:t xml:space="preserve">Computer Science and Engineering (CSE)</w:t>
      </w:r>
    </w:p>
    <w:p>
      <w:pPr>
        <w:pStyle w:val="ListParagraph"/>
        <w:numPr>
          <w:ilvl w:val="0"/>
          <w:numId w:val="1"/>
        </w:numPr>
        <w:spacing w:after="80"/>
      </w:pPr>
      <w:r>
        <w:rPr>
          <w:sz w:val="21"/>
          <w:szCs w:val="21"/>
        </w:rPr>
        <w:t xml:space="preserve">Artificial Intelligence &amp; Machine Learning (AI&amp;ML)</w:t>
      </w:r>
    </w:p>
    <w:p>
      <w:pPr>
        <w:pStyle w:val="ListParagraph"/>
        <w:numPr>
          <w:ilvl w:val="0"/>
          <w:numId w:val="1"/>
        </w:numPr>
        <w:spacing w:after="80"/>
      </w:pPr>
      <w:r>
        <w:rPr>
          <w:sz w:val="21"/>
          <w:szCs w:val="21"/>
        </w:rPr>
        <w:t xml:space="preserve">Electronics and Communication Engineering (ECE)</w:t>
      </w:r>
    </w:p>
    <w:p>
      <w:pPr>
        <w:pStyle w:val="ListParagraph"/>
        <w:numPr>
          <w:ilvl w:val="0"/>
          <w:numId w:val="1"/>
        </w:numPr>
        <w:spacing w:after="80"/>
      </w:pPr>
      <w:r>
        <w:rPr>
          <w:sz w:val="21"/>
          <w:szCs w:val="21"/>
        </w:rPr>
        <w:t xml:space="preserve">Electrical and Electronics Engineering (EEE)</w:t>
      </w:r>
    </w:p>
    <w:p>
      <w:pPr>
        <w:pStyle w:val="ListParagraph"/>
        <w:numPr>
          <w:ilvl w:val="0"/>
          <w:numId w:val="1"/>
        </w:numPr>
        <w:spacing w:after="80"/>
      </w:pPr>
      <w:r>
        <w:rPr>
          <w:sz w:val="21"/>
          <w:szCs w:val="21"/>
        </w:rPr>
        <w:t xml:space="preserve">Information Technology (IT) — legacy department; no longer in current UG intake</w:t>
      </w:r>
    </w:p>
    <w:p>
      <w:pPr>
        <w:spacing w:after="160"/>
      </w:pPr>
      <w:r>
        <w:rPr>
          <w:sz w:val="21"/>
          <w:szCs w:val="21"/>
        </w:rPr>
        <w:t xml:space="preserve">Ph.D. research centres are offered in ECE (VLSI-Communications) and CSE. An Honor Degree Program is also available. Department-wise faculty headcounts, lab counts and named HODs are not published in a single consolidated table on the public site; individual department 'About the Department' pages would need to be scraped separately for that level of detail.</w:t>
      </w:r>
    </w:p>
    <w:p>
      <w:pPr>
        <w:pStyle w:val="Heading1"/>
        <w:spacing w:after="150" w:before="300"/>
      </w:pPr>
      <w:r>
        <w:rPr>
          <w:b/>
          <w:bCs/>
          <w:color w:val="1F3864"/>
          <w:sz w:val="30"/>
          <w:szCs w:val="30"/>
        </w:rPr>
        <w:t xml:space="preserve">3. Fee Structure</w:t>
      </w:r>
    </w:p>
    <w:p>
      <w:pPr>
        <w:spacing w:after="160"/>
      </w:pPr>
      <w:r>
        <w:rPr>
          <w:sz w:val="21"/>
          <w:szCs w:val="21"/>
        </w:rPr>
        <w:t xml:space="preserve">Fee figures below are taken from the official Fee Details page, current 2025 admitted-batch table (all figures in Indian Rupees, per year):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50"/>
      </w:tblGrid>
      <w:tr>
        <w:trPr>
          <w:tblHeader/>
        </w:trPr>
        <w:tc>
          <w:tcPr>
            <w:tcW w:type="dxa" w:w="2400"/>
            <w:shd w:fill="1F3864" w:color="auto" w:val="clear"/>
          </w:tcPr>
          <w:p>
            <w:r>
              <w:rPr>
                <w:b/>
                <w:bCs/>
                <w:color w:val="FFFFFF"/>
                <w:sz w:val="20"/>
                <w:szCs w:val="20"/>
              </w:rPr>
              <w:t xml:space="preserve">Branch</w:t>
            </w:r>
          </w:p>
        </w:tc>
        <w:tc>
          <w:tcPr>
            <w:tcW w:type="dxa" w:w="2400"/>
            <w:shd w:fill="1F3864" w:color="auto" w:val="clear"/>
          </w:tcPr>
          <w:p>
            <w:r>
              <w:rPr>
                <w:b/>
                <w:bCs/>
                <w:color w:val="FFFFFF"/>
                <w:sz w:val="20"/>
                <w:szCs w:val="20"/>
              </w:rPr>
              <w:t xml:space="preserve">Tuition Fee (₹)</w:t>
            </w:r>
          </w:p>
        </w:tc>
        <w:tc>
          <w:tcPr>
            <w:tcW w:type="dxa" w:w="2200"/>
            <w:shd w:fill="1F3864" w:color="auto" w:val="clear"/>
          </w:tcPr>
          <w:p>
            <w:r>
              <w:rPr>
                <w:b/>
                <w:bCs/>
                <w:color w:val="FFFFFF"/>
                <w:sz w:val="20"/>
                <w:szCs w:val="20"/>
              </w:rPr>
              <w:t xml:space="preserve">NBA Fee (₹)</w:t>
            </w:r>
          </w:p>
        </w:tc>
        <w:tc>
          <w:tcPr>
            <w:tcW w:type="dxa" w:w="2350"/>
            <w:shd w:fill="1F3864" w:color="auto" w:val="clear"/>
          </w:tcPr>
          <w:p>
            <w:r>
              <w:rPr>
                <w:b/>
                <w:bCs/>
                <w:color w:val="FFFFFF"/>
                <w:sz w:val="20"/>
                <w:szCs w:val="20"/>
              </w:rPr>
              <w:t xml:space="preserve">JNTUH / Misc. Fee (₹)</w:t>
            </w:r>
          </w:p>
        </w:tc>
      </w:tr>
      <w:tr>
        <w:tc>
          <w:tcPr>
            <w:tcW w:type="dxa" w:w="2400"/>
          </w:tcPr>
          <w:p>
            <w:r>
              <w:rPr>
                <w:sz w:val="20"/>
                <w:szCs w:val="20"/>
              </w:rPr>
              <w:t xml:space="preserve">CSE</w:t>
            </w:r>
          </w:p>
        </w:tc>
        <w:tc>
          <w:tcPr>
            <w:tcW w:type="dxa" w:w="2400"/>
          </w:tcPr>
          <w:p>
            <w:r>
              <w:rPr>
                <w:sz w:val="20"/>
                <w:szCs w:val="20"/>
              </w:rPr>
              <w:t xml:space="preserve">1,20,000</w:t>
            </w:r>
          </w:p>
        </w:tc>
        <w:tc>
          <w:tcPr>
            <w:tcW w:type="dxa" w:w="2200"/>
          </w:tcPr>
          <w:p>
            <w:r>
              <w:rPr>
                <w:sz w:val="20"/>
                <w:szCs w:val="20"/>
              </w:rPr>
              <w:t xml:space="preserve">3,000</w:t>
            </w:r>
          </w:p>
        </w:tc>
        <w:tc>
          <w:tcPr>
            <w:tcW w:type="dxa" w:w="2350"/>
          </w:tcPr>
          <w:p>
            <w:r>
              <w:rPr>
                <w:sz w:val="20"/>
                <w:szCs w:val="20"/>
              </w:rPr>
              <w:t xml:space="preserve">5,500</w:t>
            </w:r>
          </w:p>
        </w:tc>
      </w:tr>
      <w:tr>
        <w:tc>
          <w:tcPr>
            <w:tcW w:type="dxa" w:w="2400"/>
          </w:tcPr>
          <w:p>
            <w:r>
              <w:rPr>
                <w:sz w:val="20"/>
                <w:szCs w:val="20"/>
              </w:rPr>
              <w:t xml:space="preserve">ECE</w:t>
            </w:r>
          </w:p>
        </w:tc>
        <w:tc>
          <w:tcPr>
            <w:tcW w:type="dxa" w:w="2400"/>
          </w:tcPr>
          <w:p>
            <w:r>
              <w:rPr>
                <w:sz w:val="20"/>
                <w:szCs w:val="20"/>
              </w:rPr>
              <w:t xml:space="preserve">1,20,000</w:t>
            </w:r>
          </w:p>
        </w:tc>
        <w:tc>
          <w:tcPr>
            <w:tcW w:type="dxa" w:w="2200"/>
          </w:tcPr>
          <w:p>
            <w:r>
              <w:rPr>
                <w:sz w:val="20"/>
                <w:szCs w:val="20"/>
              </w:rPr>
              <w:t xml:space="preserve">3,000</w:t>
            </w:r>
          </w:p>
        </w:tc>
        <w:tc>
          <w:tcPr>
            <w:tcW w:type="dxa" w:w="2350"/>
          </w:tcPr>
          <w:p>
            <w:r>
              <w:rPr>
                <w:sz w:val="20"/>
                <w:szCs w:val="20"/>
              </w:rPr>
              <w:t xml:space="preserve">5,500</w:t>
            </w:r>
          </w:p>
        </w:tc>
      </w:tr>
      <w:tr>
        <w:tc>
          <w:tcPr>
            <w:tcW w:type="dxa" w:w="2400"/>
          </w:tcPr>
          <w:p>
            <w:r>
              <w:rPr>
                <w:sz w:val="20"/>
                <w:szCs w:val="20"/>
              </w:rPr>
              <w:t xml:space="preserve">EEE</w:t>
            </w:r>
          </w:p>
        </w:tc>
        <w:tc>
          <w:tcPr>
            <w:tcW w:type="dxa" w:w="2400"/>
          </w:tcPr>
          <w:p>
            <w:r>
              <w:rPr>
                <w:sz w:val="20"/>
                <w:szCs w:val="20"/>
              </w:rPr>
              <w:t xml:space="preserve">1,20,000</w:t>
            </w:r>
          </w:p>
        </w:tc>
        <w:tc>
          <w:tcPr>
            <w:tcW w:type="dxa" w:w="2200"/>
          </w:tcPr>
          <w:p>
            <w:r>
              <w:rPr>
                <w:sz w:val="20"/>
                <w:szCs w:val="20"/>
              </w:rPr>
              <w:t xml:space="preserve">3,000</w:t>
            </w:r>
          </w:p>
        </w:tc>
        <w:tc>
          <w:tcPr>
            <w:tcW w:type="dxa" w:w="2350"/>
          </w:tcPr>
          <w:p>
            <w:r>
              <w:rPr>
                <w:sz w:val="20"/>
                <w:szCs w:val="20"/>
              </w:rPr>
              <w:t xml:space="preserve">5,500</w:t>
            </w:r>
          </w:p>
        </w:tc>
      </w:tr>
      <w:tr>
        <w:tc>
          <w:tcPr>
            <w:tcW w:type="dxa" w:w="2400"/>
          </w:tcPr>
          <w:p>
            <w:r>
              <w:rPr>
                <w:sz w:val="20"/>
                <w:szCs w:val="20"/>
              </w:rPr>
              <w:t xml:space="preserve">CSM (CSE – AI&amp;ML)</w:t>
            </w:r>
          </w:p>
        </w:tc>
        <w:tc>
          <w:tcPr>
            <w:tcW w:type="dxa" w:w="2400"/>
          </w:tcPr>
          <w:p>
            <w:r>
              <w:rPr>
                <w:sz w:val="20"/>
                <w:szCs w:val="20"/>
              </w:rPr>
              <w:t xml:space="preserve">1,20,000</w:t>
            </w:r>
          </w:p>
        </w:tc>
        <w:tc>
          <w:tcPr>
            <w:tcW w:type="dxa" w:w="2200"/>
          </w:tcPr>
          <w:p>
            <w:r>
              <w:rPr>
                <w:sz w:val="20"/>
                <w:szCs w:val="20"/>
              </w:rPr>
              <w:t xml:space="preserve">—</w:t>
            </w:r>
          </w:p>
        </w:tc>
        <w:tc>
          <w:tcPr>
            <w:tcW w:type="dxa" w:w="2350"/>
          </w:tcPr>
          <w:p>
            <w:r>
              <w:rPr>
                <w:sz w:val="20"/>
                <w:szCs w:val="20"/>
              </w:rPr>
              <w:t xml:space="preserve">5,500</w:t>
            </w:r>
          </w:p>
        </w:tc>
      </w:tr>
    </w:tbl>
    <w:p>
      <w:pPr>
        <w:spacing w:after="200"/>
      </w:pPr>
    </w:p>
    <w:p>
      <w:pPr>
        <w:spacing w:after="160"/>
      </w:pPr>
      <w:r>
        <w:rPr>
          <w:sz w:val="21"/>
          <w:szCs w:val="21"/>
        </w:rPr>
        <w:t xml:space="preserve">For reference, tuition fees have risen over recent admission years: 2020–2021 batches were charged ₹90,000/year tuition (₹3,000 NBA fee, ₹5,500 misc.); this rose to ₹1,20,000/year tuition from the 2022 batch onward, with the JNTUH/Misc. fee briefly at ₹2,500 for the 2022 batch before returning to ₹5,500 from 2023 onward.</w:t>
      </w:r>
    </w:p>
    <w:p>
      <w:pPr>
        <w:spacing w:after="160"/>
      </w:pPr>
      <w:r>
        <w:rPr>
          <w:sz w:val="21"/>
          <w:szCs w:val="21"/>
        </w:rPr>
        <w:t xml:space="preserve">The website's public Fee Details page does not separately publish hostel fees, mess charges, or transport fees as line-item figures (these are handled via the Hostel Admission and Transportation pages, which were not machine-readable tables at the time of this compilation). Contact the Admissions Office directly for current hostel/mess/transport charges.</w:t>
      </w:r>
    </w:p>
    <w:p>
      <w:pPr>
        <w:pStyle w:val="Heading1"/>
        <w:spacing w:after="150" w:before="300"/>
      </w:pPr>
      <w:r>
        <w:rPr>
          <w:b/>
          <w:bCs/>
          <w:color w:val="1F3864"/>
          <w:sz w:val="30"/>
          <w:szCs w:val="30"/>
        </w:rPr>
        <w:t xml:space="preserve">4. Admissions</w:t>
      </w:r>
    </w:p>
    <w:p>
      <w:pPr>
        <w:pStyle w:val="Heading2"/>
        <w:spacing w:after="120" w:before="240"/>
      </w:pPr>
      <w:r>
        <w:rPr>
          <w:b/>
          <w:bCs/>
          <w:color w:val="1F3864"/>
          <w:sz w:val="24"/>
          <w:szCs w:val="24"/>
        </w:rPr>
        <w:t xml:space="preserve">4.1 Eligibility</w:t>
      </w:r>
    </w:p>
    <w:p>
      <w:pPr>
        <w:pStyle w:val="ListParagraph"/>
        <w:numPr>
          <w:ilvl w:val="0"/>
          <w:numId w:val="1"/>
        </w:numPr>
        <w:spacing w:after="80"/>
      </w:pPr>
      <w:r>
        <w:rPr>
          <w:sz w:val="21"/>
          <w:szCs w:val="21"/>
        </w:rPr>
        <w:t xml:space="preserve">Candidates must have passed 10+2 with Mathematics, Physics and Chemistry (MPC) as major subjects.</w:t>
      </w:r>
    </w:p>
    <w:p>
      <w:pPr>
        <w:pStyle w:val="ListParagraph"/>
        <w:numPr>
          <w:ilvl w:val="0"/>
          <w:numId w:val="1"/>
        </w:numPr>
        <w:spacing w:after="80"/>
      </w:pPr>
      <w:r>
        <w:rPr>
          <w:sz w:val="21"/>
          <w:szCs w:val="21"/>
        </w:rPr>
        <w:t xml:space="preserve">Minimum 60% aggregate marks required.</w:t>
      </w:r>
    </w:p>
    <w:p>
      <w:pPr>
        <w:pStyle w:val="ListParagraph"/>
        <w:numPr>
          <w:ilvl w:val="0"/>
          <w:numId w:val="1"/>
        </w:numPr>
        <w:spacing w:after="80"/>
      </w:pPr>
      <w:r>
        <w:rPr>
          <w:sz w:val="21"/>
          <w:szCs w:val="21"/>
        </w:rPr>
        <w:t xml:space="preserve">A valid TS EAMCET (or AP EAMCET) rank is required, per TS EAMCET selection criteria.</w:t>
      </w:r>
    </w:p>
    <w:p>
      <w:pPr>
        <w:pStyle w:val="Heading2"/>
        <w:spacing w:after="120" w:before="240"/>
      </w:pPr>
      <w:r>
        <w:rPr>
          <w:b/>
          <w:bCs/>
          <w:color w:val="1F3864"/>
          <w:sz w:val="24"/>
          <w:szCs w:val="24"/>
        </w:rPr>
        <w:t xml:space="preserve">4.2 Admission Process</w:t>
      </w:r>
    </w:p>
    <w:p>
      <w:pPr>
        <w:pStyle w:val="ListParagraph"/>
        <w:numPr>
          <w:ilvl w:val="0"/>
          <w:numId w:val="1"/>
        </w:numPr>
        <w:spacing w:after="80"/>
      </w:pPr>
      <w:r>
        <w:rPr>
          <w:sz w:val="21"/>
          <w:szCs w:val="21"/>
        </w:rPr>
        <w:t xml:space="preserve">Category A seats are filled by the Convener, TS EAMCET, through the state counselling process.</w:t>
      </w:r>
    </w:p>
    <w:p>
      <w:pPr>
        <w:pStyle w:val="ListParagraph"/>
        <w:numPr>
          <w:ilvl w:val="0"/>
          <w:numId w:val="1"/>
        </w:numPr>
        <w:spacing w:after="80"/>
      </w:pPr>
      <w:r>
        <w:rPr>
          <w:sz w:val="21"/>
          <w:szCs w:val="21"/>
        </w:rPr>
        <w:t xml:space="preserve">Category B seats are filled directly by the college as per TSCHE guidelines.</w:t>
      </w:r>
    </w:p>
    <w:p>
      <w:pPr>
        <w:pStyle w:val="ListParagraph"/>
        <w:numPr>
          <w:ilvl w:val="0"/>
          <w:numId w:val="1"/>
        </w:numPr>
        <w:spacing w:after="80"/>
      </w:pPr>
      <w:r>
        <w:rPr>
          <w:sz w:val="21"/>
          <w:szCs w:val="21"/>
        </w:rPr>
        <w:t xml:space="preserve">Applications for Category A open after the TS EAMCET notification; Category B applications open after the TSCHE B-category notification, and can be submitted via the college website.</w:t>
      </w:r>
    </w:p>
    <w:p>
      <w:pPr>
        <w:pStyle w:val="ListParagraph"/>
        <w:numPr>
          <w:ilvl w:val="0"/>
          <w:numId w:val="1"/>
        </w:numPr>
        <w:spacing w:after="80"/>
      </w:pPr>
      <w:r>
        <w:rPr>
          <w:sz w:val="21"/>
          <w:szCs w:val="21"/>
        </w:rPr>
        <w:t xml:space="preserve">Complete counselling schedules and reporting deadlines are published by TSCHE each year; there is no separate re-application process.</w:t>
      </w:r>
    </w:p>
    <w:p>
      <w:pPr>
        <w:pStyle w:val="Heading2"/>
        <w:spacing w:after="120" w:before="240"/>
      </w:pPr>
      <w:r>
        <w:rPr>
          <w:b/>
          <w:bCs/>
          <w:color w:val="1F3864"/>
          <w:sz w:val="24"/>
          <w:szCs w:val="24"/>
        </w:rPr>
        <w:t xml:space="preserve">4.3 Admission Codes</w:t>
      </w:r>
    </w:p>
    <w:p>
      <w:pPr>
        <w:pStyle w:val="ListParagraph"/>
        <w:numPr>
          <w:ilvl w:val="0"/>
          <w:numId w:val="1"/>
        </w:numPr>
        <w:spacing w:after="80"/>
      </w:pPr>
      <w:r>
        <w:rPr>
          <w:sz w:val="21"/>
          <w:szCs w:val="21"/>
        </w:rPr>
        <w:t xml:space="preserve">TS EAMCET / ECET College Code: BVRW</w:t>
      </w:r>
    </w:p>
    <w:p>
      <w:pPr>
        <w:pStyle w:val="ListParagraph"/>
        <w:numPr>
          <w:ilvl w:val="0"/>
          <w:numId w:val="1"/>
        </w:numPr>
        <w:spacing w:after="80"/>
      </w:pPr>
      <w:r>
        <w:rPr>
          <w:sz w:val="21"/>
          <w:szCs w:val="21"/>
        </w:rPr>
        <w:t xml:space="preserve">PGECET College Code: BVRW1</w:t>
      </w:r>
    </w:p>
    <w:p>
      <w:pPr>
        <w:pStyle w:val="Heading2"/>
        <w:spacing w:after="120" w:before="240"/>
      </w:pPr>
      <w:r>
        <w:rPr>
          <w:b/>
          <w:bCs/>
          <w:color w:val="1F3864"/>
          <w:sz w:val="24"/>
          <w:szCs w:val="24"/>
        </w:rPr>
        <w:t xml:space="preserve">4.4 Admissions Contact</w:t>
      </w:r>
    </w:p>
    <w:p>
      <w:pPr>
        <w:spacing w:after="160"/>
      </w:pPr>
      <w:r>
        <w:rPr>
          <w:sz w:val="21"/>
          <w:szCs w:val="21"/>
        </w:rPr>
        <w:t xml:space="preserve">For current-cycle admission queries, the website lists a dedicated contact: Dr. J. Manoj Kumar, Professor i/c Admissions — 92471 64714.</w:t>
      </w:r>
    </w:p>
    <w:p>
      <w:pPr>
        <w:pStyle w:val="Heading1"/>
        <w:spacing w:after="150" w:before="300"/>
      </w:pPr>
      <w:r>
        <w:rPr>
          <w:b/>
          <w:bCs/>
          <w:color w:val="1F3864"/>
          <w:sz w:val="30"/>
          <w:szCs w:val="30"/>
        </w:rPr>
        <w:t xml:space="preserve">5. Placements</w:t>
      </w:r>
    </w:p>
    <w:p>
      <w:pPr>
        <w:spacing w:after="160"/>
      </w:pPr>
      <w:r>
        <w:rPr>
          <w:sz w:val="21"/>
          <w:szCs w:val="21"/>
        </w:rPr>
        <w:t xml:space="preserve">The Training &amp; Placement Cell (led by Sri S. Jagapathi Reddy, Manager–Placements, and Sri K. Mahesh Babu, Asst. Manager–Placements) publishes detailed, company-wise placement PDFs for each graduating batch on the official website. A summary of recent batches is below (figures are as published; 'Total Placed' counts offers/placements recorded across EEE, ECE, CSE, IT and CSE AI&amp;ML combined):</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900"/>
        <w:gridCol w:w="1500"/>
        <w:gridCol w:w="3450"/>
      </w:tblGrid>
      <w:tr>
        <w:trPr>
          <w:tblHeader/>
        </w:trPr>
        <w:tc>
          <w:tcPr>
            <w:tcW w:type="dxa" w:w="1300"/>
            <w:shd w:fill="1F3864" w:color="auto" w:val="clear"/>
          </w:tcPr>
          <w:p>
            <w:r>
              <w:rPr>
                <w:b/>
                <w:bCs/>
                <w:color w:val="FFFFFF"/>
                <w:sz w:val="20"/>
                <w:szCs w:val="20"/>
              </w:rPr>
              <w:t xml:space="preserve">Batch</w:t>
            </w:r>
          </w:p>
        </w:tc>
        <w:tc>
          <w:tcPr>
            <w:tcW w:type="dxa" w:w="1300"/>
            <w:shd w:fill="1F3864" w:color="auto" w:val="clear"/>
          </w:tcPr>
          <w:p>
            <w:r>
              <w:rPr>
                <w:b/>
                <w:bCs/>
                <w:color w:val="FFFFFF"/>
                <w:sz w:val="20"/>
                <w:szCs w:val="20"/>
              </w:rPr>
              <w:t xml:space="preserve">Total Placed</w:t>
            </w:r>
          </w:p>
        </w:tc>
        <w:tc>
          <w:tcPr>
            <w:tcW w:type="dxa" w:w="1900"/>
            <w:shd w:fill="1F3864" w:color="auto" w:val="clear"/>
          </w:tcPr>
          <w:p>
            <w:r>
              <w:rPr>
                <w:b/>
                <w:bCs/>
                <w:color w:val="FFFFFF"/>
                <w:sz w:val="20"/>
                <w:szCs w:val="20"/>
              </w:rPr>
              <w:t xml:space="preserve">Highest-Package Recruiter</w:t>
            </w:r>
          </w:p>
        </w:tc>
        <w:tc>
          <w:tcPr>
            <w:tcW w:type="dxa" w:w="1500"/>
            <w:shd w:fill="1F3864" w:color="auto" w:val="clear"/>
          </w:tcPr>
          <w:p>
            <w:r>
              <w:rPr>
                <w:b/>
                <w:bCs/>
                <w:color w:val="FFFFFF"/>
                <w:sz w:val="20"/>
                <w:szCs w:val="20"/>
              </w:rPr>
              <w:t xml:space="preserve">Highest Package (LPA)</w:t>
            </w:r>
          </w:p>
        </w:tc>
        <w:tc>
          <w:tcPr>
            <w:tcW w:type="dxa" w:w="3450"/>
            <w:shd w:fill="1F3864" w:color="auto" w:val="clear"/>
          </w:tcPr>
          <w:p>
            <w:r>
              <w:rPr>
                <w:b/>
                <w:bCs/>
                <w:color w:val="FFFFFF"/>
                <w:sz w:val="20"/>
                <w:szCs w:val="20"/>
              </w:rPr>
              <w:t xml:space="preserve">Other Notable Recruiters (LPA)</w:t>
            </w:r>
          </w:p>
        </w:tc>
      </w:tr>
      <w:tr>
        <w:tc>
          <w:tcPr>
            <w:tcW w:type="dxa" w:w="1300"/>
          </w:tcPr>
          <w:p>
            <w:r>
              <w:rPr>
                <w:sz w:val="20"/>
                <w:szCs w:val="20"/>
              </w:rPr>
              <w:t xml:space="preserve">2021–2025</w:t>
            </w:r>
          </w:p>
        </w:tc>
        <w:tc>
          <w:tcPr>
            <w:tcW w:type="dxa" w:w="1300"/>
          </w:tcPr>
          <w:p>
            <w:r>
              <w:rPr>
                <w:sz w:val="20"/>
                <w:szCs w:val="20"/>
              </w:rPr>
              <w:t xml:space="preserve">614</w:t>
            </w:r>
          </w:p>
        </w:tc>
        <w:tc>
          <w:tcPr>
            <w:tcW w:type="dxa" w:w="1900"/>
          </w:tcPr>
          <w:p>
            <w:r>
              <w:rPr>
                <w:sz w:val="20"/>
                <w:szCs w:val="20"/>
              </w:rPr>
              <w:t xml:space="preserve">Microsoft</w:t>
            </w:r>
          </w:p>
        </w:tc>
        <w:tc>
          <w:tcPr>
            <w:tcW w:type="dxa" w:w="1500"/>
          </w:tcPr>
          <w:p>
            <w:r>
              <w:rPr>
                <w:sz w:val="20"/>
                <w:szCs w:val="20"/>
              </w:rPr>
              <w:t xml:space="preserve">54.00</w:t>
            </w:r>
          </w:p>
        </w:tc>
        <w:tc>
          <w:tcPr>
            <w:tcW w:type="dxa" w:w="3450"/>
          </w:tcPr>
          <w:p>
            <w:r>
              <w:rPr>
                <w:sz w:val="20"/>
                <w:szCs w:val="20"/>
              </w:rPr>
              <w:t xml:space="preserve">Visa (32.88), Optum (20.78), Synopsys (20.26), OpenText (11)</w:t>
            </w:r>
          </w:p>
        </w:tc>
      </w:tr>
      <w:tr>
        <w:tc>
          <w:tcPr>
            <w:tcW w:type="dxa" w:w="1300"/>
          </w:tcPr>
          <w:p>
            <w:r>
              <w:rPr>
                <w:sz w:val="20"/>
                <w:szCs w:val="20"/>
              </w:rPr>
              <w:t xml:space="preserve">2020–2024</w:t>
            </w:r>
          </w:p>
        </w:tc>
        <w:tc>
          <w:tcPr>
            <w:tcW w:type="dxa" w:w="1300"/>
          </w:tcPr>
          <w:p>
            <w:r>
              <w:rPr>
                <w:sz w:val="20"/>
                <w:szCs w:val="20"/>
              </w:rPr>
              <w:t xml:space="preserve">508</w:t>
            </w:r>
          </w:p>
        </w:tc>
        <w:tc>
          <w:tcPr>
            <w:tcW w:type="dxa" w:w="1900"/>
          </w:tcPr>
          <w:p>
            <w:r>
              <w:rPr>
                <w:sz w:val="20"/>
                <w:szCs w:val="20"/>
              </w:rPr>
              <w:t xml:space="preserve">Microsoft</w:t>
            </w:r>
          </w:p>
        </w:tc>
        <w:tc>
          <w:tcPr>
            <w:tcW w:type="dxa" w:w="1500"/>
          </w:tcPr>
          <w:p>
            <w:r>
              <w:rPr>
                <w:sz w:val="20"/>
                <w:szCs w:val="20"/>
              </w:rPr>
              <w:t xml:space="preserve">52.00</w:t>
            </w:r>
          </w:p>
        </w:tc>
        <w:tc>
          <w:tcPr>
            <w:tcW w:type="dxa" w:w="3450"/>
          </w:tcPr>
          <w:p>
            <w:r>
              <w:rPr>
                <w:sz w:val="20"/>
                <w:szCs w:val="20"/>
              </w:rPr>
              <w:t xml:space="preserve">Amazon SDE (48.6), VISA (32.76), Flipkart (32), Wayfair (25)</w:t>
            </w:r>
          </w:p>
        </w:tc>
      </w:tr>
      <w:tr>
        <w:tc>
          <w:tcPr>
            <w:tcW w:type="dxa" w:w="1300"/>
          </w:tcPr>
          <w:p>
            <w:r>
              <w:rPr>
                <w:sz w:val="20"/>
                <w:szCs w:val="20"/>
              </w:rPr>
              <w:t xml:space="preserve">2019–2023</w:t>
            </w:r>
          </w:p>
        </w:tc>
        <w:tc>
          <w:tcPr>
            <w:tcW w:type="dxa" w:w="1300"/>
          </w:tcPr>
          <w:p>
            <w:r>
              <w:rPr>
                <w:sz w:val="20"/>
                <w:szCs w:val="20"/>
              </w:rPr>
              <w:t xml:space="preserve">694 (offers)</w:t>
            </w:r>
          </w:p>
        </w:tc>
        <w:tc>
          <w:tcPr>
            <w:tcW w:type="dxa" w:w="1900"/>
          </w:tcPr>
          <w:p>
            <w:r>
              <w:rPr>
                <w:sz w:val="20"/>
                <w:szCs w:val="20"/>
              </w:rPr>
              <w:t xml:space="preserve">Palo Alto Networks</w:t>
            </w:r>
          </w:p>
        </w:tc>
        <w:tc>
          <w:tcPr>
            <w:tcW w:type="dxa" w:w="1500"/>
          </w:tcPr>
          <w:p>
            <w:r>
              <w:rPr>
                <w:sz w:val="20"/>
                <w:szCs w:val="20"/>
              </w:rPr>
              <w:t xml:space="preserve">54.75</w:t>
            </w:r>
          </w:p>
        </w:tc>
        <w:tc>
          <w:tcPr>
            <w:tcW w:type="dxa" w:w="3450"/>
          </w:tcPr>
          <w:p>
            <w:r>
              <w:rPr>
                <w:sz w:val="20"/>
                <w:szCs w:val="20"/>
              </w:rPr>
              <w:t xml:space="preserve">Adobe (47), Amazon SDE (44), Urban Company (32), DE Shaw (21.5)</w:t>
            </w:r>
          </w:p>
        </w:tc>
      </w:tr>
      <w:tr>
        <w:tc>
          <w:tcPr>
            <w:tcW w:type="dxa" w:w="1300"/>
          </w:tcPr>
          <w:p>
            <w:r>
              <w:rPr>
                <w:sz w:val="20"/>
                <w:szCs w:val="20"/>
              </w:rPr>
              <w:t xml:space="preserve">2018–2022</w:t>
            </w:r>
          </w:p>
        </w:tc>
        <w:tc>
          <w:tcPr>
            <w:tcW w:type="dxa" w:w="1300"/>
          </w:tcPr>
          <w:p>
            <w:r>
              <w:rPr>
                <w:sz w:val="20"/>
                <w:szCs w:val="20"/>
              </w:rPr>
              <w:t xml:space="preserve">988</w:t>
            </w:r>
          </w:p>
        </w:tc>
        <w:tc>
          <w:tcPr>
            <w:tcW w:type="dxa" w:w="1900"/>
          </w:tcPr>
          <w:p>
            <w:r>
              <w:rPr>
                <w:sz w:val="20"/>
                <w:szCs w:val="20"/>
              </w:rPr>
              <w:t xml:space="preserve">Microsoft (SDE)</w:t>
            </w:r>
          </w:p>
        </w:tc>
        <w:tc>
          <w:tcPr>
            <w:tcW w:type="dxa" w:w="1500"/>
          </w:tcPr>
          <w:p>
            <w:r>
              <w:rPr>
                <w:sz w:val="20"/>
                <w:szCs w:val="20"/>
              </w:rPr>
              <w:t xml:space="preserve">49.00</w:t>
            </w:r>
          </w:p>
        </w:tc>
        <w:tc>
          <w:tcPr>
            <w:tcW w:type="dxa" w:w="3450"/>
          </w:tcPr>
          <w:p>
            <w:r>
              <w:rPr>
                <w:sz w:val="20"/>
                <w:szCs w:val="20"/>
              </w:rPr>
              <w:t xml:space="preserve">Amazon SDE (44), Amazon (Prog. Analyst) (30.75), VMware (26.9)</w:t>
            </w:r>
          </w:p>
        </w:tc>
      </w:tr>
      <w:tr>
        <w:tc>
          <w:tcPr>
            <w:tcW w:type="dxa" w:w="1300"/>
          </w:tcPr>
          <w:p>
            <w:r>
              <w:rPr>
                <w:sz w:val="20"/>
                <w:szCs w:val="20"/>
              </w:rPr>
              <w:t xml:space="preserve">2017–2021</w:t>
            </w:r>
          </w:p>
        </w:tc>
        <w:tc>
          <w:tcPr>
            <w:tcW w:type="dxa" w:w="1300"/>
          </w:tcPr>
          <w:p>
            <w:r>
              <w:rPr>
                <w:sz w:val="20"/>
                <w:szCs w:val="20"/>
              </w:rPr>
              <w:t xml:space="preserve">533</w:t>
            </w:r>
          </w:p>
        </w:tc>
        <w:tc>
          <w:tcPr>
            <w:tcW w:type="dxa" w:w="1900"/>
          </w:tcPr>
          <w:p>
            <w:r>
              <w:rPr>
                <w:sz w:val="20"/>
                <w:szCs w:val="20"/>
              </w:rPr>
              <w:t xml:space="preserve">Flipkart</w:t>
            </w:r>
          </w:p>
        </w:tc>
        <w:tc>
          <w:tcPr>
            <w:tcW w:type="dxa" w:w="1500"/>
          </w:tcPr>
          <w:p>
            <w:r>
              <w:rPr>
                <w:sz w:val="20"/>
                <w:szCs w:val="20"/>
              </w:rPr>
              <w:t xml:space="preserve">26.58</w:t>
            </w:r>
          </w:p>
        </w:tc>
        <w:tc>
          <w:tcPr>
            <w:tcW w:type="dxa" w:w="3450"/>
          </w:tcPr>
          <w:p>
            <w:r>
              <w:rPr>
                <w:sz w:val="20"/>
                <w:szCs w:val="20"/>
              </w:rPr>
              <w:t xml:space="preserve">BNY Mellon (17.34), Providence (16), Microsoft (13.54)</w:t>
            </w:r>
          </w:p>
        </w:tc>
      </w:tr>
    </w:tbl>
    <w:p>
      <w:pPr>
        <w:spacing w:after="200"/>
      </w:pPr>
    </w:p>
    <w:p>
      <w:pPr>
        <w:spacing w:after="160"/>
      </w:pPr>
      <w:r>
        <w:rPr>
          <w:sz w:val="21"/>
          <w:szCs w:val="21"/>
        </w:rPr>
        <w:t xml:space="preserve">The website's homepage (as of this compilation) also highlights that four students from a recent cycle were offered placements by five companies with a highest package of ₹44 LPA, and separately references a Microsoft offer at ₹54 LPA as a headline placement result. Recurring top recruiters across recent years include Microsoft, Amazon, VISA, Optum, Synopsys, Flipkart, Qualcomm, IBM, Bank of America, Cognizant, Capgemini, Accenture, TCS, Wipro, Infosys, Tech Mahindra, PwC, Deloitte, and Genpact, among many others.</w:t>
      </w:r>
    </w:p>
    <w:p>
      <w:pPr>
        <w:spacing w:after="160"/>
      </w:pPr>
      <w:r>
        <w:rPr>
          <w:sz w:val="21"/>
          <w:szCs w:val="21"/>
        </w:rPr>
        <w:t xml:space="preserve">Full company-wise, branch-wise breakdowns for each batch (2012–2016 through 2021–2025) are available as downloadable PDFs on the Placement Details page of the official website and were not fully reproduced here for length; they can be added to the chatbot knowledge base as separate structured records if needed.</w:t>
      </w:r>
    </w:p>
    <w:p>
      <w:pPr>
        <w:pStyle w:val="Heading1"/>
        <w:spacing w:after="150" w:before="300"/>
      </w:pPr>
      <w:r>
        <w:rPr>
          <w:b/>
          <w:bCs/>
          <w:color w:val="1F3864"/>
          <w:sz w:val="30"/>
          <w:szCs w:val="30"/>
        </w:rPr>
        <w:t xml:space="preserve">6. Campus &amp; Facilities</w:t>
      </w:r>
    </w:p>
    <w:p>
      <w:pPr>
        <w:pStyle w:val="Heading2"/>
        <w:spacing w:after="120" w:before="240"/>
      </w:pPr>
      <w:r>
        <w:rPr>
          <w:b/>
          <w:bCs/>
          <w:color w:val="1F3864"/>
          <w:sz w:val="24"/>
          <w:szCs w:val="24"/>
        </w:rPr>
        <w:t xml:space="preserve">6.1 Academic &amp; Campus Facilities</w:t>
      </w:r>
    </w:p>
    <w:p>
      <w:pPr>
        <w:pStyle w:val="ListParagraph"/>
        <w:numPr>
          <w:ilvl w:val="0"/>
          <w:numId w:val="1"/>
        </w:numPr>
        <w:spacing w:after="80"/>
      </w:pPr>
      <w:r>
        <w:rPr>
          <w:sz w:val="21"/>
          <w:szCs w:val="21"/>
        </w:rPr>
        <w:t xml:space="preserve">Library — dedicated Library page/section on campus</w:t>
      </w:r>
    </w:p>
    <w:p>
      <w:pPr>
        <w:pStyle w:val="ListParagraph"/>
        <w:numPr>
          <w:ilvl w:val="0"/>
          <w:numId w:val="1"/>
        </w:numPr>
        <w:spacing w:after="80"/>
      </w:pPr>
      <w:r>
        <w:rPr>
          <w:sz w:val="21"/>
          <w:szCs w:val="21"/>
        </w:rPr>
        <w:t xml:space="preserve">Food and Cafeteria</w:t>
      </w:r>
    </w:p>
    <w:p>
      <w:pPr>
        <w:pStyle w:val="ListParagraph"/>
        <w:numPr>
          <w:ilvl w:val="0"/>
          <w:numId w:val="1"/>
        </w:numPr>
        <w:spacing w:after="80"/>
      </w:pPr>
      <w:r>
        <w:rPr>
          <w:sz w:val="21"/>
          <w:szCs w:val="21"/>
        </w:rPr>
        <w:t xml:space="preserve">Gymnasium</w:t>
      </w:r>
    </w:p>
    <w:p>
      <w:pPr>
        <w:pStyle w:val="ListParagraph"/>
        <w:numPr>
          <w:ilvl w:val="0"/>
          <w:numId w:val="1"/>
        </w:numPr>
        <w:spacing w:after="80"/>
      </w:pPr>
      <w:r>
        <w:rPr>
          <w:sz w:val="21"/>
          <w:szCs w:val="21"/>
        </w:rPr>
        <w:t xml:space="preserve">Temple (on-campus)</w:t>
      </w:r>
    </w:p>
    <w:p>
      <w:pPr>
        <w:pStyle w:val="ListParagraph"/>
        <w:numPr>
          <w:ilvl w:val="0"/>
          <w:numId w:val="1"/>
        </w:numPr>
        <w:spacing w:after="80"/>
      </w:pPr>
      <w:r>
        <w:rPr>
          <w:sz w:val="21"/>
          <w:szCs w:val="21"/>
        </w:rPr>
        <w:t xml:space="preserve">Security</w:t>
      </w:r>
    </w:p>
    <w:p>
      <w:pPr>
        <w:pStyle w:val="ListParagraph"/>
        <w:numPr>
          <w:ilvl w:val="0"/>
          <w:numId w:val="1"/>
        </w:numPr>
        <w:spacing w:after="80"/>
      </w:pPr>
      <w:r>
        <w:rPr>
          <w:sz w:val="21"/>
          <w:szCs w:val="21"/>
        </w:rPr>
        <w:t xml:space="preserve">PCS Facilities (Placement/Career Services-related facility, per site navigation)</w:t>
      </w:r>
    </w:p>
    <w:p>
      <w:pPr>
        <w:spacing w:after="160"/>
      </w:pPr>
      <w:r>
        <w:rPr>
          <w:sz w:val="21"/>
          <w:szCs w:val="21"/>
        </w:rPr>
        <w:t xml:space="preserve">Exact facility figures (book counts, workstation counts, lab counts) are not published in a single consolidated table on the public site; individual facility pages would need separate review for precise numbers.</w:t>
      </w:r>
    </w:p>
    <w:p>
      <w:pPr>
        <w:pStyle w:val="Heading2"/>
        <w:spacing w:after="120" w:before="240"/>
      </w:pPr>
      <w:r>
        <w:rPr>
          <w:b/>
          <w:bCs/>
          <w:color w:val="1F3864"/>
          <w:sz w:val="24"/>
          <w:szCs w:val="24"/>
        </w:rPr>
        <w:t xml:space="preserve">6.2 Differentiators / Student Success Initiatives</w:t>
      </w:r>
    </w:p>
    <w:p>
      <w:pPr>
        <w:pStyle w:val="ListParagraph"/>
        <w:numPr>
          <w:ilvl w:val="0"/>
          <w:numId w:val="1"/>
        </w:numPr>
        <w:spacing w:after="80"/>
      </w:pPr>
      <w:r>
        <w:rPr>
          <w:sz w:val="21"/>
          <w:szCs w:val="21"/>
        </w:rPr>
        <w:t xml:space="preserve">VSSC — Vishnu Student Success Center</w:t>
      </w:r>
    </w:p>
    <w:p>
      <w:pPr>
        <w:pStyle w:val="ListParagraph"/>
        <w:numPr>
          <w:ilvl w:val="0"/>
          <w:numId w:val="1"/>
        </w:numPr>
        <w:spacing w:after="80"/>
      </w:pPr>
      <w:r>
        <w:rPr>
          <w:sz w:val="21"/>
          <w:szCs w:val="21"/>
        </w:rPr>
        <w:t xml:space="preserve">Counselling by Psychologist</w:t>
      </w:r>
    </w:p>
    <w:p>
      <w:pPr>
        <w:pStyle w:val="ListParagraph"/>
        <w:numPr>
          <w:ilvl w:val="0"/>
          <w:numId w:val="1"/>
        </w:numPr>
        <w:spacing w:after="80"/>
      </w:pPr>
      <w:r>
        <w:rPr>
          <w:sz w:val="21"/>
          <w:szCs w:val="21"/>
        </w:rPr>
        <w:t xml:space="preserve">WISE — Women In Software Engineering</w:t>
      </w:r>
    </w:p>
    <w:p>
      <w:pPr>
        <w:pStyle w:val="ListParagraph"/>
        <w:numPr>
          <w:ilvl w:val="0"/>
          <w:numId w:val="1"/>
        </w:numPr>
        <w:spacing w:after="80"/>
      </w:pPr>
      <w:r>
        <w:rPr>
          <w:sz w:val="21"/>
          <w:szCs w:val="21"/>
        </w:rPr>
        <w:t xml:space="preserve">ATL — Assistive Technology Lab</w:t>
      </w:r>
    </w:p>
    <w:p>
      <w:pPr>
        <w:pStyle w:val="ListParagraph"/>
        <w:numPr>
          <w:ilvl w:val="0"/>
          <w:numId w:val="1"/>
        </w:numPr>
        <w:spacing w:after="80"/>
      </w:pPr>
      <w:r>
        <w:rPr>
          <w:sz w:val="21"/>
          <w:szCs w:val="21"/>
        </w:rPr>
        <w:t xml:space="preserve">GSAC — Graduate Study Abroad Center</w:t>
      </w:r>
    </w:p>
    <w:p>
      <w:pPr>
        <w:pStyle w:val="ListParagraph"/>
        <w:numPr>
          <w:ilvl w:val="0"/>
          <w:numId w:val="1"/>
        </w:numPr>
        <w:spacing w:after="80"/>
      </w:pPr>
      <w:r>
        <w:rPr>
          <w:sz w:val="21"/>
          <w:szCs w:val="21"/>
        </w:rPr>
        <w:t xml:space="preserve">IoT Maker Space</w:t>
      </w:r>
    </w:p>
    <w:p>
      <w:pPr>
        <w:pStyle w:val="ListParagraph"/>
        <w:numPr>
          <w:ilvl w:val="0"/>
          <w:numId w:val="1"/>
        </w:numPr>
        <w:spacing w:after="80"/>
      </w:pPr>
      <w:r>
        <w:rPr>
          <w:sz w:val="21"/>
          <w:szCs w:val="21"/>
        </w:rPr>
        <w:t xml:space="preserve">Drone Technology Laboratory</w:t>
      </w:r>
    </w:p>
    <w:p>
      <w:pPr>
        <w:pStyle w:val="ListParagraph"/>
        <w:numPr>
          <w:ilvl w:val="0"/>
          <w:numId w:val="1"/>
        </w:numPr>
        <w:spacing w:after="80"/>
      </w:pPr>
      <w:r>
        <w:rPr>
          <w:sz w:val="21"/>
          <w:szCs w:val="21"/>
        </w:rPr>
        <w:t xml:space="preserve">IIC BVRITH — Institution's Innovation Council</w:t>
      </w:r>
    </w:p>
    <w:p>
      <w:pPr>
        <w:pStyle w:val="ListParagraph"/>
        <w:numPr>
          <w:ilvl w:val="0"/>
          <w:numId w:val="1"/>
        </w:numPr>
        <w:spacing w:after="80"/>
      </w:pPr>
      <w:r>
        <w:rPr>
          <w:sz w:val="21"/>
          <w:szCs w:val="21"/>
        </w:rPr>
        <w:t xml:space="preserve">EDC — Entrepreneurship Development Cell</w:t>
      </w:r>
    </w:p>
    <w:p>
      <w:pPr>
        <w:pStyle w:val="ListParagraph"/>
        <w:numPr>
          <w:ilvl w:val="0"/>
          <w:numId w:val="1"/>
        </w:numPr>
        <w:spacing w:after="80"/>
      </w:pPr>
      <w:r>
        <w:rPr>
          <w:sz w:val="21"/>
          <w:szCs w:val="21"/>
        </w:rPr>
        <w:t xml:space="preserve">SDG initiatives and NASSCOM partnership</w:t>
      </w:r>
    </w:p>
    <w:p>
      <w:pPr>
        <w:pStyle w:val="ListParagraph"/>
        <w:numPr>
          <w:ilvl w:val="0"/>
          <w:numId w:val="1"/>
        </w:numPr>
        <w:spacing w:after="80"/>
      </w:pPr>
      <w:r>
        <w:rPr>
          <w:sz w:val="21"/>
          <w:szCs w:val="21"/>
        </w:rPr>
        <w:t xml:space="preserve">Student Affairs Council (SAC)</w:t>
      </w:r>
    </w:p>
    <w:p>
      <w:pPr>
        <w:pStyle w:val="ListParagraph"/>
        <w:numPr>
          <w:ilvl w:val="0"/>
          <w:numId w:val="1"/>
        </w:numPr>
        <w:spacing w:after="80"/>
      </w:pPr>
      <w:r>
        <w:rPr>
          <w:sz w:val="21"/>
          <w:szCs w:val="21"/>
        </w:rPr>
        <w:t xml:space="preserve">Vishnu Japan Outreach Centre (VJOC)</w:t>
      </w:r>
    </w:p>
    <w:p>
      <w:pPr>
        <w:pStyle w:val="Heading2"/>
        <w:spacing w:after="120" w:before="240"/>
      </w:pPr>
      <w:r>
        <w:rPr>
          <w:b/>
          <w:bCs/>
          <w:color w:val="1F3864"/>
          <w:sz w:val="24"/>
          <w:szCs w:val="24"/>
        </w:rPr>
        <w:t xml:space="preserve">6.3 Student Clubs</w:t>
      </w:r>
    </w:p>
    <w:p>
      <w:pPr>
        <w:spacing w:after="160"/>
      </w:pPr>
      <w:r>
        <w:rPr>
          <w:sz w:val="21"/>
          <w:szCs w:val="21"/>
        </w:rPr>
        <w:t xml:space="preserve">BVRITH runs a wide range of student clubs spanning community outreach (NSS, Rotaract, Nature Club, Samskrithi Foundation), language/communication (Toastmasters, Meraki, foreign languages — German &amp; French), creative arts (Wall Magazine 'Magnum Opus', Artistry Club, Saarang cultural club, music/guitar), wellness (Yoga, Bhagvathgita Club, Women Safety Club), Sports Club and FOSS Club, plus department-level clubs (Deeptha, Electro Elitz, TechBlitz, SWE) and professional-body chapters (CSI, ISTE, IETE, IEEE, IEI, ACM).</w:t>
      </w:r>
    </w:p>
    <w:p>
      <w:pPr>
        <w:pStyle w:val="Heading2"/>
        <w:spacing w:after="120" w:before="240"/>
      </w:pPr>
      <w:r>
        <w:rPr>
          <w:b/>
          <w:bCs/>
          <w:color w:val="1F3864"/>
          <w:sz w:val="24"/>
          <w:szCs w:val="24"/>
        </w:rPr>
        <w:t xml:space="preserve">6.4 Student Support &amp; Governance</w:t>
      </w:r>
    </w:p>
    <w:p>
      <w:pPr>
        <w:pStyle w:val="ListParagraph"/>
        <w:numPr>
          <w:ilvl w:val="0"/>
          <w:numId w:val="1"/>
        </w:numPr>
        <w:spacing w:after="80"/>
      </w:pPr>
      <w:r>
        <w:rPr>
          <w:sz w:val="21"/>
          <w:szCs w:val="21"/>
        </w:rPr>
        <w:t xml:space="preserve">Anti-Ragging Committee — zero-tolerance policy</w:t>
      </w:r>
    </w:p>
    <w:p>
      <w:pPr>
        <w:pStyle w:val="ListParagraph"/>
        <w:numPr>
          <w:ilvl w:val="0"/>
          <w:numId w:val="1"/>
        </w:numPr>
        <w:spacing w:after="80"/>
      </w:pPr>
      <w:r>
        <w:rPr>
          <w:sz w:val="21"/>
          <w:szCs w:val="21"/>
        </w:rPr>
        <w:t xml:space="preserve">Sexual Harassment Committee / Internal Complaints Committee</w:t>
      </w:r>
    </w:p>
    <w:p>
      <w:pPr>
        <w:pStyle w:val="ListParagraph"/>
        <w:numPr>
          <w:ilvl w:val="0"/>
          <w:numId w:val="1"/>
        </w:numPr>
        <w:spacing w:after="80"/>
      </w:pPr>
      <w:r>
        <w:rPr>
          <w:sz w:val="21"/>
          <w:szCs w:val="21"/>
        </w:rPr>
        <w:t xml:space="preserve">Grievance Redressal Committee</w:t>
      </w:r>
    </w:p>
    <w:p>
      <w:pPr>
        <w:pStyle w:val="ListParagraph"/>
        <w:numPr>
          <w:ilvl w:val="0"/>
          <w:numId w:val="1"/>
        </w:numPr>
        <w:spacing w:after="80"/>
      </w:pPr>
      <w:r>
        <w:rPr>
          <w:sz w:val="21"/>
          <w:szCs w:val="21"/>
        </w:rPr>
        <w:t xml:space="preserve">SC and ST Committee</w:t>
      </w:r>
    </w:p>
    <w:p>
      <w:pPr>
        <w:pStyle w:val="ListParagraph"/>
        <w:numPr>
          <w:ilvl w:val="0"/>
          <w:numId w:val="1"/>
        </w:numPr>
        <w:spacing w:after="80"/>
      </w:pPr>
      <w:r>
        <w:rPr>
          <w:sz w:val="21"/>
          <w:szCs w:val="21"/>
        </w:rPr>
        <w:t xml:space="preserve">Disciplinary Committee and Ombudsperson</w:t>
      </w:r>
    </w:p>
    <w:p>
      <w:pPr>
        <w:pStyle w:val="ListParagraph"/>
        <w:numPr>
          <w:ilvl w:val="0"/>
          <w:numId w:val="1"/>
        </w:numPr>
        <w:spacing w:after="80"/>
      </w:pPr>
      <w:r>
        <w:rPr>
          <w:sz w:val="21"/>
          <w:szCs w:val="21"/>
        </w:rPr>
        <w:t xml:space="preserve">Institution Industry Cell</w:t>
      </w:r>
    </w:p>
    <w:p>
      <w:pPr>
        <w:spacing w:after="160"/>
      </w:pPr>
      <w:r>
        <w:rPr>
          <w:sz w:val="21"/>
          <w:szCs w:val="21"/>
        </w:rPr>
        <w:t xml:space="preserve">Contact details, response-time commitments, and escalation paths for these committees were not published in machine-readable form on the pages reviewed; refer to the individual committee pages on the website for named members and contact emails.</w:t>
      </w:r>
    </w:p>
    <w:p>
      <w:pPr>
        <w:pStyle w:val="Heading1"/>
        <w:spacing w:after="150" w:before="300"/>
      </w:pPr>
      <w:r>
        <w:rPr>
          <w:b/>
          <w:bCs/>
          <w:color w:val="1F3864"/>
          <w:sz w:val="30"/>
          <w:szCs w:val="30"/>
        </w:rPr>
        <w:t xml:space="preserve">7. Leadership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color="auto" w:val="clear"/>
          </w:tcPr>
          <w:p>
            <w:r>
              <w:rPr>
                <w:b/>
                <w:bCs/>
                <w:color w:val="FFFFFF"/>
                <w:sz w:val="20"/>
                <w:szCs w:val="20"/>
              </w:rPr>
              <w:t xml:space="preserve">Name</w:t>
            </w:r>
          </w:p>
        </w:tc>
        <w:tc>
          <w:tcPr>
            <w:tcW w:type="dxa" w:w="6150"/>
            <w:shd w:fill="1F3864" w:color="auto" w:val="clear"/>
          </w:tcPr>
          <w:p>
            <w:r>
              <w:rPr>
                <w:b/>
                <w:bCs/>
                <w:color w:val="FFFFFF"/>
                <w:sz w:val="20"/>
                <w:szCs w:val="20"/>
              </w:rPr>
              <w:t xml:space="preserve">Role</w:t>
            </w:r>
          </w:p>
        </w:tc>
      </w:tr>
      <w:tr>
        <w:tc>
          <w:tcPr>
            <w:tcW w:type="dxa" w:w="3200"/>
          </w:tcPr>
          <w:p>
            <w:r>
              <w:rPr>
                <w:sz w:val="20"/>
                <w:szCs w:val="20"/>
              </w:rPr>
              <w:t xml:space="preserve">Sri K.V. Vishnu Raju</w:t>
            </w:r>
          </w:p>
        </w:tc>
        <w:tc>
          <w:tcPr>
            <w:tcW w:type="dxa" w:w="6150"/>
          </w:tcPr>
          <w:p>
            <w:r>
              <w:rPr>
                <w:sz w:val="20"/>
                <w:szCs w:val="20"/>
              </w:rPr>
              <w:t xml:space="preserve">Chairman, Sri Vishnu Educational Society</w:t>
            </w:r>
          </w:p>
        </w:tc>
      </w:tr>
      <w:tr>
        <w:tc>
          <w:tcPr>
            <w:tcW w:type="dxa" w:w="3200"/>
          </w:tcPr>
          <w:p>
            <w:r>
              <w:rPr>
                <w:sz w:val="20"/>
                <w:szCs w:val="20"/>
              </w:rPr>
              <w:t xml:space="preserve">Sri Ravichandran Rajagopal</w:t>
            </w:r>
          </w:p>
        </w:tc>
        <w:tc>
          <w:tcPr>
            <w:tcW w:type="dxa" w:w="6150"/>
          </w:tcPr>
          <w:p>
            <w:r>
              <w:rPr>
                <w:sz w:val="20"/>
                <w:szCs w:val="20"/>
              </w:rPr>
              <w:t xml:space="preserve">Vice Chairman</w:t>
            </w:r>
          </w:p>
        </w:tc>
      </w:tr>
      <w:tr>
        <w:tc>
          <w:tcPr>
            <w:tcW w:type="dxa" w:w="3200"/>
          </w:tcPr>
          <w:p>
            <w:r>
              <w:rPr>
                <w:sz w:val="20"/>
                <w:szCs w:val="20"/>
              </w:rPr>
              <w:t xml:space="preserve">Sri Aditya Vissam</w:t>
            </w:r>
          </w:p>
        </w:tc>
        <w:tc>
          <w:tcPr>
            <w:tcW w:type="dxa" w:w="6150"/>
          </w:tcPr>
          <w:p>
            <w:r>
              <w:rPr>
                <w:sz w:val="20"/>
                <w:szCs w:val="20"/>
              </w:rPr>
              <w:t xml:space="preserve">Secretary</w:t>
            </w:r>
          </w:p>
        </w:tc>
      </w:tr>
      <w:tr>
        <w:tc>
          <w:tcPr>
            <w:tcW w:type="dxa" w:w="3200"/>
          </w:tcPr>
          <w:p>
            <w:r>
              <w:rPr>
                <w:sz w:val="20"/>
                <w:szCs w:val="20"/>
              </w:rPr>
              <w:t xml:space="preserve">Dr. K. V. N. Sunitha</w:t>
            </w:r>
          </w:p>
        </w:tc>
        <w:tc>
          <w:tcPr>
            <w:tcW w:type="dxa" w:w="6150"/>
          </w:tcPr>
          <w:p>
            <w:r>
              <w:rPr>
                <w:sz w:val="20"/>
                <w:szCs w:val="20"/>
              </w:rPr>
              <w:t xml:space="preserve">Founder Principal, BVRIT Hyderabad (since August 2012)</w:t>
            </w:r>
          </w:p>
        </w:tc>
      </w:tr>
    </w:tbl>
    <w:p>
      <w:pPr>
        <w:spacing w:after="200"/>
      </w:pPr>
    </w:p>
    <w:p>
      <w:pPr>
        <w:spacing w:after="160"/>
      </w:pPr>
      <w:r>
        <w:rPr>
          <w:sz w:val="21"/>
          <w:szCs w:val="21"/>
        </w:rPr>
        <w:t xml:space="preserve">Dr. K. V. N. Sunitha holds a B.Tech in ECE (ANU), M.Tech in CS (REC Warangal, 1993) and a Ph.D in CSE (JNTU Hyderabad, 2006). She has over 30 years of teaching experience and has been Founder Principal of BVRITH since its establishment in August 2012. She has guided 20 Ph.D scholars, authored 5 textbooks, and published more than 185 papers; her honours include the CSI Distinguished Principal Award (2017), the Deewang Mehtha 'Women in Education Award' (2017), and IEI's 'Engineer of the Year' award (2019).</w:t>
      </w:r>
    </w:p>
    <w:p>
      <w:pPr>
        <w:spacing w:after="160"/>
      </w:pPr>
      <w:r>
        <w:rPr>
          <w:sz w:val="21"/>
          <w:szCs w:val="21"/>
        </w:rPr>
        <w:t xml:space="preserve">Department-wise Heads of Department (HODs) with named individuals were not consolidated in a single table on the pages reviewed; each department's 'About the Department' page would need to be checked individually to populate this for the chatbot.</w:t>
      </w:r>
    </w:p>
    <w:p>
      <w:pPr>
        <w:pStyle w:val="Heading1"/>
        <w:spacing w:after="150" w:before="300"/>
      </w:pPr>
      <w:r>
        <w:rPr>
          <w:b/>
          <w:bCs/>
          <w:color w:val="1F3864"/>
          <w:sz w:val="30"/>
          <w:szCs w:val="30"/>
        </w:rPr>
        <w:t xml:space="preserve">8. Contact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color="auto" w:val="clear"/>
          </w:tcPr>
          <w:p>
            <w:r>
              <w:rPr>
                <w:b/>
                <w:bCs/>
                <w:color w:val="FFFFFF"/>
                <w:sz w:val="20"/>
                <w:szCs w:val="20"/>
              </w:rPr>
              <w:t xml:space="preserve">Purpose</w:t>
            </w:r>
          </w:p>
        </w:tc>
        <w:tc>
          <w:tcPr>
            <w:tcW w:type="dxa" w:w="6350"/>
            <w:shd w:fill="1F3864" w:color="auto" w:val="clear"/>
          </w:tcPr>
          <w:p>
            <w:r>
              <w:rPr>
                <w:b/>
                <w:bCs/>
                <w:color w:val="FFFFFF"/>
                <w:sz w:val="20"/>
                <w:szCs w:val="20"/>
              </w:rPr>
              <w:t xml:space="preserve">Details</w:t>
            </w:r>
          </w:p>
        </w:tc>
      </w:tr>
      <w:tr>
        <w:tc>
          <w:tcPr>
            <w:tcW w:type="dxa" w:w="3000"/>
          </w:tcPr>
          <w:p>
            <w:r>
              <w:rPr>
                <w:sz w:val="20"/>
                <w:szCs w:val="20"/>
              </w:rPr>
              <w:t xml:space="preserve">Address</w:t>
            </w:r>
          </w:p>
        </w:tc>
        <w:tc>
          <w:tcPr>
            <w:tcW w:type="dxa" w:w="6350"/>
          </w:tcPr>
          <w:p>
            <w:r>
              <w:rPr>
                <w:sz w:val="20"/>
                <w:szCs w:val="20"/>
              </w:rPr>
              <w:t xml:space="preserve">Plot No. 8-5/4, Rajiv Gandhi Nagar Colony, Nizampet Road, Bachupally, Hyderabad – 500090</w:t>
            </w:r>
          </w:p>
        </w:tc>
      </w:tr>
      <w:tr>
        <w:tc>
          <w:tcPr>
            <w:tcW w:type="dxa" w:w="3000"/>
          </w:tcPr>
          <w:p>
            <w:r>
              <w:rPr>
                <w:sz w:val="20"/>
                <w:szCs w:val="20"/>
              </w:rPr>
              <w:t xml:space="preserve">Phone</w:t>
            </w:r>
          </w:p>
        </w:tc>
        <w:tc>
          <w:tcPr>
            <w:tcW w:type="dxa" w:w="6350"/>
          </w:tcPr>
          <w:p>
            <w:r>
              <w:rPr>
                <w:sz w:val="20"/>
                <w:szCs w:val="20"/>
              </w:rPr>
              <w:t xml:space="preserve">+91 40 4241 7773</w:t>
            </w:r>
          </w:p>
        </w:tc>
      </w:tr>
      <w:tr>
        <w:tc>
          <w:tcPr>
            <w:tcW w:type="dxa" w:w="3000"/>
          </w:tcPr>
          <w:p>
            <w:r>
              <w:rPr>
                <w:sz w:val="20"/>
                <w:szCs w:val="20"/>
              </w:rPr>
              <w:t xml:space="preserve">General / Principal's Email</w:t>
            </w:r>
          </w:p>
        </w:tc>
        <w:tc>
          <w:tcPr>
            <w:tcW w:type="dxa" w:w="6350"/>
          </w:tcPr>
          <w:p>
            <w:r>
              <w:rPr>
                <w:sz w:val="20"/>
                <w:szCs w:val="20"/>
              </w:rPr>
              <w:t xml:space="preserve">info@bvrithyderabad.edu.in | principal@bvrithyderabad.edu.in</w:t>
            </w:r>
          </w:p>
        </w:tc>
      </w:tr>
      <w:tr>
        <w:tc>
          <w:tcPr>
            <w:tcW w:type="dxa" w:w="3000"/>
          </w:tcPr>
          <w:p>
            <w:r>
              <w:rPr>
                <w:sz w:val="20"/>
                <w:szCs w:val="20"/>
              </w:rPr>
              <w:t xml:space="preserve">Admissions Contact</w:t>
            </w:r>
          </w:p>
        </w:tc>
        <w:tc>
          <w:tcPr>
            <w:tcW w:type="dxa" w:w="6350"/>
          </w:tcPr>
          <w:p>
            <w:r>
              <w:rPr>
                <w:sz w:val="20"/>
                <w:szCs w:val="20"/>
              </w:rPr>
              <w:t xml:space="preserve">Dr. J. Manoj Kumar (Professor i/c Admissions) – 92471 64714</w:t>
            </w:r>
          </w:p>
        </w:tc>
      </w:tr>
      <w:tr>
        <w:tc>
          <w:tcPr>
            <w:tcW w:type="dxa" w:w="3000"/>
          </w:tcPr>
          <w:p>
            <w:r>
              <w:rPr>
                <w:sz w:val="20"/>
                <w:szCs w:val="20"/>
              </w:rPr>
              <w:t xml:space="preserve">Website</w:t>
            </w:r>
          </w:p>
        </w:tc>
        <w:tc>
          <w:tcPr>
            <w:tcW w:type="dxa" w:w="6350"/>
          </w:tcPr>
          <w:p>
            <w:r>
              <w:rPr>
                <w:sz w:val="20"/>
                <w:szCs w:val="20"/>
              </w:rPr>
              <w:t xml:space="preserve">https://bvrithyderabad.edu.in/</w:t>
            </w:r>
          </w:p>
        </w:tc>
      </w:tr>
      <w:tr>
        <w:tc>
          <w:tcPr>
            <w:tcW w:type="dxa" w:w="3000"/>
          </w:tcPr>
          <w:p>
            <w:r>
              <w:rPr>
                <w:sz w:val="20"/>
                <w:szCs w:val="20"/>
              </w:rPr>
              <w:t xml:space="preserve">LinkedIn</w:t>
            </w:r>
          </w:p>
        </w:tc>
        <w:tc>
          <w:tcPr>
            <w:tcW w:type="dxa" w:w="6350"/>
          </w:tcPr>
          <w:p>
            <w:r>
              <w:rPr>
                <w:sz w:val="20"/>
                <w:szCs w:val="20"/>
              </w:rPr>
              <w:t xml:space="preserve">linkedin.com/school/bvrit-hyderabad</w:t>
            </w:r>
          </w:p>
        </w:tc>
      </w:tr>
      <w:tr>
        <w:tc>
          <w:tcPr>
            <w:tcW w:type="dxa" w:w="3000"/>
          </w:tcPr>
          <w:p>
            <w:r>
              <w:rPr>
                <w:sz w:val="20"/>
                <w:szCs w:val="20"/>
              </w:rPr>
              <w:t xml:space="preserve">Instagram</w:t>
            </w:r>
          </w:p>
        </w:tc>
        <w:tc>
          <w:tcPr>
            <w:tcW w:type="dxa" w:w="6350"/>
          </w:tcPr>
          <w:p>
            <w:r>
              <w:rPr>
                <w:sz w:val="20"/>
                <w:szCs w:val="20"/>
              </w:rPr>
              <w:t xml:space="preserve">instagram.com/bvrit_hyderabad_</w:t>
            </w:r>
          </w:p>
        </w:tc>
      </w:tr>
      <w:tr>
        <w:tc>
          <w:tcPr>
            <w:tcW w:type="dxa" w:w="3000"/>
          </w:tcPr>
          <w:p>
            <w:r>
              <w:rPr>
                <w:sz w:val="20"/>
                <w:szCs w:val="20"/>
              </w:rPr>
              <w:t xml:space="preserve">YouTube</w:t>
            </w:r>
          </w:p>
        </w:tc>
        <w:tc>
          <w:tcPr>
            <w:tcW w:type="dxa" w:w="6350"/>
          </w:tcPr>
          <w:p>
            <w:r>
              <w:rPr>
                <w:sz w:val="20"/>
                <w:szCs w:val="20"/>
              </w:rPr>
              <w:t xml:space="preserve">youtube.com/@BvritHyderabadWomen</w:t>
            </w:r>
          </w:p>
        </w:tc>
      </w:tr>
      <w:tr>
        <w:tc>
          <w:tcPr>
            <w:tcW w:type="dxa" w:w="3000"/>
          </w:tcPr>
          <w:p>
            <w:r>
              <w:rPr>
                <w:sz w:val="20"/>
                <w:szCs w:val="20"/>
              </w:rPr>
              <w:t xml:space="preserve">Facebook</w:t>
            </w:r>
          </w:p>
        </w:tc>
        <w:tc>
          <w:tcPr>
            <w:tcW w:type="dxa" w:w="6350"/>
          </w:tcPr>
          <w:p>
            <w:r>
              <w:rPr>
                <w:sz w:val="20"/>
                <w:szCs w:val="20"/>
              </w:rPr>
              <w:t xml:space="preserve">facebook.com/BvritHyderabad</w:t>
            </w:r>
          </w:p>
        </w:tc>
      </w:tr>
      <w:tr>
        <w:tc>
          <w:tcPr>
            <w:tcW w:type="dxa" w:w="3000"/>
          </w:tcPr>
          <w:p>
            <w:r>
              <w:rPr>
                <w:sz w:val="20"/>
                <w:szCs w:val="20"/>
              </w:rPr>
              <w:t xml:space="preserve">X (Twitter)</w:t>
            </w:r>
          </w:p>
        </w:tc>
        <w:tc>
          <w:tcPr>
            <w:tcW w:type="dxa" w:w="6350"/>
          </w:tcPr>
          <w:p>
            <w:r>
              <w:rPr>
                <w:sz w:val="20"/>
                <w:szCs w:val="20"/>
              </w:rPr>
              <w:t xml:space="preserve">x.com/bvrithyderabad</w:t>
            </w:r>
          </w:p>
        </w:tc>
      </w:tr>
    </w:tbl>
    <w:p>
      <w:pPr>
        <w:spacing w:after="200"/>
      </w:pPr>
    </w:p>
    <w:p>
      <w:pPr>
        <w:spacing w:after="160"/>
      </w:pPr>
      <w:r>
        <w:rPr>
          <w:sz w:val="21"/>
          <w:szCs w:val="21"/>
        </w:rPr>
        <w:t xml:space="preserve">Parent society — Sri Vishnu Educational Society (SVES) head office: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color="auto" w:val="clear"/>
          </w:tcPr>
          <w:p>
            <w:r>
              <w:rPr>
                <w:b/>
                <w:bCs/>
                <w:color w:val="FFFFFF"/>
                <w:sz w:val="20"/>
                <w:szCs w:val="20"/>
              </w:rPr>
              <w:t xml:space="preserve">Field</w:t>
            </w:r>
          </w:p>
        </w:tc>
        <w:tc>
          <w:tcPr>
            <w:tcW w:type="dxa" w:w="6350"/>
            <w:shd w:fill="1F3864" w:color="auto" w:val="clear"/>
          </w:tcPr>
          <w:p>
            <w:r>
              <w:rPr>
                <w:b/>
                <w:bCs/>
                <w:color w:val="FFFFFF"/>
                <w:sz w:val="20"/>
                <w:szCs w:val="20"/>
              </w:rPr>
              <w:t xml:space="preserve">Details</w:t>
            </w:r>
          </w:p>
        </w:tc>
      </w:tr>
      <w:tr>
        <w:tc>
          <w:tcPr>
            <w:tcW w:type="dxa" w:w="3000"/>
          </w:tcPr>
          <w:p>
            <w:r>
              <w:rPr>
                <w:sz w:val="20"/>
                <w:szCs w:val="20"/>
              </w:rPr>
              <w:t xml:space="preserve">Address</w:t>
            </w:r>
          </w:p>
        </w:tc>
        <w:tc>
          <w:tcPr>
            <w:tcW w:type="dxa" w:w="6350"/>
          </w:tcPr>
          <w:p>
            <w:r>
              <w:rPr>
                <w:sz w:val="20"/>
                <w:szCs w:val="20"/>
              </w:rPr>
              <w:t xml:space="preserve">Anjani Vishnu Centre, Plot No. 7 &amp; 8, Ist Floor, Nagarjuna Hills, Punjagutta, Hyderabad – 500 082</w:t>
            </w:r>
          </w:p>
        </w:tc>
      </w:tr>
      <w:tr>
        <w:tc>
          <w:tcPr>
            <w:tcW w:type="dxa" w:w="3000"/>
          </w:tcPr>
          <w:p>
            <w:r>
              <w:rPr>
                <w:sz w:val="20"/>
                <w:szCs w:val="20"/>
              </w:rPr>
              <w:t xml:space="preserve">Phone / Fax</w:t>
            </w:r>
          </w:p>
        </w:tc>
        <w:tc>
          <w:tcPr>
            <w:tcW w:type="dxa" w:w="6350"/>
          </w:tcPr>
          <w:p>
            <w:r>
              <w:rPr>
                <w:sz w:val="20"/>
                <w:szCs w:val="20"/>
              </w:rPr>
              <w:t xml:space="preserve">+91 40 4033 4848</w:t>
            </w:r>
          </w:p>
        </w:tc>
      </w:tr>
    </w:tbl>
    <w:p>
      <w:pPr>
        <w:spacing w:after="300"/>
      </w:pPr>
    </w:p>
    <w:p>
      <w:pPr>
        <w:spacing w:after="160"/>
      </w:pPr>
      <w:r>
        <w:rPr>
          <w:i/>
          <w:iCs/>
          <w:sz w:val="18"/>
          <w:szCs w:val="18"/>
        </w:rPr>
        <w:t xml:space="preserve">End of Document · BVRIT Hyderabad College Information · Compiled 4 July 2026 · Version 1.0 · Source: https://bvrithyderabad.edu.in/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2026-07-04T13:31:47.116Z</dcterms:created>
  <dcterms:modified xsi:type="dcterms:W3CDTF">2026-07-04T13:31:47.116Z</dcterms:modified>
</cp:coreProperties>
</file>

<file path=docProps/custom.xml><?xml version="1.0" encoding="utf-8"?>
<Properties xmlns="http://schemas.openxmlformats.org/officeDocument/2006/custom-properties" xmlns:vt="http://schemas.openxmlformats.org/officeDocument/2006/docPropsVTypes"/>
</file>