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after="0"/>
        <w:jc w:val="left"/>
        <w:rPr>
          <w:sz w:val="24"/>
          <w:szCs w:val="24"/>
        </w:rPr>
      </w:pPr>
    </w:p>
    <w:p>
      <w:pPr>
        <w:pStyle w:val="Title"/>
      </w:pPr>
      <w:r>
        <w:rPr>
          <w:rtl w:val="0"/>
        </w:rPr>
        <w:t>Covid-19 Wastewater Data</w:t>
      </w:r>
      <w:r>
        <w:rPr>
          <w:rtl w:val="0"/>
        </w:rPr>
        <w:t xml:space="preserve"> Downsampling </w:t>
      </w:r>
    </w:p>
    <w:p>
      <w:pPr>
        <w:pStyle w:val="Heading2"/>
        <w:spacing w:before="320" w:after="160"/>
        <w:jc w:val="center"/>
      </w:pPr>
      <w:r>
        <w:rPr>
          <w:rtl w:val="0"/>
          <w:lang w:val="en-US"/>
        </w:rPr>
        <w:t>Marlin Lee, University of Wisconsin Data Science Institute - July, 2022</w:t>
      </w:r>
    </w:p>
    <w:p>
      <w:pPr>
        <w:pStyle w:val="Default"/>
        <w:bidi w:val="0"/>
      </w:pPr>
    </w:p>
    <w:p>
      <w:pPr>
        <w:pStyle w:val="Body"/>
        <w:bidi w:val="0"/>
      </w:pPr>
      <w:r>
        <w:rPr>
          <w:rtl w:val="0"/>
        </w:rPr>
        <w:t>In this analysis, we look at using downsampling to simulate results that would be obtained using a lower wastewater sampling rate.   Wastewater facilities in different communities sample and analyze water at different frequencies and it is not always feasible to sample wastewater at a high frequency.  Some facilities sample wastewater each day while others may sample only once or twice per week.</w:t>
      </w:r>
    </w:p>
    <w:p>
      <w:pPr>
        <w:pStyle w:val="Body"/>
        <w:bidi w:val="0"/>
      </w:pPr>
      <w:r>
        <w:rPr>
          <w:rtl w:val="0"/>
        </w:rPr>
        <w:t xml:space="preserve">This analysis seeks to answer whether the DHS method is robust when reducing the number of measurements. We do this by running the analysis with the different smoothing on both the original Madison data and the data downsampled to two days </w:t>
      </w:r>
      <w:r>
        <w:rPr>
          <w:rtl w:val="0"/>
        </w:rPr>
        <w:t>per</w:t>
      </w:r>
      <w:r>
        <w:rPr>
          <w:rtl w:val="0"/>
          <w:lang w:val="nl-NL"/>
        </w:rPr>
        <w:t xml:space="preserve"> week</w:t>
      </w:r>
      <w:r>
        <w:rPr>
          <w:rtl w:val="0"/>
        </w:rPr>
        <w:t>.</w:t>
      </w:r>
    </w:p>
    <w:p>
      <w:pPr>
        <w:pStyle w:val="Body"/>
        <w:bidi w:val="0"/>
      </w:pPr>
    </w:p>
    <w:p>
      <w:pPr>
        <w:pStyle w:val="Heading1"/>
        <w:bidi w:val="0"/>
      </w:pPr>
      <w:r>
        <w:rPr>
          <w:rtl w:val="0"/>
        </w:rPr>
        <w:t>The Data</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5601"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rtl w:val="0"/>
                <w:lang w:val="en-US"/>
              </w:rPr>
              <w:t xml:space="preserve">The graphs to the right display the original data and the data </w:t>
            </w:r>
            <w:r>
              <w:rPr>
                <w:sz w:val="24"/>
                <w:szCs w:val="24"/>
                <w:rtl w:val="0"/>
                <w:lang w:val="en-US"/>
              </w:rPr>
              <w:t>downsampled</w:t>
            </w:r>
            <w:r>
              <w:rPr>
                <w:sz w:val="24"/>
                <w:szCs w:val="24"/>
                <w:rtl w:val="0"/>
                <w:lang w:val="en-US"/>
              </w:rPr>
              <w:t xml:space="preserve"> to 2 days per week.   The major features of the data is preserved in the 2 day sampling.</w:t>
            </w:r>
            <w:r>
              <w:rPr>
                <w:sz w:val="24"/>
                <w:szCs w:val="24"/>
              </w:rPr>
              <w:br w:type="textWrapping"/>
              <w:br w:type="textWrapping"/>
            </w:r>
            <w:r>
              <w:rPr>
                <w:sz w:val="24"/>
                <w:szCs w:val="24"/>
              </w:rPr>
              <w:drawing xmlns:a="http://schemas.openxmlformats.org/drawingml/2006/main">
                <wp:inline distT="0" distB="0" distL="0" distR="0">
                  <wp:extent cx="1460500" cy="10033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1460500" cy="1003300"/>
                          </a:xfrm>
                          <a:prstGeom prst="rect">
                            <a:avLst/>
                          </a:prstGeom>
                          <a:ln w="12700" cap="flat">
                            <a:noFill/>
                            <a:miter lim="400000"/>
                          </a:ln>
                          <a:effectLst/>
                        </pic:spPr>
                      </pic:pic>
                    </a:graphicData>
                  </a:graphic>
                </wp:inline>
              </w:drawing>
            </w:r>
            <w:r>
              <w:rPr>
                <w:sz w:val="24"/>
                <w:szCs w:val="24"/>
              </w:rPr>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r>
            <w:r>
              <w:drawing xmlns:a="http://schemas.openxmlformats.org/drawingml/2006/main">
                <wp:inline distT="0" distB="0" distL="0" distR="0">
                  <wp:extent cx="2635123" cy="1354048"/>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2635123" cy="1354048"/>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256634"/>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2635123" cy="1256634"/>
                          </a:xfrm>
                          <a:prstGeom prst="rect">
                            <a:avLst/>
                          </a:prstGeom>
                          <a:ln w="12700" cap="flat">
                            <a:noFill/>
                            <a:miter lim="400000"/>
                          </a:ln>
                          <a:effectLst/>
                        </pic:spPr>
                      </pic:pic>
                    </a:graphicData>
                  </a:graphic>
                </wp:inline>
              </w:drawing>
            </w:r>
          </w:p>
        </w:tc>
      </w:tr>
    </w:tbl>
    <w:p>
      <w:pPr>
        <w:pStyle w:val="Body"/>
        <w:bidi w:val="0"/>
      </w:pPr>
    </w:p>
    <w:p>
      <w:pPr>
        <w:pStyle w:val="Heading2"/>
        <w:bidi w:val="0"/>
      </w:pPr>
      <w:r>
        <w:rPr>
          <w:rtl w:val="0"/>
        </w:rPr>
        <w:t>Exponential Smoothing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5450"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pPr>
            <w:r>
              <w:rPr>
                <w:rFonts w:ascii="Bodoni SvtyTwo ITC TT-Book" w:hAnsi="Bodoni SvtyTwo ITC TT-Book"/>
                <w:sz w:val="24"/>
                <w:szCs w:val="24"/>
                <w:rtl w:val="0"/>
              </w:rPr>
              <w:t xml:space="preserve">The 2 day downsampling captures the three main regions of moderate increase, one to the far left and two at the middle right as well as a smaller region of moderate increase to the middle left and one to the far right. </w:t>
            </w:r>
            <w:r>
              <w:rPr>
                <w:rFonts w:ascii="Bodoni SvtyTwo ITC TT-Book" w:hAnsi="Bodoni SvtyTwo ITC TT-Book" w:hint="default"/>
                <w:sz w:val="24"/>
                <w:szCs w:val="24"/>
                <w:rtl w:val="0"/>
              </w:rPr>
              <w:br w:type="textWrapping"/>
            </w:r>
          </w:p>
          <w:p>
            <w:pPr>
              <w:pStyle w:val="Body"/>
            </w:pPr>
            <w:r>
              <w:rPr>
                <w:rFonts w:ascii="Bodoni SvtyTwo ITC TT-Book" w:hAnsi="Bodoni SvtyTwo ITC TT-Book"/>
                <w:sz w:val="24"/>
                <w:szCs w:val="24"/>
                <w:rtl w:val="0"/>
              </w:rPr>
              <w:t>The two day sampling captures a conspicuous set of regions of major increase (in red) that are lacking in the the original data.   This is because the major increase regions are denoted by slope and by sampling the data at a smaller rate, we increase the slope between data points.  It would be possible to introduce a normalizing factor in order to make this determination more closely match the scale used for the original data.</w:t>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br w:type="textWrapping"/>
            </w:r>
            <w:r>
              <w:drawing xmlns:a="http://schemas.openxmlformats.org/drawingml/2006/main">
                <wp:inline distT="0" distB="0" distL="0" distR="0">
                  <wp:extent cx="2635123" cy="1152867"/>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2635123" cy="1152867"/>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152178"/>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2635123" cy="1152178"/>
                          </a:xfrm>
                          <a:prstGeom prst="rect">
                            <a:avLst/>
                          </a:prstGeom>
                          <a:ln w="12700" cap="flat">
                            <a:noFill/>
                            <a:miter lim="400000"/>
                          </a:ln>
                          <a:effectLst/>
                        </pic:spPr>
                      </pic:pic>
                    </a:graphicData>
                  </a:graphic>
                </wp:inline>
              </w:drawing>
            </w:r>
          </w:p>
        </w:tc>
      </w:tr>
    </w:tbl>
    <w:p>
      <w:pPr>
        <w:pStyle w:val="Body"/>
        <w:bidi w:val="0"/>
      </w:pPr>
    </w:p>
    <w:p>
      <w:pPr>
        <w:pStyle w:val="Heading2"/>
        <w:bidi w:val="0"/>
      </w:pPr>
      <w:r>
        <w:rPr>
          <w:rtl w:val="0"/>
        </w:rPr>
        <w:t>Loess Smoothing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4952"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pPr>
            <w:r>
              <w:rPr>
                <w:rFonts w:ascii="Bodoni SvtyTwo ITC TT-Book" w:hAnsi="Bodoni SvtyTwo ITC TT-Book"/>
                <w:sz w:val="24"/>
                <w:szCs w:val="24"/>
                <w:rtl w:val="0"/>
              </w:rPr>
              <w:t>The Loess smoothing captures the three main regions of moderate increase similar to the exponential smoothing, one to the far left and two at the middle right.  More regions are tagged as fluctuating than in the exponential smoothing.</w:t>
            </w:r>
          </w:p>
          <w:p>
            <w:pPr>
              <w:pStyle w:val="Body"/>
            </w:pPr>
            <w:r>
              <w:rPr>
                <w:rFonts w:ascii="Bodoni SvtyTwo ITC TT-Book" w:hAnsi="Bodoni SvtyTwo ITC TT-Book"/>
                <w:sz w:val="24"/>
                <w:szCs w:val="24"/>
                <w:rtl w:val="0"/>
              </w:rPr>
              <w:t>The two day sampling preserves the main regions of moderate increase and smooths over the fluctuations to yield broader regions of moderate decrease in between the main increasing regions.  As with the exponential smoothing, the region to the far right is conspicuously highlighted as a major increase.</w:t>
            </w:r>
            <w:r>
              <w:rPr>
                <w:rFonts w:ascii="Bodoni SvtyTwo ITC TT-Book" w:hAnsi="Bodoni SvtyTwo ITC TT-Book" w:hint="default"/>
                <w:sz w:val="24"/>
                <w:szCs w:val="24"/>
                <w:rtl w:val="0"/>
              </w:rPr>
              <w:br w:type="textWrapping"/>
            </w:r>
          </w:p>
          <w:p>
            <w:pPr>
              <w:pStyle w:val="Body"/>
            </w:pP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r>
            <w:r>
              <w:drawing xmlns:a="http://schemas.openxmlformats.org/drawingml/2006/main">
                <wp:inline distT="0" distB="0" distL="0" distR="0">
                  <wp:extent cx="2635123" cy="1146665"/>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2635123" cy="1146665"/>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r>
            <w:r>
              <w:drawing xmlns:a="http://schemas.openxmlformats.org/drawingml/2006/main">
                <wp:inline distT="0" distB="0" distL="0" distR="0">
                  <wp:extent cx="2635123" cy="113245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2635123" cy="1132450"/>
                          </a:xfrm>
                          <a:prstGeom prst="rect">
                            <a:avLst/>
                          </a:prstGeom>
                          <a:ln w="12700" cap="flat">
                            <a:noFill/>
                            <a:miter lim="400000"/>
                          </a:ln>
                          <a:effectLst/>
                        </pic:spPr>
                      </pic:pic>
                    </a:graphicData>
                  </a:graphic>
                </wp:inline>
              </w:drawing>
            </w:r>
          </w:p>
        </w:tc>
      </w:tr>
    </w:tbl>
    <w:p>
      <w:pPr>
        <w:pStyle w:val="Body"/>
        <w:bidi w:val="0"/>
      </w:pPr>
    </w:p>
    <w:sectPr>
      <w:headerReference w:type="default" r:id="rId11"/>
      <w:footerReference w:type="default" r:id="rId12"/>
      <w:pgSz w:w="12240" w:h="15840" w:orient="portrait"/>
      <w:pgMar w:top="1440" w:right="1800" w:bottom="108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odoni SvtyTwo ITC TT-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1"/>
      <w:bidi w:val="0"/>
      <w:spacing w:before="0" w:after="240" w:line="240"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48"/>
      <w:szCs w:val="48"/>
      <w:u w:val="none"/>
      <w:shd w:val="nil" w:color="auto" w:fill="auto"/>
      <w:vertAlign w:val="baseline"/>
      <w:lang w:val="en-US"/>
      <w14:textOutline>
        <w14:noFill/>
      </w14:textOutline>
      <w14:textFill>
        <w14:solidFill>
          <w14:srgbClr w14:val="000000"/>
        </w14:solidFill>
      </w14:textFill>
    </w:rPr>
  </w:style>
  <w:style w:type="paragraph" w:styleId="Heading2">
    <w:name w:val="Heading2"/>
    <w:next w:val="Heading2"/>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Heading1">
    <w:name w:val="Heading1"/>
    <w:next w:val="Heading1"/>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Classic_Letter">
  <a:themeElements>
    <a:clrScheme name="23_Classic_Letter">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Classic_Letter">
      <a:majorFont>
        <a:latin typeface="Canela Text Regular"/>
        <a:ea typeface="Canela Text Regular"/>
        <a:cs typeface="Canela Text Regular"/>
      </a:majorFont>
      <a:minorFont>
        <a:latin typeface="Bodoni SvtyTwo ITC TT-Book"/>
        <a:ea typeface="Bodoni SvtyTwo ITC TT-Book"/>
        <a:cs typeface="Bodoni SvtyTwo ITC TT-Book"/>
      </a:minorFont>
    </a:fontScheme>
    <a:fmtScheme name="23_Classic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900"/>
          </a:spcBef>
          <a:spcAft>
            <a:spcPts val="0"/>
          </a:spcAft>
          <a:buClrTx/>
          <a:buSzTx/>
          <a:buFontTx/>
          <a:buNone/>
          <a:tabLst/>
          <a:defRPr b="0" baseline="0" cap="none" i="0" spc="0" strike="noStrike" sz="1300" u="none" kumimoji="0" normalizeH="0">
            <a:ln>
              <a:noFill/>
            </a:ln>
            <a:solidFill>
              <a:srgbClr val="000000"/>
            </a:solidFill>
            <a:effectLst/>
            <a:uFillTx/>
            <a:latin typeface="+mn-lt"/>
            <a:ea typeface="+mn-ea"/>
            <a:cs typeface="+mn-cs"/>
            <a:sym typeface="Bodoni SvtyTwo ITC TT-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