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200"/>
        <w:jc w:val="center"/>
      </w:pPr>
      <w:r>
        <w:rPr>
          <w:rFonts w:ascii="Cambria" w:hAnsi="Cambria" w:eastAsia="Cambria"/>
          <w:b/>
          <w:i w:val="0"/>
          <w:color w:val="17365D"/>
          <w:sz w:val="34"/>
        </w:rPr>
        <w:t>RENCANA PEMBELAJARAN Bahaya Zat Adiktif (Narkoba, Rokok, dan Alkohol) bagi Tubuh</w:t>
      </w:r>
    </w:p>
    <w:p>
      <w:pPr>
        <w:spacing w:after="40"/>
        <w:ind w:left="317"/>
      </w:pPr>
      <w:r>
        <w:rPr>
          <w:rFonts w:ascii="Cambria" w:hAnsi="Cambria" w:eastAsia="Cambria"/>
          <w:b/>
          <w:i w:val="0"/>
          <w:color w:val="17365D"/>
          <w:sz w:val="21"/>
        </w:rPr>
        <w:t>Satuan Pendidikan</w:t>
      </w:r>
      <w:r>
        <w:rPr>
          <w:rFonts w:ascii="Cambria" w:hAnsi="Cambria" w:eastAsia="Cambria"/>
          <w:b w:val="0"/>
          <w:i w:val="0"/>
          <w:sz w:val="21"/>
        </w:rPr>
        <w:t xml:space="preserve"> : SMP Negeri 6 Kendari</w:t>
      </w:r>
    </w:p>
    <w:p>
      <w:pPr>
        <w:spacing w:after="40"/>
        <w:ind w:left="317"/>
      </w:pPr>
      <w:r>
        <w:rPr>
          <w:rFonts w:ascii="Cambria" w:hAnsi="Cambria" w:eastAsia="Cambria"/>
          <w:b/>
          <w:i w:val="0"/>
          <w:color w:val="17365D"/>
          <w:sz w:val="21"/>
        </w:rPr>
        <w:t>Mata Pelajaran</w:t>
      </w:r>
      <w:r>
        <w:rPr>
          <w:rFonts w:ascii="Cambria" w:hAnsi="Cambria" w:eastAsia="Cambria"/>
          <w:b w:val="0"/>
          <w:i w:val="0"/>
          <w:sz w:val="21"/>
        </w:rPr>
        <w:t xml:space="preserve"> : Ilmu Pengetahuan Alam</w:t>
      </w:r>
    </w:p>
    <w:p>
      <w:pPr>
        <w:spacing w:after="40"/>
        <w:ind w:left="317"/>
      </w:pPr>
      <w:r>
        <w:rPr>
          <w:rFonts w:ascii="Cambria" w:hAnsi="Cambria" w:eastAsia="Cambria"/>
          <w:b/>
          <w:i w:val="0"/>
          <w:color w:val="17365D"/>
          <w:sz w:val="21"/>
        </w:rPr>
        <w:t>Kelas / Fase</w:t>
      </w:r>
      <w:r>
        <w:rPr>
          <w:rFonts w:ascii="Cambria" w:hAnsi="Cambria" w:eastAsia="Cambria"/>
          <w:b w:val="0"/>
          <w:i w:val="0"/>
          <w:sz w:val="21"/>
        </w:rPr>
        <w:t xml:space="preserve"> : 9 / D</w:t>
      </w:r>
    </w:p>
    <w:p>
      <w:pPr>
        <w:spacing w:after="40"/>
        <w:ind w:left="317"/>
      </w:pPr>
      <w:r>
        <w:rPr>
          <w:rFonts w:ascii="Cambria" w:hAnsi="Cambria" w:eastAsia="Cambria"/>
          <w:b/>
          <w:i w:val="0"/>
          <w:color w:val="17365D"/>
          <w:sz w:val="21"/>
        </w:rPr>
        <w:t>Alokasi Waktu</w:t>
      </w:r>
      <w:r>
        <w:rPr>
          <w:rFonts w:ascii="Cambria" w:hAnsi="Cambria" w:eastAsia="Cambria"/>
          <w:b w:val="0"/>
          <w:i w:val="0"/>
          <w:sz w:val="21"/>
        </w:rPr>
        <w:t xml:space="preserve"> : 2 Pertemuan ( 2 JP @ 40 Menit )</w:t>
      </w:r>
    </w:p>
    <w:p>
      <w:pPr>
        <w:spacing w:after="0"/>
      </w:pPr>
    </w:p>
    <w:tbl>
      <w:tblPr>
        <w:tblW w:type="dxa" w:w="10512"/>
        <w:jc w:val="center"/>
        <w:tblLayout w:type="fixed"/>
        <w:tblLook w:firstColumn="1" w:firstRow="1" w:lastColumn="0" w:lastRow="0" w:noHBand="0" w:noVBand="1" w:val="04A0"/>
        <w:tblBorders>
          <w:top w:val="single" w:sz="6" w:space="0" w:color="7F8FA6"/>
          <w:left w:val="single" w:sz="6" w:space="0" w:color="7F8FA6"/>
          <w:bottom w:val="single" w:sz="6" w:space="0" w:color="7F8FA6"/>
          <w:right w:val="single" w:sz="6" w:space="0" w:color="7F8FA6"/>
          <w:insideH w:val="single" w:sz="6" w:space="0" w:color="7F8FA6"/>
          <w:insideV w:val="single" w:sz="6" w:space="0" w:color="7F8FA6"/>
        </w:tblBorders>
      </w:tblPr>
      <w:tblGrid>
        <w:gridCol w:w="1800"/>
        <w:gridCol w:w="2304"/>
        <w:gridCol w:w="6408"/>
      </w:tblGrid>
      <w:tr>
        <w:trPr>
          <w:cantSplit w:val="0"/>
        </w:trPr>
        <w:tc>
          <w:tcPr>
            <w:tcW w:type="dxa" w:w="1800"/>
            <w:tcMar>
              <w:top w:w="85" w:type="dxa"/>
              <w:start w:w="90" w:type="dxa"/>
              <w:bottom w:w="85" w:type="dxa"/>
              <w:end w:w="90" w:type="dxa"/>
            </w:tcMar>
            <w:vAlign w:val="top"/>
            <w:shd w:fill="17365D"/>
          </w:tcPr>
          <w:p>
            <w:pPr>
              <w:pStyle w:val="CellBody"/>
              <w:spacing w:after="40"/>
            </w:pPr>
            <w:r>
              <w:rPr>
                <w:rFonts w:ascii="Cambria" w:hAnsi="Cambria" w:eastAsia="Cambria"/>
                <w:color w:val="FFFFFF"/>
              </w:rPr>
            </w:r>
            <w:r>
              <w:rPr>
                <w:rFonts w:ascii="Cambria" w:hAnsi="Cambria" w:eastAsia="Cambria"/>
                <w:b/>
                <w:i w:val="0"/>
                <w:color w:val="FFFFFF"/>
              </w:rPr>
              <w:t>Identifikasi</w:t>
            </w: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Dimensi Profil Lulusan</w:t>
            </w:r>
          </w:p>
        </w:tc>
        <w:tc>
          <w:tcPr>
            <w:tcW w:type="dxa" w:w="6408"/>
            <w:tcMar>
              <w:top w:w="85" w:type="dxa"/>
              <w:start w:w="90" w:type="dxa"/>
              <w:bottom w:w="85" w:type="dxa"/>
              <w:end w:w="90" w:type="dxa"/>
            </w:tcMar>
            <w:vAlign w:val="top"/>
          </w:tcPr>
          <w:p>
            <w:pPr>
              <w:pStyle w:val="CellBody"/>
              <w:spacing w:after="40"/>
            </w:pPr>
            <w:r>
              <w:rPr>
                <w:rFonts w:ascii="Cambria" w:hAnsi="Cambria" w:eastAsia="Cambria"/>
              </w:rPr>
            </w:r>
            <w:r>
              <w:rPr>
                <w:rFonts w:ascii="Cambria" w:hAnsi="Cambria" w:eastAsia="Cambria"/>
                <w:b w:val="0"/>
                <w:i w:val="0"/>
              </w:rPr>
              <w:t>☐ Keimanan dan Ketakwaan Terhadap Tuhan YME</w:t>
            </w:r>
          </w:p>
          <w:p>
            <w:pPr>
              <w:pStyle w:val="CellBody"/>
              <w:spacing w:after="40"/>
            </w:pPr>
            <w:r>
              <w:rPr>
                <w:rFonts w:ascii="Cambria" w:hAnsi="Cambria" w:eastAsia="Cambria"/>
                <w:b w:val="0"/>
                <w:i w:val="0"/>
              </w:rPr>
              <w:t>• Kewargaan</w:t>
            </w:r>
          </w:p>
          <w:p>
            <w:pPr>
              <w:pStyle w:val="CellBody"/>
              <w:spacing w:after="40"/>
            </w:pPr>
            <w:r>
              <w:rPr>
                <w:rFonts w:ascii="Cambria" w:hAnsi="Cambria" w:eastAsia="Cambria"/>
                <w:b w:val="0"/>
                <w:i w:val="0"/>
              </w:rPr>
              <w:t>• Penalaran Kritis</w:t>
            </w:r>
          </w:p>
          <w:p>
            <w:pPr>
              <w:pStyle w:val="CellBody"/>
              <w:spacing w:after="40"/>
            </w:pPr>
            <w:r>
              <w:rPr>
                <w:rFonts w:ascii="Cambria" w:hAnsi="Cambria" w:eastAsia="Cambria"/>
                <w:b w:val="0"/>
                <w:i w:val="0"/>
              </w:rPr>
              <w:t>☐ Kreativitas</w:t>
            </w:r>
          </w:p>
          <w:p>
            <w:pPr>
              <w:pStyle w:val="CellBody"/>
              <w:spacing w:after="40"/>
            </w:pPr>
            <w:r>
              <w:rPr>
                <w:rFonts w:ascii="Cambria" w:hAnsi="Cambria" w:eastAsia="Cambria"/>
                <w:b w:val="0"/>
                <w:i w:val="0"/>
              </w:rPr>
              <w:t>☐ Kolaborasi</w:t>
            </w:r>
          </w:p>
          <w:p>
            <w:pPr>
              <w:pStyle w:val="CellBody"/>
              <w:spacing w:after="40"/>
            </w:pPr>
            <w:r>
              <w:rPr>
                <w:rFonts w:ascii="Cambria" w:hAnsi="Cambria" w:eastAsia="Cambria"/>
                <w:b w:val="0"/>
                <w:i w:val="0"/>
              </w:rPr>
              <w:t>• Kemandirian</w:t>
            </w:r>
          </w:p>
          <w:p>
            <w:pPr>
              <w:pStyle w:val="CellBody"/>
              <w:spacing w:after="40"/>
            </w:pPr>
            <w:r>
              <w:rPr>
                <w:rFonts w:ascii="Cambria" w:hAnsi="Cambria" w:eastAsia="Cambria"/>
                <w:b w:val="0"/>
                <w:i w:val="0"/>
              </w:rPr>
              <w:t>• Kesehatan</w:t>
            </w:r>
          </w:p>
          <w:p>
            <w:pPr>
              <w:pStyle w:val="CellBody"/>
              <w:spacing w:after="40"/>
            </w:pPr>
            <w:r>
              <w:rPr>
                <w:rFonts w:ascii="Cambria" w:hAnsi="Cambria" w:eastAsia="Cambria"/>
                <w:b w:val="0"/>
                <w:i w:val="0"/>
              </w:rPr>
              <w:t>☐ Komunikasi</w:t>
            </w:r>
          </w:p>
        </w:tc>
      </w:tr>
      <w:tr>
        <w:trPr>
          <w:cantSplit w:val="0"/>
        </w:trPr>
        <w:tc>
          <w:tcPr>
            <w:tcW w:type="dxa" w:w="1800"/>
            <w:tcMar>
              <w:top w:w="85" w:type="dxa"/>
              <w:start w:w="90" w:type="dxa"/>
              <w:bottom w:w="85" w:type="dxa"/>
              <w:end w:w="90" w:type="dxa"/>
            </w:tcMar>
            <w:vAlign w:val="top"/>
            <w:vMerge w:val="restart"/>
            <w:shd w:fill="17365D"/>
          </w:tcPr>
          <w:p>
            <w:pPr>
              <w:pStyle w:val="CellBody"/>
              <w:spacing w:after="40"/>
              <w:jc w:val="center"/>
            </w:pPr>
            <w:r>
              <w:rPr>
                <w:rFonts w:ascii="Cambria" w:hAnsi="Cambria" w:eastAsia="Cambria"/>
                <w:color w:val="FFFFFF"/>
              </w:rPr>
            </w:r>
            <w:r>
              <w:rPr>
                <w:rFonts w:ascii="Cambria" w:hAnsi="Cambria" w:eastAsia="Cambria"/>
                <w:b/>
                <w:i w:val="0"/>
                <w:color w:val="FFFFFF"/>
              </w:rPr>
              <w:t>Desain Pembelajaran</w:t>
            </w: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Tujuan Pembelajaran</w:t>
            </w:r>
          </w:p>
        </w:tc>
        <w:tc>
          <w:tcPr>
            <w:tcW w:type="dxa" w:w="6408"/>
            <w:tcMar>
              <w:top w:w="85" w:type="dxa"/>
              <w:start w:w="90" w:type="dxa"/>
              <w:bottom w:w="85" w:type="dxa"/>
              <w:end w:w="90" w:type="dxa"/>
            </w:tcMar>
            <w:vAlign w:val="top"/>
          </w:tcPr>
          <w:p>
            <w:pPr>
              <w:pStyle w:val="ListBullet"/>
              <w:spacing w:after="40"/>
              <w:ind w:left="317" w:hanging="202"/>
            </w:pPr>
            <w:r>
              <w:rPr>
                <w:rFonts w:ascii="Cambria" w:hAnsi="Cambria" w:eastAsia="Cambria"/>
              </w:rPr>
            </w:r>
            <w:r>
              <w:rPr>
                <w:rFonts w:ascii="Cambria" w:hAnsi="Cambria" w:eastAsia="Cambria"/>
                <w:b w:val="0"/>
                <w:i w:val="0"/>
                <w:sz w:val="19"/>
              </w:rPr>
              <w:t>Murid mampu menganalisis bahaya zat adiktif (narkoba, rokok, alkohol) terhadap sistem organ tubuh manusia melalui investigasi literatur dan data kasus kesehatan secara kolaboratif.</w:t>
            </w:r>
          </w:p>
          <w:p>
            <w:pPr>
              <w:pStyle w:val="ListBullet"/>
              <w:spacing w:after="40"/>
              <w:ind w:left="317" w:hanging="202"/>
            </w:pPr>
            <w:r>
              <w:rPr>
                <w:rFonts w:ascii="Cambria" w:hAnsi="Cambria" w:eastAsia="Cambria"/>
                <w:b w:val="0"/>
                <w:i w:val="0"/>
                <w:sz w:val="19"/>
              </w:rPr>
              <w:t>Murid mampu mengevaluasi keputusan yang tepat untuk menghindari penyalahgunaan zat adiktif berdasarkan analisis dampaknya bagi diri, keluarga, dan lingkungan sekitar.</w:t>
            </w:r>
          </w:p>
          <w:p>
            <w:pPr>
              <w:pStyle w:val="ListBullet"/>
              <w:spacing w:after="40"/>
              <w:ind w:left="317" w:hanging="202"/>
            </w:pPr>
            <w:r>
              <w:rPr>
                <w:rFonts w:ascii="Cambria" w:hAnsi="Cambria" w:eastAsia="Cambria"/>
                <w:b w:val="0"/>
                <w:i w:val="0"/>
                <w:sz w:val="19"/>
              </w:rPr>
              <w:t>Murid mampu merancang aksi kampanye sosial pencegahan penyalahgunaan NAPZA di lingkungan sekolah serta mengomunikasikannya secara sistematis dan persuasif.</w:t>
            </w:r>
          </w:p>
        </w:tc>
      </w:tr>
      <w:tr>
        <w:trPr>
          <w:cantSplit w:val="0"/>
        </w:trPr>
        <w:tc>
          <w:tcPr>
            <w:tcW w:type="dxa" w:w="1800"/>
            <w:vMerge/>
            <w:tcMar>
              <w:top w:w="85" w:type="dxa"/>
              <w:start w:w="90" w:type="dxa"/>
              <w:bottom w:w="85" w:type="dxa"/>
              <w:end w:w="90" w:type="dxa"/>
            </w:tcMar>
            <w:vAlign w:val="top"/>
          </w:tcP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Praktik Pedagogis</w:t>
            </w:r>
          </w:p>
        </w:tc>
        <w:tc>
          <w:tcPr>
            <w:tcW w:type="dxa" w:w="6408"/>
            <w:tcMar>
              <w:top w:w="85" w:type="dxa"/>
              <w:start w:w="90" w:type="dxa"/>
              <w:bottom w:w="85" w:type="dxa"/>
              <w:end w:w="90" w:type="dxa"/>
            </w:tcMar>
            <w:vAlign w:val="top"/>
          </w:tcPr>
          <w:p>
            <w:pPr>
              <w:pStyle w:val="CellBody"/>
              <w:spacing w:after="40"/>
            </w:pPr>
            <w:r>
              <w:rPr>
                <w:rFonts w:ascii="Cambria" w:hAnsi="Cambria" w:eastAsia="Cambria"/>
              </w:rPr>
            </w:r>
            <w:r>
              <w:rPr>
                <w:rFonts w:ascii="Cambria" w:hAnsi="Cambria" w:eastAsia="Cambria"/>
                <w:b w:val="0"/>
                <w:i w:val="0"/>
              </w:rPr>
              <w:t>Model Problem-Based Learning (PBL)</w:t>
            </w:r>
          </w:p>
        </w:tc>
      </w:tr>
      <w:tr>
        <w:trPr>
          <w:cantSplit w:val="0"/>
        </w:trPr>
        <w:tc>
          <w:tcPr>
            <w:tcW w:type="dxa" w:w="1800"/>
            <w:vMerge/>
            <w:tcMar>
              <w:top w:w="85" w:type="dxa"/>
              <w:start w:w="90" w:type="dxa"/>
              <w:bottom w:w="85" w:type="dxa"/>
              <w:end w:w="90" w:type="dxa"/>
            </w:tcMar>
            <w:vAlign w:val="top"/>
          </w:tcP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Kemitraan Pembelajaran</w:t>
            </w:r>
          </w:p>
        </w:tc>
        <w:tc>
          <w:tcPr>
            <w:tcW w:type="dxa" w:w="6408"/>
            <w:tcMar>
              <w:top w:w="85" w:type="dxa"/>
              <w:start w:w="90" w:type="dxa"/>
              <w:bottom w:w="85" w:type="dxa"/>
              <w:end w:w="90" w:type="dxa"/>
            </w:tcMar>
            <w:vAlign w:val="top"/>
          </w:tcPr>
          <w:p>
            <w:pPr>
              <w:pStyle w:val="ListBullet"/>
              <w:spacing w:after="40" w:line="252" w:lineRule="auto"/>
              <w:ind w:left="317" w:hanging="202" w:right="0"/>
            </w:pPr>
            <w:r>
              <w:rPr>
                <w:rFonts w:ascii="Cambria" w:hAnsi="Cambria" w:eastAsia="Cambria"/>
                <w:sz w:val="19"/>
              </w:rPr>
            </w:r>
            <w:r>
              <w:rPr>
                <w:rFonts w:ascii="Cambria" w:hAnsi="Cambria" w:eastAsia="Cambria"/>
                <w:b/>
                <w:sz w:val="19"/>
              </w:rPr>
              <w:t>Orang Tua/Wali</w:t>
            </w:r>
            <w:r>
              <w:rPr>
                <w:rFonts w:ascii="Cambria" w:hAnsi="Cambria" w:eastAsia="Cambria"/>
                <w:sz w:val="19"/>
              </w:rPr>
              <w:t>: Mendampingi Murid mengidentifikasi pesan atau situasi berisiko di lingkungan sekitar, menguatkan komunikasi terbuka, dan memberikan contoh keputusan sehat tanpa membuka pengalaman pribadi yang sensitif.</w:t>
            </w:r>
          </w:p>
          <w:p>
            <w:pPr>
              <w:pStyle w:val="ListBullet"/>
              <w:spacing w:after="40" w:line="252" w:lineRule="auto"/>
              <w:ind w:left="317" w:hanging="202" w:right="0"/>
            </w:pPr>
            <w:r>
              <w:rPr>
                <w:rFonts w:ascii="Cambria" w:hAnsi="Cambria" w:eastAsia="Cambria"/>
                <w:b/>
                <w:sz w:val="19"/>
              </w:rPr>
              <w:t>Puskesmas/Tenaga Kesehatan</w:t>
            </w:r>
            <w:r>
              <w:rPr>
                <w:rFonts w:ascii="Cambria" w:hAnsi="Cambria" w:eastAsia="Cambria"/>
                <w:sz w:val="19"/>
              </w:rPr>
              <w:t>: Menyediakan bahan edukasi resmi tentang dampak narkoba, rokok, dan alkohol terhadap tubuh serta informasi jalur bantuan yang aman.</w:t>
            </w:r>
          </w:p>
          <w:p>
            <w:pPr>
              <w:pStyle w:val="ListBullet"/>
              <w:spacing w:after="40" w:line="252" w:lineRule="auto"/>
              <w:ind w:left="317" w:hanging="202" w:right="0"/>
            </w:pPr>
            <w:r>
              <w:rPr>
                <w:rFonts w:ascii="Cambria" w:hAnsi="Cambria" w:eastAsia="Cambria"/>
                <w:b/>
                <w:sz w:val="19"/>
              </w:rPr>
              <w:t>Guru BK/UKS</w:t>
            </w:r>
            <w:r>
              <w:rPr>
                <w:rFonts w:ascii="Cambria" w:hAnsi="Cambria" w:eastAsia="Cambria"/>
                <w:sz w:val="19"/>
              </w:rPr>
              <w:t>: Menjadi mitra konsultasi, menguatkan keterampilan menolak secara asertif, dan menindaklanjuti kebutuhan dukungan Murid secara rahasia sesuai prosedur sekolah.</w:t>
            </w:r>
          </w:p>
        </w:tc>
      </w:tr>
      <w:tr>
        <w:trPr>
          <w:cantSplit w:val="0"/>
        </w:trPr>
        <w:tc>
          <w:tcPr>
            <w:tcW w:type="dxa" w:w="1800"/>
            <w:vMerge/>
            <w:tcMar>
              <w:top w:w="85" w:type="dxa"/>
              <w:start w:w="90" w:type="dxa"/>
              <w:bottom w:w="85" w:type="dxa"/>
              <w:end w:w="90" w:type="dxa"/>
            </w:tcMar>
            <w:vAlign w:val="top"/>
          </w:tcP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Lingkungan Pembelajaran</w:t>
            </w:r>
          </w:p>
        </w:tc>
        <w:tc>
          <w:tcPr>
            <w:tcW w:type="dxa" w:w="6408"/>
            <w:tcMar>
              <w:top w:w="85" w:type="dxa"/>
              <w:start w:w="90" w:type="dxa"/>
              <w:bottom w:w="85" w:type="dxa"/>
              <w:end w:w="90" w:type="dxa"/>
            </w:tcMar>
            <w:vAlign w:val="top"/>
          </w:tcPr>
          <w:p>
            <w:pPr>
              <w:pStyle w:val="ListBullet"/>
              <w:spacing w:after="40" w:line="252" w:lineRule="auto"/>
              <w:ind w:left="317" w:hanging="202" w:right="0"/>
            </w:pPr>
            <w:r>
              <w:rPr>
                <w:rFonts w:ascii="Cambria" w:hAnsi="Cambria" w:eastAsia="Cambria"/>
                <w:sz w:val="19"/>
              </w:rPr>
            </w:r>
            <w:r>
              <w:rPr>
                <w:rFonts w:ascii="Cambria" w:hAnsi="Cambria" w:eastAsia="Cambria"/>
                <w:b/>
                <w:sz w:val="19"/>
              </w:rPr>
              <w:t>Ruang Fisik</w:t>
            </w:r>
            <w:r>
              <w:rPr>
                <w:rFonts w:ascii="Cambria" w:hAnsi="Cambria" w:eastAsia="Cambria"/>
                <w:sz w:val="19"/>
              </w:rPr>
              <w:t>: Meja kursi disusun dalam kelompok 4–5 orang; tersedia area presentasi, proyektor, dan sudut sumber belajar kesehatan.</w:t>
            </w:r>
          </w:p>
          <w:p>
            <w:pPr>
              <w:pStyle w:val="ListBullet"/>
              <w:spacing w:after="40" w:line="252" w:lineRule="auto"/>
              <w:ind w:left="317" w:hanging="202" w:right="0"/>
            </w:pPr>
            <w:r>
              <w:rPr>
                <w:rFonts w:ascii="Cambria" w:hAnsi="Cambria" w:eastAsia="Cambria"/>
                <w:b/>
                <w:sz w:val="19"/>
              </w:rPr>
              <w:t>Ruang Virtual</w:t>
            </w:r>
            <w:r>
              <w:rPr>
                <w:rFonts w:ascii="Cambria" w:hAnsi="Cambria" w:eastAsia="Cambria"/>
                <w:sz w:val="19"/>
              </w:rPr>
              <w:t>: Mentimeter untuk respons awal, Google Docs untuk kolaborasi LKPD, dan Canva untuk merancang poster/video kampanye anti-NAPZA.</w:t>
            </w:r>
          </w:p>
          <w:p>
            <w:pPr>
              <w:pStyle w:val="ListBullet"/>
              <w:spacing w:after="40" w:line="252" w:lineRule="auto"/>
              <w:ind w:left="317" w:hanging="202" w:right="0"/>
            </w:pPr>
            <w:r>
              <w:rPr>
                <w:rFonts w:ascii="Cambria" w:hAnsi="Cambria" w:eastAsia="Cambria"/>
                <w:b/>
                <w:sz w:val="19"/>
              </w:rPr>
              <w:t>Budaya Belajar</w:t>
            </w:r>
            <w:r>
              <w:rPr>
                <w:rFonts w:ascii="Cambria" w:hAnsi="Cambria" w:eastAsia="Cambria"/>
                <w:sz w:val="19"/>
              </w:rPr>
              <w:t>: Membangun diskusi berbasis bukti, empati tanpa stigma, keberanian bertanya, tanggung jawab menjaga kesehatan, dan penghargaan terhadap kerahasiaan.</w:t>
            </w:r>
          </w:p>
        </w:tc>
      </w:tr>
      <w:tr>
        <w:trPr>
          <w:cantSplit w:val="0"/>
        </w:trPr>
        <w:tc>
          <w:tcPr>
            <w:tcW w:type="dxa" w:w="1800"/>
            <w:vMerge/>
            <w:tcMar>
              <w:top w:w="85" w:type="dxa"/>
              <w:start w:w="90" w:type="dxa"/>
              <w:bottom w:w="85" w:type="dxa"/>
              <w:end w:w="90" w:type="dxa"/>
            </w:tcMar>
            <w:vAlign w:val="top"/>
          </w:tcP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Pemanfaatan Digital</w:t>
            </w:r>
          </w:p>
        </w:tc>
        <w:tc>
          <w:tcPr>
            <w:tcW w:type="dxa" w:w="6408"/>
            <w:tcMar>
              <w:top w:w="85" w:type="dxa"/>
              <w:start w:w="90" w:type="dxa"/>
              <w:bottom w:w="85" w:type="dxa"/>
              <w:end w:w="90" w:type="dxa"/>
            </w:tcMar>
            <w:vAlign w:val="top"/>
          </w:tcPr>
          <w:p>
            <w:pPr>
              <w:pStyle w:val="ListBullet"/>
              <w:spacing w:after="40" w:line="252" w:lineRule="auto"/>
              <w:ind w:left="317" w:hanging="202" w:right="0"/>
            </w:pPr>
            <w:r>
              <w:rPr>
                <w:rFonts w:ascii="Cambria" w:hAnsi="Cambria" w:eastAsia="Cambria"/>
                <w:sz w:val="19"/>
              </w:rPr>
            </w:r>
            <w:r>
              <w:rPr>
                <w:rFonts w:ascii="Cambria" w:hAnsi="Cambria" w:eastAsia="Cambria"/>
                <w:b/>
                <w:sz w:val="19"/>
              </w:rPr>
              <w:t>Mentimeter</w:t>
            </w:r>
            <w:r>
              <w:rPr>
                <w:rFonts w:ascii="Cambria" w:hAnsi="Cambria" w:eastAsia="Cambria"/>
                <w:sz w:val="19"/>
              </w:rPr>
              <w:t>: Menampung jawaban anonim atas pertanyaan pemantik dan memetakan pengetahuan awal Murid.</w:t>
            </w:r>
          </w:p>
          <w:p>
            <w:pPr>
              <w:pStyle w:val="ListBullet"/>
              <w:spacing w:after="40" w:line="252" w:lineRule="auto"/>
              <w:ind w:left="317" w:hanging="202" w:right="0"/>
            </w:pPr>
            <w:r>
              <w:rPr>
                <w:rFonts w:ascii="Cambria" w:hAnsi="Cambria" w:eastAsia="Cambria"/>
                <w:b/>
                <w:sz w:val="19"/>
              </w:rPr>
              <w:t>Google Docs</w:t>
            </w:r>
            <w:r>
              <w:rPr>
                <w:rFonts w:ascii="Cambria" w:hAnsi="Cambria" w:eastAsia="Cambria"/>
                <w:sz w:val="19"/>
              </w:rPr>
              <w:t>: Mendukung pengerjaan LKPD secara serentak, pencatatan sumber, dan umpan balik guru.</w:t>
            </w:r>
          </w:p>
          <w:p>
            <w:pPr>
              <w:pStyle w:val="ListBullet"/>
              <w:spacing w:after="40" w:line="252" w:lineRule="auto"/>
              <w:ind w:left="317" w:hanging="202" w:right="0"/>
            </w:pPr>
            <w:r>
              <w:rPr>
                <w:rFonts w:ascii="Cambria" w:hAnsi="Cambria" w:eastAsia="Cambria"/>
                <w:b/>
                <w:sz w:val="19"/>
              </w:rPr>
              <w:t>Canva</w:t>
            </w:r>
            <w:r>
              <w:rPr>
                <w:rFonts w:ascii="Cambria" w:hAnsi="Cambria" w:eastAsia="Cambria"/>
                <w:sz w:val="19"/>
              </w:rPr>
              <w:t>: Mendesain poster atau video kampanye anti-NAPZA dengan pesan ilmiah, persuasif, dan ramah sebaya.</w:t>
            </w:r>
          </w:p>
        </w:tc>
      </w:tr>
      <w:tr>
        <w:trPr>
          <w:cantSplit w:val="0"/>
        </w:trPr>
        <w:tc>
          <w:tcPr>
            <w:tcW w:type="dxa" w:w="1800"/>
            <w:tcMar>
              <w:top w:w="85" w:type="dxa"/>
              <w:start w:w="90" w:type="dxa"/>
              <w:bottom w:w="85" w:type="dxa"/>
              <w:end w:w="90" w:type="dxa"/>
            </w:tcMar>
            <w:vAlign w:val="top"/>
            <w:shd w:fill="17365D"/>
          </w:tcPr>
          <w:p>
            <w:pPr>
              <w:pStyle w:val="CellBody"/>
              <w:spacing w:after="40"/>
            </w:pPr>
            <w:r>
              <w:rPr>
                <w:rFonts w:ascii="Cambria" w:hAnsi="Cambria" w:eastAsia="Cambria"/>
                <w:color w:val="FFFFFF"/>
              </w:rPr>
            </w:r>
            <w:r>
              <w:rPr>
                <w:rFonts w:ascii="Cambria" w:hAnsi="Cambria" w:eastAsia="Cambria"/>
                <w:b/>
                <w:i w:val="0"/>
                <w:color w:val="FFFFFF"/>
              </w:rPr>
              <w:t>Asesmen Pembelajaran</w:t>
            </w:r>
          </w:p>
        </w:tc>
        <w:tc>
          <w:tcPr>
            <w:tcW w:type="dxa" w:w="2304"/>
            <w:tcMar>
              <w:top w:w="85" w:type="dxa"/>
              <w:start w:w="90" w:type="dxa"/>
              <w:bottom w:w="85" w:type="dxa"/>
              <w:end w:w="90" w:type="dxa"/>
            </w:tcMar>
            <w:vAlign w:val="top"/>
            <w:shd w:fill="2F5597"/>
          </w:tcPr>
          <w:p>
            <w:pPr>
              <w:pStyle w:val="CellBody"/>
              <w:spacing w:after="40"/>
            </w:pPr>
            <w:r>
              <w:rPr>
                <w:rFonts w:ascii="Cambria" w:hAnsi="Cambria" w:eastAsia="Cambria"/>
                <w:color w:val="FFFFFF"/>
              </w:rPr>
            </w:r>
            <w:r>
              <w:rPr>
                <w:rFonts w:ascii="Cambria" w:hAnsi="Cambria" w:eastAsia="Cambria"/>
                <w:b/>
                <w:i w:val="0"/>
                <w:color w:val="FFFFFF"/>
              </w:rPr>
              <w:t>Detail Asesmen</w:t>
            </w:r>
          </w:p>
        </w:tc>
        <w:tc>
          <w:tcPr>
            <w:tcW w:type="dxa" w:w="6408"/>
            <w:tcMar>
              <w:top w:w="85" w:type="dxa"/>
              <w:start w:w="90" w:type="dxa"/>
              <w:bottom w:w="85" w:type="dxa"/>
              <w:end w:w="90" w:type="dxa"/>
            </w:tcMar>
            <w:vAlign w:val="top"/>
          </w:tcPr>
          <w:p>
            <w:pPr>
              <w:pStyle w:val="ListBullet"/>
              <w:spacing w:after="40" w:line="252" w:lineRule="auto"/>
              <w:ind w:left="317" w:hanging="202" w:right="0"/>
            </w:pPr>
            <w:r>
              <w:rPr>
                <w:rFonts w:ascii="Cambria" w:hAnsi="Cambria" w:eastAsia="Cambria"/>
                <w:sz w:val="19"/>
              </w:rPr>
            </w:r>
            <w:r>
              <w:rPr>
                <w:rFonts w:ascii="Cambria" w:hAnsi="Cambria" w:eastAsia="Cambria"/>
                <w:b/>
                <w:sz w:val="19"/>
              </w:rPr>
              <w:t>Asesmen Awal</w:t>
            </w:r>
            <w:r>
              <w:rPr>
                <w:rFonts w:ascii="Cambria" w:hAnsi="Cambria" w:eastAsia="Cambria"/>
                <w:sz w:val="19"/>
              </w:rPr>
              <w:t>: Pertanyaan pemantik melalui Mentimeter untuk memetakan pemahaman dan miskonsepsi awal.</w:t>
            </w:r>
          </w:p>
          <w:p>
            <w:pPr>
              <w:pStyle w:val="ListBullet"/>
              <w:spacing w:after="40" w:line="252" w:lineRule="auto"/>
              <w:ind w:left="317" w:hanging="202" w:right="0"/>
            </w:pPr>
            <w:r>
              <w:rPr>
                <w:rFonts w:ascii="Cambria" w:hAnsi="Cambria" w:eastAsia="Cambria"/>
                <w:b/>
                <w:sz w:val="19"/>
              </w:rPr>
              <w:t>Asesmen Formatif</w:t>
            </w:r>
            <w:r>
              <w:rPr>
                <w:rFonts w:ascii="Cambria" w:hAnsi="Cambria" w:eastAsia="Cambria"/>
                <w:sz w:val="19"/>
              </w:rPr>
              <w:t>: Lembar Kerja Peserta Didik (LKPD) penyelidikan bahaya zat adiktif dan rubrik produk kreatif poster/video.</w:t>
            </w:r>
          </w:p>
          <w:p>
            <w:pPr>
              <w:pStyle w:val="ListBullet"/>
              <w:spacing w:after="40" w:line="252" w:lineRule="auto"/>
              <w:ind w:left="317" w:hanging="202" w:right="0"/>
            </w:pPr>
            <w:r>
              <w:rPr>
                <w:rFonts w:ascii="Cambria" w:hAnsi="Cambria" w:eastAsia="Cambria"/>
                <w:b/>
                <w:sz w:val="19"/>
              </w:rPr>
              <w:t>Asesmen Sumatif</w:t>
            </w:r>
            <w:r>
              <w:rPr>
                <w:rFonts w:ascii="Cambria" w:hAnsi="Cambria" w:eastAsia="Cambria"/>
                <w:sz w:val="19"/>
              </w:rPr>
              <w:t>: Pilihan ganda kontekstual Higher Order Thinking Skills (HOTS) pada level C4–C5.</w:t>
            </w:r>
          </w:p>
        </w:tc>
      </w:tr>
    </w:tbl>
    <w:p>
      <w:pPr>
        <w:keepNext/>
        <w:spacing w:before="200" w:after="100"/>
        <w:pBdr>
          <w:bottom w:val="single" w:sz="10" w:space="2" w:color="2F5597"/>
        </w:pBdr>
      </w:pPr>
      <w:r>
        <w:rPr>
          <w:rFonts w:ascii="Cambria" w:hAnsi="Cambria" w:eastAsia="Cambria"/>
          <w:b/>
          <w:i w:val="0"/>
          <w:color w:val="17365D"/>
          <w:sz w:val="26"/>
        </w:rPr>
        <w:t>Aktivitas Pembelajaran – Pertemuan 1</w:t>
      </w:r>
    </w:p>
    <w:tbl>
      <w:tblPr>
        <w:tblW w:type="dxa" w:w="10512"/>
        <w:jc w:val="center"/>
        <w:tblLayout w:type="fixed"/>
        <w:tblLook w:firstColumn="1" w:firstRow="1" w:lastColumn="0" w:lastRow="0" w:noHBand="0" w:noVBand="1" w:val="04A0"/>
        <w:tblBorders>
          <w:top w:val="single" w:sz="6" w:space="0" w:color="7F8FA6"/>
          <w:left w:val="single" w:sz="6" w:space="0" w:color="7F8FA6"/>
          <w:bottom w:val="single" w:sz="6" w:space="0" w:color="7F8FA6"/>
          <w:right w:val="single" w:sz="6" w:space="0" w:color="7F8FA6"/>
          <w:insideH w:val="single" w:sz="6" w:space="0" w:color="7F8FA6"/>
          <w:insideV w:val="single" w:sz="6" w:space="0" w:color="7F8FA6"/>
        </w:tblBorders>
      </w:tblPr>
      <w:tblGrid>
        <w:gridCol w:w="1944"/>
        <w:gridCol w:w="1440"/>
        <w:gridCol w:w="7128"/>
      </w:tblGrid>
      <w:tr>
        <w:trPr>
          <w:tblHeader w:val="true"/>
        </w:trPr>
        <w:tc>
          <w:tcPr>
            <w:tcW w:type="dxa" w:w="1944"/>
            <w:shd w:fill="17365D"/>
            <w:vAlign w:val="top"/>
            <w:tcMar>
              <w:top w:w="90" w:type="dxa"/>
              <w:start w:w="80" w:type="dxa"/>
              <w:bottom w:w="90" w:type="dxa"/>
              <w:end w:w="80" w:type="dxa"/>
            </w:tcMar>
          </w:tcPr>
          <w:p>
            <w:pPr>
              <w:pStyle w:val="CellBody"/>
              <w:spacing w:after="0"/>
              <w:jc w:val="center"/>
            </w:pPr>
            <w:r>
              <w:rPr>
                <w:rFonts w:ascii="Cambria" w:hAnsi="Cambria" w:eastAsia="Cambria"/>
              </w:rPr>
            </w:r>
            <w:r>
              <w:rPr>
                <w:rFonts w:ascii="Cambria" w:hAnsi="Cambria" w:eastAsia="Cambria"/>
                <w:b/>
                <w:i w:val="0"/>
                <w:color w:val="FFFFFF"/>
              </w:rPr>
              <w:t>Tahap</w:t>
            </w:r>
          </w:p>
        </w:tc>
        <w:tc>
          <w:tcPr>
            <w:tcW w:type="dxa" w:w="1440"/>
            <w:shd w:fill="17365D"/>
            <w:vAlign w:val="top"/>
            <w:tcMar>
              <w:top w:w="90" w:type="dxa"/>
              <w:start w:w="80" w:type="dxa"/>
              <w:bottom w:w="90" w:type="dxa"/>
              <w:end w:w="80" w:type="dxa"/>
            </w:tcMar>
          </w:tcPr>
          <w:p>
            <w:pPr>
              <w:pStyle w:val="CellBody"/>
              <w:spacing w:after="0"/>
              <w:jc w:val="center"/>
            </w:pPr>
            <w:r>
              <w:rPr>
                <w:rFonts w:ascii="Cambria" w:hAnsi="Cambria" w:eastAsia="Cambria"/>
              </w:rPr>
            </w:r>
            <w:r>
              <w:rPr>
                <w:rFonts w:ascii="Cambria" w:hAnsi="Cambria" w:eastAsia="Cambria"/>
                <w:b/>
                <w:i w:val="0"/>
                <w:color w:val="FFFFFF"/>
              </w:rPr>
              <w:t>Durasi</w:t>
            </w:r>
          </w:p>
        </w:tc>
        <w:tc>
          <w:tcPr>
            <w:tcW w:type="dxa" w:w="7128"/>
            <w:shd w:fill="17365D"/>
            <w:vAlign w:val="top"/>
            <w:tcMar>
              <w:top w:w="90" w:type="dxa"/>
              <w:start w:w="80" w:type="dxa"/>
              <w:bottom w:w="90" w:type="dxa"/>
              <w:end w:w="80" w:type="dxa"/>
            </w:tcMar>
          </w:tcPr>
          <w:p>
            <w:pPr>
              <w:pStyle w:val="CellBody"/>
              <w:spacing w:after="0"/>
              <w:jc w:val="center"/>
            </w:pPr>
            <w:r>
              <w:rPr>
                <w:rFonts w:ascii="Cambria" w:hAnsi="Cambria" w:eastAsia="Cambria"/>
              </w:rPr>
            </w:r>
            <w:r>
              <w:rPr>
                <w:rFonts w:ascii="Cambria" w:hAnsi="Cambria" w:eastAsia="Cambria"/>
                <w:b/>
                <w:i w:val="0"/>
                <w:color w:val="FFFFFF"/>
              </w:rPr>
              <w:t>Detail Kegiatan</w:t>
            </w:r>
          </w:p>
        </w:tc>
      </w:tr>
      <w:tr>
        <w:trPr>
          <w:cantSplit/>
        </w:trPr>
        <w:tc>
          <w:tcPr>
            <w:tcW w:type="dxa" w:w="1944"/>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Kegiatan Pendahuluan</w:t>
            </w:r>
          </w:p>
        </w:tc>
        <w:tc>
          <w:tcPr>
            <w:tcW w:type="dxa" w:w="1440"/>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10 Menit</w:t>
            </w:r>
          </w:p>
        </w:tc>
        <w:tc>
          <w:tcPr>
            <w:tcW w:type="dxa" w:w="7128"/>
            <w:tcMar>
              <w:top w:w="90" w:type="dxa"/>
              <w:start w:w="90" w:type="dxa"/>
              <w:bottom w:w="90" w:type="dxa"/>
              <w:end w:w="90" w:type="dxa"/>
            </w:tcMar>
            <w:vAlign w:val="top"/>
          </w:tcPr>
          <w:p>
            <w:pPr>
              <w:pStyle w:val="CellBody"/>
              <w:spacing w:after="40"/>
            </w:pPr>
            <w:r>
              <w:rPr>
                <w:rFonts w:ascii="Cambria" w:hAnsi="Cambria" w:eastAsia="Cambria"/>
              </w:rPr>
            </w:r>
            <w:r>
              <w:rPr>
                <w:rFonts w:ascii="Cambria" w:hAnsi="Cambria" w:eastAsia="Cambria"/>
                <w:b/>
                <w:i w:val="0"/>
                <w:color w:val="17365D"/>
                <w:sz w:val="19"/>
              </w:rPr>
              <w:t>Sintak Orientasi Masalah</w:t>
            </w:r>
          </w:p>
          <w:p>
            <w:pPr>
              <w:pStyle w:val="CellBody"/>
              <w:spacing w:after="80"/>
            </w:pPr>
            <w:r>
              <w:rPr>
                <w:rFonts w:ascii="Cambria" w:hAnsi="Cambria" w:eastAsia="Cambria"/>
                <w:b/>
                <w:i/>
                <w:color w:val="2F5597"/>
                <w:sz w:val="19"/>
              </w:rPr>
              <w:t>MEMAHAMI (BERKESADARAN)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Mengondisikan kelas, memimpin doa, menyampaikan tujuan, dan menegaskan ruang belajar aman tanpa meminta pengakuan pengalaman pribadi. Guru menampilkan Mentimeter lalu bertanya: “Mengapa seseorang dapat terus menggunakan zat meskipun mengetahui bahayanya? Apa yang seharusnya kita lakukan ketika teman menawarkan rokok, alkohol, atau obat tanpa resep?”</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Menjawab secara anonim, mengemukakan dugaan awal, dan menyepakati norma diskusi: berbasis bukti, tidak mengejek, tidak menyebut nama, serta saling menghargai.</w:t>
            </w:r>
          </w:p>
          <w:p>
            <w:pPr>
              <w:pStyle w:val="CellBody"/>
              <w:spacing w:before="40" w:after="0"/>
            </w:pPr>
            <w:r>
              <w:rPr>
                <w:rFonts w:ascii="Cambria" w:hAnsi="Cambria" w:eastAsia="Cambria"/>
                <w:i/>
                <w:color w:val="2F5597"/>
              </w:rPr>
              <w:t>(penalaran kritis, kemandirian, kesehatan)</w:t>
            </w:r>
          </w:p>
        </w:tc>
      </w:tr>
      <w:tr>
        <w:trPr>
          <w:cantSplit/>
        </w:trPr>
        <w:tc>
          <w:tcPr>
            <w:tcW w:type="dxa" w:w="1944"/>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Kegiatan Inti</w:t>
            </w:r>
          </w:p>
        </w:tc>
        <w:tc>
          <w:tcPr>
            <w:tcW w:type="dxa" w:w="1440"/>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15 Menit</w:t>
            </w:r>
          </w:p>
        </w:tc>
        <w:tc>
          <w:tcPr>
            <w:tcW w:type="dxa" w:w="7128"/>
            <w:tcMar>
              <w:top w:w="90" w:type="dxa"/>
              <w:start w:w="90" w:type="dxa"/>
              <w:bottom w:w="90" w:type="dxa"/>
              <w:end w:w="90" w:type="dxa"/>
            </w:tcMar>
            <w:vAlign w:val="top"/>
            <w:shd w:fill="F4F7FB"/>
          </w:tcPr>
          <w:p>
            <w:pPr>
              <w:pStyle w:val="CellBody"/>
              <w:spacing w:after="40"/>
            </w:pPr>
            <w:r>
              <w:rPr>
                <w:rFonts w:ascii="Cambria" w:hAnsi="Cambria" w:eastAsia="Cambria"/>
              </w:rPr>
            </w:r>
            <w:r>
              <w:rPr>
                <w:rFonts w:ascii="Cambria" w:hAnsi="Cambria" w:eastAsia="Cambria"/>
                <w:b/>
                <w:i w:val="0"/>
                <w:color w:val="17365D"/>
                <w:sz w:val="19"/>
              </w:rPr>
              <w:t>Sintak Orientasi Masalah</w:t>
            </w:r>
          </w:p>
          <w:p>
            <w:pPr>
              <w:pStyle w:val="CellBody"/>
              <w:spacing w:after="80"/>
            </w:pPr>
            <w:r>
              <w:rPr>
                <w:rFonts w:ascii="Cambria" w:hAnsi="Cambria" w:eastAsia="Cambria"/>
                <w:b/>
                <w:i/>
                <w:color w:val="2F5597"/>
                <w:sz w:val="19"/>
              </w:rPr>
              <w:t>MEMAHAMI (BERMAKNA)</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Menyajikan kasus fiktif: seorang remaja mengalami batuk menetap setelah merokok, penurunan koordinasi setelah minum alkohol, dan penurunan kesadaran setelah mengonsumsi obat tanpa resep. Guru berkata: “Tentukan masalah utama, bukti yang tersedia, informasi yang belum diketahui, dan keputusan paling aman—bukan siapa yang harus disalahkan.”</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Membaca kasus, menandai fakta dan asumsi, menghubungkan gejala dengan sistem organ yang mungkin terdampak, serta merumuskan pertanyaan penyelidikan.</w:t>
            </w:r>
          </w:p>
          <w:p>
            <w:pPr>
              <w:pStyle w:val="CellBody"/>
              <w:spacing w:before="40" w:after="0"/>
            </w:pPr>
            <w:r>
              <w:rPr>
                <w:rFonts w:ascii="Cambria" w:hAnsi="Cambria" w:eastAsia="Cambria"/>
                <w:i/>
                <w:color w:val="2F5597"/>
              </w:rPr>
              <w:t>(penalaran kritis, kewargaan, kesehatan)</w:t>
            </w:r>
          </w:p>
        </w:tc>
      </w:tr>
      <w:tr>
        <w:trPr>
          <w:cantSplit/>
        </w:trPr>
        <w:tc>
          <w:tcPr>
            <w:tcW w:type="dxa" w:w="1944"/>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Kegiatan Inti</w:t>
            </w:r>
          </w:p>
        </w:tc>
        <w:tc>
          <w:tcPr>
            <w:tcW w:type="dxa" w:w="1440"/>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15 Menit</w:t>
            </w:r>
          </w:p>
        </w:tc>
        <w:tc>
          <w:tcPr>
            <w:tcW w:type="dxa" w:w="7128"/>
            <w:tcMar>
              <w:top w:w="90" w:type="dxa"/>
              <w:start w:w="90" w:type="dxa"/>
              <w:bottom w:w="90" w:type="dxa"/>
              <w:end w:w="90" w:type="dxa"/>
            </w:tcMar>
            <w:vAlign w:val="top"/>
          </w:tcPr>
          <w:p>
            <w:pPr>
              <w:pStyle w:val="CellBody"/>
              <w:spacing w:after="40"/>
            </w:pPr>
            <w:r>
              <w:rPr>
                <w:rFonts w:ascii="Cambria" w:hAnsi="Cambria" w:eastAsia="Cambria"/>
              </w:rPr>
            </w:r>
            <w:r>
              <w:rPr>
                <w:rFonts w:ascii="Cambria" w:hAnsi="Cambria" w:eastAsia="Cambria"/>
                <w:b/>
                <w:i w:val="0"/>
                <w:color w:val="17365D"/>
                <w:sz w:val="19"/>
              </w:rPr>
              <w:t>Sintak Mengorganisasi Penyelidikan</w:t>
            </w:r>
          </w:p>
          <w:p>
            <w:pPr>
              <w:pStyle w:val="CellBody"/>
              <w:spacing w:after="80"/>
            </w:pPr>
            <w:r>
              <w:rPr>
                <w:rFonts w:ascii="Cambria" w:hAnsi="Cambria" w:eastAsia="Cambria"/>
                <w:b/>
                <w:i/>
                <w:color w:val="2F5597"/>
                <w:sz w:val="19"/>
              </w:rPr>
              <w:t>MENGAPLIKASI (BERMAKNA DAN MENGGEMBIRAKAN)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Membagi Murid ke dalam kelompok heterogen beranggotakan 4–5 orang, membagikan LKPD Google Docs, dan memberi instruksi: “Pilih narkoba, rokok, atau alkohol. Tetapkan peneliti sumber, pencatat bukti, pemeriksa akurasi, dan penyaji. Gunakan sumber resmi serta catat judul dan lembaganya.”</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Membagi peran, memilih fokus zat, menyusun hipotesis awal tentang organ yang terdampak, dan merencanakan kata kunci pencarian yang aman.</w:t>
            </w:r>
          </w:p>
          <w:p>
            <w:pPr>
              <w:pStyle w:val="CellBody"/>
              <w:spacing w:before="40" w:after="0"/>
            </w:pPr>
            <w:r>
              <w:rPr>
                <w:rFonts w:ascii="Cambria" w:hAnsi="Cambria" w:eastAsia="Cambria"/>
                <w:i/>
                <w:color w:val="2F5597"/>
              </w:rPr>
              <w:t>(kemandirian, penalaran kritis, kewargaan)</w:t>
            </w:r>
          </w:p>
        </w:tc>
      </w:tr>
      <w:tr>
        <w:trPr>
          <w:cantSplit/>
        </w:trPr>
        <w:tc>
          <w:tcPr>
            <w:tcW w:type="dxa" w:w="1944"/>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Kegiatan Inti</w:t>
            </w:r>
          </w:p>
        </w:tc>
        <w:tc>
          <w:tcPr>
            <w:tcW w:type="dxa" w:w="1440"/>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30 Menit</w:t>
            </w:r>
          </w:p>
        </w:tc>
        <w:tc>
          <w:tcPr>
            <w:tcW w:type="dxa" w:w="7128"/>
            <w:tcMar>
              <w:top w:w="90" w:type="dxa"/>
              <w:start w:w="90" w:type="dxa"/>
              <w:bottom w:w="90" w:type="dxa"/>
              <w:end w:w="90" w:type="dxa"/>
            </w:tcMar>
            <w:vAlign w:val="top"/>
            <w:shd w:fill="F4F7FB"/>
          </w:tcPr>
          <w:p>
            <w:pPr>
              <w:pStyle w:val="CellBody"/>
              <w:spacing w:after="40"/>
            </w:pPr>
            <w:r>
              <w:rPr>
                <w:rFonts w:ascii="Cambria" w:hAnsi="Cambria" w:eastAsia="Cambria"/>
              </w:rPr>
            </w:r>
            <w:r>
              <w:rPr>
                <w:rFonts w:ascii="Cambria" w:hAnsi="Cambria" w:eastAsia="Cambria"/>
                <w:b/>
                <w:i w:val="0"/>
                <w:color w:val="17365D"/>
                <w:sz w:val="19"/>
              </w:rPr>
              <w:t>Sintak Membimbing Penyelidikan</w:t>
            </w:r>
          </w:p>
          <w:p>
            <w:pPr>
              <w:pStyle w:val="CellBody"/>
              <w:spacing w:after="80"/>
            </w:pPr>
            <w:r>
              <w:rPr>
                <w:rFonts w:ascii="Cambria" w:hAnsi="Cambria" w:eastAsia="Cambria"/>
                <w:b/>
                <w:i/>
                <w:color w:val="2F5597"/>
                <w:sz w:val="19"/>
              </w:rPr>
              <w:t>MENGAPLIKASI (BERMAKNA DAN MENGGEMBIRAKAN)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Memantau Google Docs dan membimbing dengan pertanyaan: “Apa buktinya?”, “Apakah sumber menjelaskan dampak jangka pendek dan jangka panjang?”, “Adakah perbedaan antara hubungan dan sebab-akibat?” Guru mengarahkan Murid pada materi resmi puskesmas/tenaga kesehatan dan mengoreksi klaim menyesatkan.</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Menelaah sedikitnya dua sumber tepercaya, mengisi tabel zat–contoh–organ–dampak, membandingkan temuan, serta menulis simpulan sementara yang tidak menstigma orang dengan masalah penggunaan zat.</w:t>
            </w:r>
          </w:p>
          <w:p>
            <w:pPr>
              <w:pStyle w:val="CellBody"/>
              <w:spacing w:before="40" w:after="0"/>
            </w:pPr>
            <w:r>
              <w:rPr>
                <w:rFonts w:ascii="Cambria" w:hAnsi="Cambria" w:eastAsia="Cambria"/>
                <w:i/>
                <w:color w:val="2F5597"/>
              </w:rPr>
              <w:t>(penalaran kritis, kemandirian, kesehatan)</w:t>
            </w:r>
          </w:p>
        </w:tc>
      </w:tr>
      <w:tr>
        <w:trPr>
          <w:cantSplit/>
        </w:trPr>
        <w:tc>
          <w:tcPr>
            <w:tcW w:type="dxa" w:w="1944"/>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Kegiatan Penutup</w:t>
            </w:r>
          </w:p>
        </w:tc>
        <w:tc>
          <w:tcPr>
            <w:tcW w:type="dxa" w:w="1440"/>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10 Menit</w:t>
            </w:r>
          </w:p>
        </w:tc>
        <w:tc>
          <w:tcPr>
            <w:tcW w:type="dxa" w:w="7128"/>
            <w:tcMar>
              <w:top w:w="90" w:type="dxa"/>
              <w:start w:w="90" w:type="dxa"/>
              <w:bottom w:w="90" w:type="dxa"/>
              <w:end w:w="90" w:type="dxa"/>
            </w:tcMar>
            <w:vAlign w:val="top"/>
          </w:tcPr>
          <w:p>
            <w:pPr>
              <w:pStyle w:val="CellBody"/>
              <w:spacing w:after="40"/>
            </w:pPr>
            <w:r>
              <w:rPr>
                <w:rFonts w:ascii="Cambria" w:hAnsi="Cambria" w:eastAsia="Cambria"/>
              </w:rPr>
            </w:r>
            <w:r>
              <w:rPr>
                <w:rFonts w:ascii="Cambria" w:hAnsi="Cambria" w:eastAsia="Cambria"/>
                <w:b/>
                <w:i w:val="0"/>
                <w:color w:val="17365D"/>
                <w:sz w:val="19"/>
              </w:rPr>
              <w:t>Sintak Menganalisis &amp; Mengevaluasi Proses</w:t>
            </w:r>
          </w:p>
          <w:p>
            <w:pPr>
              <w:pStyle w:val="CellBody"/>
              <w:spacing w:after="80"/>
            </w:pPr>
            <w:r>
              <w:rPr>
                <w:rFonts w:ascii="Cambria" w:hAnsi="Cambria" w:eastAsia="Cambria"/>
                <w:b/>
                <w:i/>
                <w:color w:val="2F5597"/>
                <w:sz w:val="19"/>
              </w:rPr>
              <w:t>MEREFLEKSI (BERKESADARAN)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Meminta setiap kelompok menyampaikan satu bukti terkuat dan satu pertanyaan yang belum terjawab. Guru menutup dengan pertanyaan: “Bagian mana dari dugaan awal kalian yang berubah setelah melihat bukti?” serta mengingatkan jalur bantuan aman melalui guru BK/UKS atau tenaga kesehatan.</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Menyampaikan temuan singkat, memberi umpan balik santun, memperbaiki simpulan LKPD, dan menuliskan satu keputusan sehat yang dapat diterapkan tanpa menghakimi orang lain.</w:t>
            </w:r>
          </w:p>
          <w:p>
            <w:pPr>
              <w:pStyle w:val="CellBody"/>
              <w:spacing w:before="40" w:after="0"/>
            </w:pPr>
            <w:r>
              <w:rPr>
                <w:rFonts w:ascii="Cambria" w:hAnsi="Cambria" w:eastAsia="Cambria"/>
                <w:i/>
                <w:color w:val="2F5597"/>
              </w:rPr>
              <w:t>(penalaran kritis, kewargaan, kesehatan)</w:t>
            </w:r>
          </w:p>
        </w:tc>
      </w:tr>
    </w:tbl>
    <w:p>
      <w:pPr>
        <w:keepNext/>
        <w:spacing w:before="200" w:after="100"/>
        <w:pBdr>
          <w:bottom w:val="single" w:sz="10" w:space="2" w:color="2F5597"/>
        </w:pBdr>
      </w:pPr>
      <w:r>
        <w:rPr>
          <w:rFonts w:ascii="Cambria" w:hAnsi="Cambria" w:eastAsia="Cambria"/>
          <w:b/>
          <w:i w:val="0"/>
          <w:color w:val="17365D"/>
          <w:sz w:val="26"/>
        </w:rPr>
        <w:t>Aktivitas Pembelajaran – Pertemuan 2</w:t>
      </w:r>
    </w:p>
    <w:tbl>
      <w:tblPr>
        <w:tblW w:type="dxa" w:w="10512"/>
        <w:jc w:val="center"/>
        <w:tblLayout w:type="fixed"/>
        <w:tblLook w:firstColumn="1" w:firstRow="1" w:lastColumn="0" w:lastRow="0" w:noHBand="0" w:noVBand="1" w:val="04A0"/>
        <w:tblBorders>
          <w:top w:val="single" w:sz="6" w:space="0" w:color="7F8FA6"/>
          <w:left w:val="single" w:sz="6" w:space="0" w:color="7F8FA6"/>
          <w:bottom w:val="single" w:sz="6" w:space="0" w:color="7F8FA6"/>
          <w:right w:val="single" w:sz="6" w:space="0" w:color="7F8FA6"/>
          <w:insideH w:val="single" w:sz="6" w:space="0" w:color="7F8FA6"/>
          <w:insideV w:val="single" w:sz="6" w:space="0" w:color="7F8FA6"/>
        </w:tblBorders>
      </w:tblPr>
      <w:tblGrid>
        <w:gridCol w:w="1944"/>
        <w:gridCol w:w="1440"/>
        <w:gridCol w:w="7128"/>
      </w:tblGrid>
      <w:tr>
        <w:trPr>
          <w:tblHeader w:val="true"/>
        </w:trPr>
        <w:tc>
          <w:tcPr>
            <w:tcW w:type="dxa" w:w="1944"/>
            <w:shd w:fill="17365D"/>
            <w:vAlign w:val="top"/>
            <w:tcMar>
              <w:top w:w="90" w:type="dxa"/>
              <w:start w:w="80" w:type="dxa"/>
              <w:bottom w:w="90" w:type="dxa"/>
              <w:end w:w="80" w:type="dxa"/>
            </w:tcMar>
          </w:tcPr>
          <w:p>
            <w:pPr>
              <w:pStyle w:val="CellBody"/>
              <w:spacing w:after="0"/>
              <w:jc w:val="center"/>
            </w:pPr>
            <w:r>
              <w:rPr>
                <w:rFonts w:ascii="Cambria" w:hAnsi="Cambria" w:eastAsia="Cambria"/>
              </w:rPr>
            </w:r>
            <w:r>
              <w:rPr>
                <w:rFonts w:ascii="Cambria" w:hAnsi="Cambria" w:eastAsia="Cambria"/>
                <w:b/>
                <w:i w:val="0"/>
                <w:color w:val="FFFFFF"/>
              </w:rPr>
              <w:t>Tahap</w:t>
            </w:r>
          </w:p>
        </w:tc>
        <w:tc>
          <w:tcPr>
            <w:tcW w:type="dxa" w:w="1440"/>
            <w:shd w:fill="17365D"/>
            <w:vAlign w:val="top"/>
            <w:tcMar>
              <w:top w:w="90" w:type="dxa"/>
              <w:start w:w="80" w:type="dxa"/>
              <w:bottom w:w="90" w:type="dxa"/>
              <w:end w:w="80" w:type="dxa"/>
            </w:tcMar>
          </w:tcPr>
          <w:p>
            <w:pPr>
              <w:pStyle w:val="CellBody"/>
              <w:spacing w:after="0"/>
              <w:jc w:val="center"/>
            </w:pPr>
            <w:r>
              <w:rPr>
                <w:rFonts w:ascii="Cambria" w:hAnsi="Cambria" w:eastAsia="Cambria"/>
              </w:rPr>
            </w:r>
            <w:r>
              <w:rPr>
                <w:rFonts w:ascii="Cambria" w:hAnsi="Cambria" w:eastAsia="Cambria"/>
                <w:b/>
                <w:i w:val="0"/>
                <w:color w:val="FFFFFF"/>
              </w:rPr>
              <w:t>Durasi</w:t>
            </w:r>
          </w:p>
        </w:tc>
        <w:tc>
          <w:tcPr>
            <w:tcW w:type="dxa" w:w="7128"/>
            <w:shd w:fill="17365D"/>
            <w:vAlign w:val="top"/>
            <w:tcMar>
              <w:top w:w="90" w:type="dxa"/>
              <w:start w:w="80" w:type="dxa"/>
              <w:bottom w:w="90" w:type="dxa"/>
              <w:end w:w="80" w:type="dxa"/>
            </w:tcMar>
          </w:tcPr>
          <w:p>
            <w:pPr>
              <w:pStyle w:val="CellBody"/>
              <w:spacing w:after="0"/>
              <w:jc w:val="center"/>
            </w:pPr>
            <w:r>
              <w:rPr>
                <w:rFonts w:ascii="Cambria" w:hAnsi="Cambria" w:eastAsia="Cambria"/>
              </w:rPr>
            </w:r>
            <w:r>
              <w:rPr>
                <w:rFonts w:ascii="Cambria" w:hAnsi="Cambria" w:eastAsia="Cambria"/>
                <w:b/>
                <w:i w:val="0"/>
                <w:color w:val="FFFFFF"/>
              </w:rPr>
              <w:t>Detail Kegiatan</w:t>
            </w:r>
          </w:p>
        </w:tc>
      </w:tr>
      <w:tr>
        <w:trPr>
          <w:cantSplit/>
        </w:trPr>
        <w:tc>
          <w:tcPr>
            <w:tcW w:type="dxa" w:w="1944"/>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Kegiatan Pendahuluan</w:t>
            </w:r>
          </w:p>
        </w:tc>
        <w:tc>
          <w:tcPr>
            <w:tcW w:type="dxa" w:w="1440"/>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10 Menit</w:t>
            </w:r>
          </w:p>
        </w:tc>
        <w:tc>
          <w:tcPr>
            <w:tcW w:type="dxa" w:w="7128"/>
            <w:tcMar>
              <w:top w:w="90" w:type="dxa"/>
              <w:start w:w="90" w:type="dxa"/>
              <w:bottom w:w="90" w:type="dxa"/>
              <w:end w:w="90" w:type="dxa"/>
            </w:tcMar>
            <w:vAlign w:val="top"/>
          </w:tcPr>
          <w:p>
            <w:pPr>
              <w:pStyle w:val="CellBody"/>
              <w:spacing w:after="40"/>
            </w:pPr>
            <w:r>
              <w:rPr>
                <w:rFonts w:ascii="Cambria" w:hAnsi="Cambria" w:eastAsia="Cambria"/>
              </w:rPr>
            </w:r>
            <w:r>
              <w:rPr>
                <w:rFonts w:ascii="Cambria" w:hAnsi="Cambria" w:eastAsia="Cambria"/>
                <w:b/>
                <w:i w:val="0"/>
                <w:color w:val="17365D"/>
                <w:sz w:val="19"/>
              </w:rPr>
              <w:t>Sintak Orientasi Masalah</w:t>
            </w:r>
          </w:p>
          <w:p>
            <w:pPr>
              <w:pStyle w:val="CellBody"/>
              <w:spacing w:after="80"/>
            </w:pPr>
            <w:r>
              <w:rPr>
                <w:rFonts w:ascii="Cambria" w:hAnsi="Cambria" w:eastAsia="Cambria"/>
                <w:b/>
                <w:i/>
                <w:color w:val="2F5597"/>
                <w:sz w:val="19"/>
              </w:rPr>
              <w:t>MEMAHAMI (BERKESADARAN)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Mengondisikan kelas, memimpin doa, dan menampilkan dua contoh pesan kampanye: pesan menakut-nakuti dan pesan berbasis bukti. Guru bertanya: “Pesan mana yang lebih mungkin dipercaya teman sebaya? Mengapa? Bagaimana mengajak tanpa mempermalukan?”</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Membandingkan kedua pesan berdasarkan akurasi, empati, kejelasan risiko, dan adanya ajakan tindakan yang aman.</w:t>
            </w:r>
          </w:p>
          <w:p>
            <w:pPr>
              <w:pStyle w:val="CellBody"/>
              <w:spacing w:before="40" w:after="0"/>
            </w:pPr>
            <w:r>
              <w:rPr>
                <w:rFonts w:ascii="Cambria" w:hAnsi="Cambria" w:eastAsia="Cambria"/>
                <w:i/>
                <w:color w:val="2F5597"/>
              </w:rPr>
              <w:t>(penalaran kritis, kewargaan, kesehatan)</w:t>
            </w:r>
          </w:p>
        </w:tc>
      </w:tr>
      <w:tr>
        <w:trPr>
          <w:cantSplit/>
        </w:trPr>
        <w:tc>
          <w:tcPr>
            <w:tcW w:type="dxa" w:w="1944"/>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Kegiatan Inti</w:t>
            </w:r>
          </w:p>
        </w:tc>
        <w:tc>
          <w:tcPr>
            <w:tcW w:type="dxa" w:w="1440"/>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10 Menit</w:t>
            </w:r>
          </w:p>
        </w:tc>
        <w:tc>
          <w:tcPr>
            <w:tcW w:type="dxa" w:w="7128"/>
            <w:tcMar>
              <w:top w:w="90" w:type="dxa"/>
              <w:start w:w="90" w:type="dxa"/>
              <w:bottom w:w="90" w:type="dxa"/>
              <w:end w:w="90" w:type="dxa"/>
            </w:tcMar>
            <w:vAlign w:val="top"/>
            <w:shd w:fill="F4F7FB"/>
          </w:tcPr>
          <w:p>
            <w:pPr>
              <w:pStyle w:val="CellBody"/>
              <w:spacing w:after="40"/>
            </w:pPr>
            <w:r>
              <w:rPr>
                <w:rFonts w:ascii="Cambria" w:hAnsi="Cambria" w:eastAsia="Cambria"/>
              </w:rPr>
            </w:r>
            <w:r>
              <w:rPr>
                <w:rFonts w:ascii="Cambria" w:hAnsi="Cambria" w:eastAsia="Cambria"/>
                <w:b/>
                <w:i w:val="0"/>
                <w:color w:val="17365D"/>
                <w:sz w:val="19"/>
              </w:rPr>
              <w:t>Sintak Mengorganisasi Penyelidikan</w:t>
            </w:r>
          </w:p>
          <w:p>
            <w:pPr>
              <w:pStyle w:val="CellBody"/>
              <w:spacing w:after="80"/>
            </w:pPr>
            <w:r>
              <w:rPr>
                <w:rFonts w:ascii="Cambria" w:hAnsi="Cambria" w:eastAsia="Cambria"/>
                <w:b/>
                <w:i/>
                <w:color w:val="2F5597"/>
                <w:sz w:val="19"/>
              </w:rPr>
              <w:t>MENGAPLIKASI (BERMAKNA)</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Menjelaskan tugas produk: poster atau video Canva berdurasi maksimal 60 detik yang memuat satu risiko utama, satu bukti, cara menolak secara asertif, dan jalur mencari bantuan. Guru berkata: “Tentukan audiens, tujuan, pesan inti, dan pembagian peran sebelum mendesain.”</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Memilih format produk, menetapkan audiens, menyusun papan cerita, membagi peran, dan menyeleksi temuan LKPD yang paling relevan.</w:t>
            </w:r>
          </w:p>
          <w:p>
            <w:pPr>
              <w:pStyle w:val="CellBody"/>
              <w:spacing w:before="40" w:after="0"/>
            </w:pPr>
            <w:r>
              <w:rPr>
                <w:rFonts w:ascii="Cambria" w:hAnsi="Cambria" w:eastAsia="Cambria"/>
                <w:i/>
                <w:color w:val="2F5597"/>
              </w:rPr>
              <w:t>(kemandirian, kewargaan, kesehatan)</w:t>
            </w:r>
          </w:p>
        </w:tc>
      </w:tr>
      <w:tr>
        <w:trPr>
          <w:cantSplit/>
        </w:trPr>
        <w:tc>
          <w:tcPr>
            <w:tcW w:type="dxa" w:w="1944"/>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Kegiatan Inti</w:t>
            </w:r>
          </w:p>
        </w:tc>
        <w:tc>
          <w:tcPr>
            <w:tcW w:type="dxa" w:w="1440"/>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25 Menit</w:t>
            </w:r>
          </w:p>
        </w:tc>
        <w:tc>
          <w:tcPr>
            <w:tcW w:type="dxa" w:w="7128"/>
            <w:tcMar>
              <w:top w:w="90" w:type="dxa"/>
              <w:start w:w="90" w:type="dxa"/>
              <w:bottom w:w="90" w:type="dxa"/>
              <w:end w:w="90" w:type="dxa"/>
            </w:tcMar>
            <w:vAlign w:val="top"/>
          </w:tcPr>
          <w:p>
            <w:pPr>
              <w:pStyle w:val="CellBody"/>
              <w:spacing w:after="40"/>
            </w:pPr>
            <w:r>
              <w:rPr>
                <w:rFonts w:ascii="Cambria" w:hAnsi="Cambria" w:eastAsia="Cambria"/>
              </w:rPr>
            </w:r>
            <w:r>
              <w:rPr>
                <w:rFonts w:ascii="Cambria" w:hAnsi="Cambria" w:eastAsia="Cambria"/>
                <w:b/>
                <w:i w:val="0"/>
                <w:color w:val="17365D"/>
                <w:sz w:val="19"/>
              </w:rPr>
              <w:t>Sintak Membimbing Penyelidikan</w:t>
            </w:r>
          </w:p>
          <w:p>
            <w:pPr>
              <w:pStyle w:val="CellBody"/>
              <w:spacing w:after="80"/>
            </w:pPr>
            <w:r>
              <w:rPr>
                <w:rFonts w:ascii="Cambria" w:hAnsi="Cambria" w:eastAsia="Cambria"/>
                <w:b/>
                <w:i/>
                <w:color w:val="2F5597"/>
                <w:sz w:val="19"/>
              </w:rPr>
              <w:t>MENGAPLIKASI (BERMAKNA DAN MENGGEMBIRAKAN)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Memberikan konferensi singkat tiap kelompok dengan pertanyaan: “Apakah klaim ini akurat?”, “Apakah visual terbaca?”, “Apakah ajakan kalian konkret dan tidak menstigma?” Guru memastikan Canva digunakan untuk menyusun pesan, bukan menggantikan penalaran Murid.</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Merancang poster/video Canva, mencantumkan sumber singkat, merevisi klaim berdasarkan bukti, dan melatih kalimat penolakan asertif seperti “Tidak, saya memilih menjaga kesehatan; ayo lakukan kegiatan lain.”</w:t>
            </w:r>
          </w:p>
          <w:p>
            <w:pPr>
              <w:pStyle w:val="CellBody"/>
              <w:spacing w:before="40" w:after="0"/>
            </w:pPr>
            <w:r>
              <w:rPr>
                <w:rFonts w:ascii="Cambria" w:hAnsi="Cambria" w:eastAsia="Cambria"/>
                <w:i/>
                <w:color w:val="2F5597"/>
              </w:rPr>
              <w:t>(penalaran kritis, kemandirian, kesehatan)</w:t>
            </w:r>
          </w:p>
        </w:tc>
      </w:tr>
      <w:tr>
        <w:trPr>
          <w:cantSplit/>
        </w:trPr>
        <w:tc>
          <w:tcPr>
            <w:tcW w:type="dxa" w:w="1944"/>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Kegiatan Inti</w:t>
            </w:r>
          </w:p>
        </w:tc>
        <w:tc>
          <w:tcPr>
            <w:tcW w:type="dxa" w:w="1440"/>
            <w:tcMar>
              <w:top w:w="90" w:type="dxa"/>
              <w:start w:w="90" w:type="dxa"/>
              <w:bottom w:w="90" w:type="dxa"/>
              <w:end w:w="90" w:type="dxa"/>
            </w:tcMar>
            <w:vAlign w:val="top"/>
            <w:shd w:fill="F4F7FB"/>
          </w:tcPr>
          <w:p>
            <w:pPr>
              <w:pStyle w:val="CellBody"/>
              <w:spacing w:after="40"/>
              <w:jc w:val="center"/>
            </w:pPr>
            <w:r>
              <w:rPr>
                <w:rFonts w:ascii="Cambria" w:hAnsi="Cambria" w:eastAsia="Cambria"/>
              </w:rPr>
            </w:r>
            <w:r>
              <w:rPr>
                <w:rFonts w:ascii="Cambria" w:hAnsi="Cambria" w:eastAsia="Cambria"/>
                <w:b/>
                <w:i w:val="0"/>
              </w:rPr>
              <w:t>25 Menit</w:t>
            </w:r>
          </w:p>
        </w:tc>
        <w:tc>
          <w:tcPr>
            <w:tcW w:type="dxa" w:w="7128"/>
            <w:tcMar>
              <w:top w:w="90" w:type="dxa"/>
              <w:start w:w="90" w:type="dxa"/>
              <w:bottom w:w="90" w:type="dxa"/>
              <w:end w:w="90" w:type="dxa"/>
            </w:tcMar>
            <w:vAlign w:val="top"/>
            <w:shd w:fill="F4F7FB"/>
          </w:tcPr>
          <w:p>
            <w:pPr>
              <w:pStyle w:val="CellBody"/>
              <w:spacing w:after="40"/>
            </w:pPr>
            <w:r>
              <w:rPr>
                <w:rFonts w:ascii="Cambria" w:hAnsi="Cambria" w:eastAsia="Cambria"/>
              </w:rPr>
            </w:r>
            <w:r>
              <w:rPr>
                <w:rFonts w:ascii="Cambria" w:hAnsi="Cambria" w:eastAsia="Cambria"/>
                <w:b/>
                <w:i w:val="0"/>
                <w:color w:val="17365D"/>
                <w:sz w:val="19"/>
              </w:rPr>
              <w:t>Sintak Mengembangkan &amp; Menyajikan Hasil</w:t>
            </w:r>
          </w:p>
          <w:p>
            <w:pPr>
              <w:pStyle w:val="CellBody"/>
              <w:spacing w:after="80"/>
            </w:pPr>
            <w:r>
              <w:rPr>
                <w:rFonts w:ascii="Cambria" w:hAnsi="Cambria" w:eastAsia="Cambria"/>
                <w:b/>
                <w:i/>
                <w:color w:val="2F5597"/>
                <w:sz w:val="19"/>
              </w:rPr>
              <w:t>MENGAPLIKASI (BERMAKNA DAN MENGGEMBIRAKAN)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Memfasilitasi presentasi atau pemutaran video dan meminta audiens memberi umpan balik “dua kekuatan dan satu saran”. Guru menggunakan rubrik produk sambil menanyakan alasan ilmiah di balik pilihan pesan dan visual.</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Mempresentasikan karya secara persuasif, menjawab pertanyaan dengan bukti, menilai karya teman secara santun, dan mencatat saran yang dapat meningkatkan akurasi serta daya ajak.</w:t>
            </w:r>
          </w:p>
          <w:p>
            <w:pPr>
              <w:pStyle w:val="CellBody"/>
              <w:spacing w:before="40" w:after="0"/>
            </w:pPr>
            <w:r>
              <w:rPr>
                <w:rFonts w:ascii="Cambria" w:hAnsi="Cambria" w:eastAsia="Cambria"/>
                <w:i/>
                <w:color w:val="2F5597"/>
              </w:rPr>
              <w:t>(penalaran kritis, kewargaan, komunikasi, kesehatan)</w:t>
            </w:r>
          </w:p>
        </w:tc>
      </w:tr>
      <w:tr>
        <w:trPr>
          <w:cantSplit/>
        </w:trPr>
        <w:tc>
          <w:tcPr>
            <w:tcW w:type="dxa" w:w="1944"/>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Kegiatan Penutup</w:t>
            </w:r>
          </w:p>
        </w:tc>
        <w:tc>
          <w:tcPr>
            <w:tcW w:type="dxa" w:w="1440"/>
            <w:tcMar>
              <w:top w:w="90" w:type="dxa"/>
              <w:start w:w="90" w:type="dxa"/>
              <w:bottom w:w="90" w:type="dxa"/>
              <w:end w:w="90" w:type="dxa"/>
            </w:tcMar>
            <w:vAlign w:val="top"/>
          </w:tcPr>
          <w:p>
            <w:pPr>
              <w:pStyle w:val="CellBody"/>
              <w:spacing w:after="40"/>
              <w:jc w:val="center"/>
            </w:pPr>
            <w:r>
              <w:rPr>
                <w:rFonts w:ascii="Cambria" w:hAnsi="Cambria" w:eastAsia="Cambria"/>
              </w:rPr>
            </w:r>
            <w:r>
              <w:rPr>
                <w:rFonts w:ascii="Cambria" w:hAnsi="Cambria" w:eastAsia="Cambria"/>
                <w:b/>
                <w:i w:val="0"/>
              </w:rPr>
              <w:t>10 Menit</w:t>
            </w:r>
          </w:p>
        </w:tc>
        <w:tc>
          <w:tcPr>
            <w:tcW w:type="dxa" w:w="7128"/>
            <w:tcMar>
              <w:top w:w="90" w:type="dxa"/>
              <w:start w:w="90" w:type="dxa"/>
              <w:bottom w:w="90" w:type="dxa"/>
              <w:end w:w="90" w:type="dxa"/>
            </w:tcMar>
            <w:vAlign w:val="top"/>
          </w:tcPr>
          <w:p>
            <w:pPr>
              <w:pStyle w:val="CellBody"/>
              <w:spacing w:after="40"/>
            </w:pPr>
            <w:r>
              <w:rPr>
                <w:rFonts w:ascii="Cambria" w:hAnsi="Cambria" w:eastAsia="Cambria"/>
              </w:rPr>
            </w:r>
            <w:r>
              <w:rPr>
                <w:rFonts w:ascii="Cambria" w:hAnsi="Cambria" w:eastAsia="Cambria"/>
                <w:b/>
                <w:i w:val="0"/>
                <w:color w:val="17365D"/>
                <w:sz w:val="19"/>
              </w:rPr>
              <w:t>Sintak Menganalisis &amp; Mengevaluasi Proses</w:t>
            </w:r>
          </w:p>
          <w:p>
            <w:pPr>
              <w:pStyle w:val="CellBody"/>
              <w:spacing w:after="80"/>
            </w:pPr>
            <w:r>
              <w:rPr>
                <w:rFonts w:ascii="Cambria" w:hAnsi="Cambria" w:eastAsia="Cambria"/>
                <w:b/>
                <w:i/>
                <w:color w:val="2F5597"/>
                <w:sz w:val="19"/>
              </w:rPr>
              <w:t>MEREFLEKSI (BERKESADARAN)</w:t>
            </w:r>
          </w:p>
          <w:p>
            <w:pPr>
              <w:pStyle w:val="ListBullet"/>
              <w:spacing w:after="40" w:line="252" w:lineRule="auto"/>
              <w:ind w:left="317" w:hanging="202" w:right="0"/>
            </w:pPr>
            <w:r>
              <w:rPr>
                <w:rFonts w:ascii="Cambria" w:hAnsi="Cambria" w:eastAsia="Cambria"/>
                <w:b/>
                <w:sz w:val="19"/>
              </w:rPr>
              <w:t>Guru</w:t>
            </w:r>
            <w:r>
              <w:rPr>
                <w:rFonts w:ascii="Cambria" w:hAnsi="Cambria" w:eastAsia="Cambria"/>
                <w:sz w:val="19"/>
              </w:rPr>
              <w:t>: Memandu simpulan dan evaluasi dengan pertanyaan: “Bukti apa yang paling mengubah keputusanmu?”, “Apa yang akan kamu lakukan bila teman membutuhkan bantuan?” Guru memberikan tes sumatif HOTS dan menegaskan bahwa mencari pertolongan adalah tindakan bertanggung jawab.</w:t>
            </w:r>
          </w:p>
          <w:p>
            <w:pPr>
              <w:pStyle w:val="ListBullet"/>
              <w:spacing w:after="40" w:line="252" w:lineRule="auto"/>
              <w:ind w:left="317" w:hanging="202" w:right="0"/>
            </w:pPr>
            <w:r>
              <w:rPr>
                <w:rFonts w:ascii="Cambria" w:hAnsi="Cambria" w:eastAsia="Cambria"/>
                <w:b/>
                <w:sz w:val="19"/>
              </w:rPr>
              <w:t>Murid</w:t>
            </w:r>
            <w:r>
              <w:rPr>
                <w:rFonts w:ascii="Cambria" w:hAnsi="Cambria" w:eastAsia="Cambria"/>
                <w:sz w:val="19"/>
              </w:rPr>
              <w:t>: Mengerjakan tes secara mandiri, menilai kontribusi diri dalam kelompok, dan menuliskan komitmen sehat yang spesifik serta jalur bantuan yang dapat dipercaya.</w:t>
            </w:r>
          </w:p>
          <w:p>
            <w:pPr>
              <w:pStyle w:val="CellBody"/>
              <w:spacing w:before="40" w:after="0"/>
            </w:pPr>
            <w:r>
              <w:rPr>
                <w:rFonts w:ascii="Cambria" w:hAnsi="Cambria" w:eastAsia="Cambria"/>
                <w:i/>
                <w:color w:val="2F5597"/>
              </w:rPr>
              <w:t>(kemandirian, kewargaan, kesehatan)</w:t>
            </w:r>
          </w:p>
        </w:tc>
      </w:tr>
    </w:tbl>
    <w:p>
      <w:r>
        <w:rPr>
          <w:rFonts w:ascii="Cambria" w:hAnsi="Cambria" w:eastAsia="Cambria"/>
        </w:rPr>
        <w:br w:type="page"/>
      </w:r>
    </w:p>
    <w:p>
      <w:pPr>
        <w:keepNext/>
        <w:spacing w:before="200" w:after="100"/>
        <w:pBdr>
          <w:bottom w:val="single" w:sz="10" w:space="2" w:color="2F5597"/>
        </w:pBdr>
      </w:pPr>
      <w:r>
        <w:rPr>
          <w:rFonts w:ascii="Cambria" w:hAnsi="Cambria" w:eastAsia="Cambria"/>
          <w:b/>
          <w:i w:val="0"/>
          <w:color w:val="17365D"/>
          <w:sz w:val="26"/>
        </w:rPr>
        <w:t>LAMPIRAN INSTRUMEN ASESMEN</w:t>
      </w:r>
    </w:p>
    <w:p>
      <w:pPr>
        <w:spacing w:after="40"/>
      </w:pPr>
      <w:r>
        <w:rPr>
          <w:rFonts w:ascii="Cambria" w:hAnsi="Cambria" w:eastAsia="Cambria"/>
          <w:b/>
          <w:sz w:val="20"/>
        </w:rPr>
        <w:t>1. Asesmen Awal: Pertanyaan Pemantik (Mentimeter)</w:t>
      </w:r>
    </w:p>
    <w:p>
      <w:pPr>
        <w:pStyle w:val="ListBullet"/>
        <w:spacing w:after="20"/>
      </w:pPr>
      <w:r>
        <w:rPr>
          <w:rFonts w:ascii="Cambria" w:hAnsi="Cambria" w:eastAsia="Cambria"/>
        </w:rPr>
        <w:t>Mengapa seseorang dapat terus menggunakan zat adiktif walaupun mengetahui risikonya?</w:t>
      </w:r>
    </w:p>
    <w:p>
      <w:pPr>
        <w:pStyle w:val="ListBullet"/>
        <w:spacing w:after="20"/>
      </w:pPr>
      <w:r>
        <w:rPr>
          <w:rFonts w:ascii="Cambria" w:hAnsi="Cambria" w:eastAsia="Cambria"/>
        </w:rPr>
        <w:t>Dari mana kamu biasanya memperoleh informasi tentang narkoba, rokok, dan alkohol, serta bagaimana kamu menilai apakah informasi itu dapat dipercaya?</w:t>
      </w:r>
    </w:p>
    <w:p>
      <w:pPr>
        <w:pStyle w:val="ListBullet"/>
        <w:spacing w:after="20"/>
      </w:pPr>
      <w:r>
        <w:rPr>
          <w:rFonts w:ascii="Cambria" w:hAnsi="Cambria" w:eastAsia="Cambria"/>
        </w:rPr>
        <w:t>Apa keputusan paling aman ketika teman menawarkan rokok, alkohol, atau obat tanpa resep? Jelaskan alasanmu secara singkat.</w:t>
      </w:r>
    </w:p>
    <w:p>
      <w:pPr>
        <w:spacing w:before="100" w:after="40"/>
      </w:pPr>
      <w:r>
        <w:rPr>
          <w:rFonts w:ascii="Cambria" w:hAnsi="Cambria" w:eastAsia="Cambria"/>
          <w:b/>
          <w:sz w:val="20"/>
        </w:rPr>
        <w:t>2. Asesmen Formatif</w:t>
      </w:r>
    </w:p>
    <w:p>
      <w:pPr>
        <w:spacing w:after="40"/>
      </w:pPr>
      <w:r>
        <w:rPr>
          <w:rFonts w:ascii="Cambria" w:hAnsi="Cambria" w:eastAsia="Cambria"/>
          <w:b/>
        </w:rPr>
        <w:t>a. Lembar Kerja Peserta Didik (LKPD) – Penyelidikan Bahaya Zat Adiktif</w:t>
      </w:r>
    </w:p>
    <w:p>
      <w:pPr>
        <w:spacing w:after="60"/>
      </w:pPr>
      <w:r>
        <w:rPr>
          <w:rFonts w:ascii="Cambria" w:hAnsi="Cambria" w:eastAsia="Cambria"/>
          <w:b/>
        </w:rPr>
        <w:t xml:space="preserve">Petunjuk: </w:t>
      </w:r>
      <w:r>
        <w:rPr>
          <w:rFonts w:ascii="Cambria" w:hAnsi="Cambria" w:eastAsia="Cambria"/>
        </w:rPr>
        <w:t>Kerjakan secara berkelompok melalui Google Docs. Gunakan sedikitnya dua sumber tepercaya, catat lembaga/judul sumber, bedakan fakta dan dugaan, serta hindari data pribadi atau pengalaman sensitif.</w:t>
      </w:r>
    </w:p>
    <w:tbl>
      <w:tblPr>
        <w:tblW w:type="dxa" w:w="9964"/>
        <w:jc w:val="center"/>
        <w:tblLayout w:type="fixed"/>
        <w:tblLook w:firstColumn="1" w:firstRow="1" w:lastColumn="0" w:lastRow="0" w:noHBand="0" w:noVBand="1" w:val="04A0"/>
        <w:tblBorders>
          <w:top w:val="single" w:sz="6" w:space="0" w:color="7F8FA6"/>
          <w:left w:val="single" w:sz="6" w:space="0" w:color="7F8FA6"/>
          <w:bottom w:val="single" w:sz="6" w:space="0" w:color="7F8FA6"/>
          <w:right w:val="single" w:sz="6" w:space="0" w:color="7F8FA6"/>
          <w:insideH w:val="single" w:sz="6" w:space="0" w:color="7F8FA6"/>
          <w:insideV w:val="single" w:sz="6" w:space="0" w:color="7F8FA6"/>
        </w:tblBorders>
      </w:tblPr>
      <w:tblGrid>
        <w:gridCol w:w="1008"/>
        <w:gridCol w:w="1181"/>
        <w:gridCol w:w="1181"/>
        <w:gridCol w:w="1483"/>
        <w:gridCol w:w="1584"/>
        <w:gridCol w:w="1584"/>
        <w:gridCol w:w="1944"/>
      </w:tblGrid>
      <w:tr>
        <w:trPr>
          <w:tblHeader w:val="true"/>
        </w:trPr>
        <w:tc>
          <w:tcPr>
            <w:tcW w:type="dxa" w:w="1007"/>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Kelompok</w:t>
            </w:r>
          </w:p>
        </w:tc>
        <w:tc>
          <w:tcPr>
            <w:tcW w:type="dxa" w:w="1180"/>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Jenis zat adiktif</w:t>
            </w:r>
          </w:p>
        </w:tc>
        <w:tc>
          <w:tcPr>
            <w:tcW w:type="dxa" w:w="1180"/>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Contoh</w:t>
            </w:r>
          </w:p>
        </w:tc>
        <w:tc>
          <w:tcPr>
            <w:tcW w:type="dxa" w:w="1483"/>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Organ/sistem yang diserang</w:t>
            </w:r>
          </w:p>
        </w:tc>
        <w:tc>
          <w:tcPr>
            <w:tcW w:type="dxa" w:w="1584"/>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Dampak jangka pendek</w:t>
            </w:r>
          </w:p>
        </w:tc>
        <w:tc>
          <w:tcPr>
            <w:tcW w:type="dxa" w:w="1584"/>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Dampak jangka panjang</w:t>
            </w:r>
          </w:p>
        </w:tc>
        <w:tc>
          <w:tcPr>
            <w:tcW w:type="dxa" w:w="1944"/>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Sumber data</w:t>
            </w:r>
          </w:p>
        </w:tc>
      </w:tr>
      <w:tr>
        <w:trPr>
          <w:cantSplit/>
        </w:trPr>
        <w:tc>
          <w:tcPr>
            <w:tcW w:type="dxa" w:w="1007"/>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483"/>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94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r>
      <w:tr>
        <w:trPr>
          <w:cantSplit/>
        </w:trPr>
        <w:tc>
          <w:tcPr>
            <w:tcW w:type="dxa" w:w="1007"/>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483"/>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94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r>
      <w:tr>
        <w:trPr>
          <w:cantSplit/>
        </w:trPr>
        <w:tc>
          <w:tcPr>
            <w:tcW w:type="dxa" w:w="1007"/>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483"/>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94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r>
      <w:tr>
        <w:trPr>
          <w:cantSplit/>
        </w:trPr>
        <w:tc>
          <w:tcPr>
            <w:tcW w:type="dxa" w:w="1007"/>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483"/>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94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r>
      <w:tr>
        <w:trPr>
          <w:cantSplit/>
        </w:trPr>
        <w:tc>
          <w:tcPr>
            <w:tcW w:type="dxa" w:w="1007"/>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180"/>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483"/>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58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c>
          <w:tcPr>
            <w:tcW w:type="dxa" w:w="1944"/>
            <w:tcMar>
              <w:top w:w="55" w:type="dxa"/>
              <w:start w:w="35" w:type="dxa"/>
              <w:bottom w:w="55" w:type="dxa"/>
              <w:end w:w="35" w:type="dxa"/>
            </w:tcMar>
            <w:vAlign w:val="top"/>
          </w:tcPr>
          <w:p>
            <w:pPr>
              <w:pStyle w:val="Tiny"/>
              <w:spacing w:after="40"/>
            </w:pPr>
            <w:r>
              <w:rPr>
                <w:rFonts w:ascii="Cambria" w:hAnsi="Cambria" w:eastAsia="Cambria"/>
              </w:rPr>
            </w:r>
            <w:r>
              <w:rPr>
                <w:rFonts w:ascii="Cambria" w:hAnsi="Cambria" w:eastAsia="Cambria"/>
                <w:b w:val="0"/>
                <w:i w:val="0"/>
              </w:rPr>
            </w:r>
          </w:p>
        </w:tc>
      </w:tr>
    </w:tbl>
    <w:p>
      <w:pPr>
        <w:spacing w:before="100" w:after="40"/>
      </w:pPr>
      <w:r>
        <w:rPr>
          <w:rFonts w:ascii="Cambria" w:hAnsi="Cambria" w:eastAsia="Cambria"/>
          <w:b/>
        </w:rPr>
        <w:t>Pertanyaan analisis LKPD</w:t>
      </w:r>
    </w:p>
    <w:p>
      <w:pPr>
        <w:pStyle w:val="ListNumber"/>
        <w:spacing w:after="20"/>
      </w:pPr>
      <w:r>
        <w:rPr>
          <w:rFonts w:ascii="Cambria" w:hAnsi="Cambria" w:eastAsia="Cambria"/>
        </w:rPr>
        <w:t>Pola apa yang terlihat antara jenis zat, organ yang terdampak, dan perubahan perilaku atau kesehatan?</w:t>
      </w:r>
    </w:p>
    <w:p>
      <w:pPr>
        <w:pStyle w:val="ListNumber"/>
        <w:spacing w:after="20"/>
      </w:pPr>
      <w:r>
        <w:rPr>
          <w:rFonts w:ascii="Cambria" w:hAnsi="Cambria" w:eastAsia="Cambria"/>
        </w:rPr>
        <w:t>Bukti mana yang paling kuat untuk mendukung simpulan kelompok? Jelaskan kriteria keterpercayaannya.</w:t>
      </w:r>
    </w:p>
    <w:p>
      <w:pPr>
        <w:pStyle w:val="ListNumber"/>
        <w:spacing w:after="20"/>
      </w:pPr>
      <w:r>
        <w:rPr>
          <w:rFonts w:ascii="Cambria" w:hAnsi="Cambria" w:eastAsia="Cambria"/>
        </w:rPr>
        <w:t>Keputusan “hindari–tolak–cari bantuan” apa yang paling tepat bagi remaja dalam kasus tersebut? Jelaskan dampaknya bagi diri, keluarga, dan lingkungan.</w:t>
      </w:r>
    </w:p>
    <w:p>
      <w:pPr>
        <w:spacing w:before="100" w:after="40"/>
      </w:pPr>
      <w:r>
        <w:rPr>
          <w:rFonts w:ascii="Cambria" w:hAnsi="Cambria" w:eastAsia="Cambria"/>
          <w:b/>
        </w:rPr>
        <w:t>b. Rubrik Penilaian Produk Kreatif (Poster/Video Kampanye)</w:t>
      </w:r>
    </w:p>
    <w:tbl>
      <w:tblPr>
        <w:tblW w:type="dxa" w:w="10555"/>
        <w:jc w:val="center"/>
        <w:tblLayout w:type="fixed"/>
        <w:tblLook w:firstColumn="1" w:firstRow="1" w:lastColumn="0" w:lastRow="0" w:noHBand="0" w:noVBand="1" w:val="04A0"/>
        <w:tblBorders>
          <w:top w:val="single" w:sz="6" w:space="0" w:color="7F8FA6"/>
          <w:left w:val="single" w:sz="6" w:space="0" w:color="7F8FA6"/>
          <w:bottom w:val="single" w:sz="6" w:space="0" w:color="7F8FA6"/>
          <w:right w:val="single" w:sz="6" w:space="0" w:color="7F8FA6"/>
          <w:insideH w:val="single" w:sz="6" w:space="0" w:color="7F8FA6"/>
          <w:insideV w:val="single" w:sz="6" w:space="0" w:color="7F8FA6"/>
        </w:tblBorders>
      </w:tblPr>
      <w:tblGrid>
        <w:gridCol w:w="1512"/>
        <w:gridCol w:w="2261"/>
        <w:gridCol w:w="2261"/>
        <w:gridCol w:w="2261"/>
        <w:gridCol w:w="2261"/>
      </w:tblGrid>
      <w:tr>
        <w:trPr>
          <w:tblHeader w:val="true"/>
        </w:trPr>
        <w:tc>
          <w:tcPr>
            <w:tcW w:type="dxa" w:w="1512"/>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Aspek</w:t>
            </w:r>
          </w:p>
        </w:tc>
        <w:tc>
          <w:tcPr>
            <w:tcW w:type="dxa" w:w="2260"/>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Sangat Baik (4)</w:t>
            </w:r>
          </w:p>
        </w:tc>
        <w:tc>
          <w:tcPr>
            <w:tcW w:type="dxa" w:w="2260"/>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Baik (3)</w:t>
            </w:r>
          </w:p>
        </w:tc>
        <w:tc>
          <w:tcPr>
            <w:tcW w:type="dxa" w:w="2260"/>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Cukup (2)</w:t>
            </w:r>
          </w:p>
        </w:tc>
        <w:tc>
          <w:tcPr>
            <w:tcW w:type="dxa" w:w="2260"/>
            <w:shd w:fill="17365D"/>
            <w:vAlign w:val="top"/>
            <w:tcMar>
              <w:top w:w="90" w:type="dxa"/>
              <w:start w:w="80" w:type="dxa"/>
              <w:bottom w:w="90" w:type="dxa"/>
              <w:end w:w="80" w:type="dxa"/>
            </w:tcMar>
          </w:tcPr>
          <w:p>
            <w:pPr>
              <w:pStyle w:val="Tiny"/>
              <w:spacing w:after="0"/>
              <w:jc w:val="center"/>
            </w:pPr>
            <w:r>
              <w:rPr>
                <w:rFonts w:ascii="Cambria" w:hAnsi="Cambria" w:eastAsia="Cambria"/>
              </w:rPr>
            </w:r>
            <w:r>
              <w:rPr>
                <w:rFonts w:ascii="Cambria" w:hAnsi="Cambria" w:eastAsia="Cambria"/>
                <w:b/>
                <w:i w:val="0"/>
                <w:color w:val="FFFFFF"/>
              </w:rPr>
              <w:t>Perlu Bimbingan (1)</w:t>
            </w:r>
          </w:p>
        </w:tc>
      </w:tr>
      <w:tr>
        <w:trPr>
          <w:cantSplit/>
        </w:trPr>
        <w:tc>
          <w:tcPr>
            <w:tcW w:type="dxa" w:w="1512"/>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i w:val="0"/>
              </w:rPr>
              <w:t>Akurasi sains</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Semua klaim tepat, hubungan zat–organ–dampak jelas, dan sumber tepercaya dicantumkan.</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Klaim utama tepat; ada satu rincian yang kurang lengkap; sumber dicantumkan.</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Sebagian klaim benar, tetapi hubungan sebab-akibat kurang jelas atau sumber terbatas.</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Klaim keliru/tidak didukung bukti dan sumber tidak dicantumkan.</w:t>
            </w:r>
          </w:p>
        </w:tc>
      </w:tr>
      <w:tr>
        <w:trPr>
          <w:cantSplit/>
        </w:trPr>
        <w:tc>
          <w:tcPr>
            <w:tcW w:type="dxa" w:w="1512"/>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i w:val="0"/>
              </w:rPr>
              <w:t>Kekuatan persuasi</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Pesan fokus, empatik, tidak menstigma, dan ajakan tindakan sangat konkret.</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Pesan jelas dan persuasif; ajakan tindakan tersedia namun belum rinci.</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Pesan umum; manfaat tindakan belum meyakinkan atau masih bernada menghakimi.</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Pesan membingungkan, menakut-nakuti, atau tidak memiliki ajakan tindakan.</w:t>
            </w:r>
          </w:p>
        </w:tc>
      </w:tr>
      <w:tr>
        <w:trPr>
          <w:cantSplit/>
        </w:trPr>
        <w:tc>
          <w:tcPr>
            <w:tcW w:type="dxa" w:w="1512"/>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i w:val="0"/>
              </w:rPr>
              <w:t>Estetika visual</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Hierarki informasi kuat, visual relevan, teks sangat terbaca, dan desain konsisten.</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Visual menarik dan teks terbaca; ada sedikit ketidakkonsistenan.</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Desain cukup terbaca tetapi padat, visual kurang mendukung, atau ritme video kurang tepat.</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Teks sulit dibaca, visual tidak relevan, atau produk belum selesai.</w:t>
            </w:r>
          </w:p>
        </w:tc>
      </w:tr>
      <w:tr>
        <w:trPr>
          <w:cantSplit/>
        </w:trPr>
        <w:tc>
          <w:tcPr>
            <w:tcW w:type="dxa" w:w="1512"/>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i w:val="0"/>
              </w:rPr>
              <w:t>Kolaborasi</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Peran terbagi adil; semua anggota berkontribusi, saling membantu, dan menyelesaikan konflik secara konstruktif.</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Sebagian besar anggota berkontribusi dan tugas selesai dengan koordinasi baik.</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Kontribusi tidak merata; koordinasi atau ketepatan waktu masih lemah.</w:t>
            </w:r>
          </w:p>
        </w:tc>
        <w:tc>
          <w:tcPr>
            <w:tcW w:type="dxa" w:w="2260"/>
            <w:tcMar>
              <w:top w:w="40" w:type="dxa"/>
              <w:start w:w="45" w:type="dxa"/>
              <w:bottom w:w="40" w:type="dxa"/>
              <w:end w:w="45" w:type="dxa"/>
            </w:tcMar>
            <w:vAlign w:val="top"/>
          </w:tcPr>
          <w:p>
            <w:pPr>
              <w:pStyle w:val="Tiny"/>
              <w:spacing w:after="40"/>
            </w:pPr>
            <w:r>
              <w:rPr>
                <w:rFonts w:ascii="Cambria" w:hAnsi="Cambria" w:eastAsia="Cambria"/>
              </w:rPr>
            </w:r>
            <w:r>
              <w:rPr>
                <w:rFonts w:ascii="Cambria" w:hAnsi="Cambria" w:eastAsia="Cambria"/>
                <w:b w:val="0"/>
                <w:i w:val="0"/>
              </w:rPr>
              <w:t>Produk didominasi satu orang atau kelompok tidak menunjukkan kerja sama.</w:t>
            </w:r>
          </w:p>
        </w:tc>
      </w:tr>
    </w:tbl>
    <w:p>
      <w:pPr>
        <w:spacing w:before="60" w:after="20"/>
      </w:pPr>
      <w:r>
        <w:rPr>
          <w:rFonts w:ascii="Cambria" w:hAnsi="Cambria" w:eastAsia="Cambria"/>
          <w:b/>
        </w:rPr>
        <w:t xml:space="preserve">Skor produk = </w:t>
      </w:r>
      <w:r>
        <w:rPr>
          <w:rFonts w:ascii="Cambria" w:hAnsi="Cambria" w:eastAsia="Cambria"/>
        </w:rPr>
        <w:t>(jumlah skor perolehan ÷ 16) × 100.</w:t>
      </w:r>
    </w:p>
    <w:p>
      <w:pPr>
        <w:spacing w:before="120" w:after="60"/>
      </w:pPr>
      <w:r>
        <w:rPr>
          <w:rFonts w:ascii="Cambria" w:hAnsi="Cambria" w:eastAsia="Cambria"/>
          <w:b/>
          <w:sz w:val="20"/>
        </w:rPr>
        <w:t>3. Asesmen Sumatif: Pilihan Ganda Kontekstual (HOTS C4–C5)</w:t>
      </w:r>
    </w:p>
    <w:p>
      <w:pPr>
        <w:spacing w:before="80" w:after="20"/>
      </w:pPr>
      <w:r>
        <w:rPr>
          <w:rFonts w:ascii="Cambria" w:hAnsi="Cambria" w:eastAsia="Cambria"/>
          <w:b/>
        </w:rPr>
        <w:t xml:space="preserve">1. (C4 – Menganalisis) </w:t>
      </w:r>
      <w:r>
        <w:rPr>
          <w:rFonts w:ascii="Cambria" w:hAnsi="Cambria" w:eastAsia="Cambria"/>
        </w:rPr>
        <w:t>Saat diskusi, seorang Murid berkata, “Rokok elektronik aman karena tidak menghasilkan asap tembakau.” Kelompok menemukan bahwa cairan yang digunakan mengandung nikotin dan data menunjukkan denyut jantung pengguna meningkat setelah pemakaian. Evaluasi paling tepat terhadap pernyataan tersebut adalah …</w:t>
      </w:r>
    </w:p>
    <w:p>
      <w:pPr>
        <w:spacing w:after="0"/>
        <w:ind w:left="360"/>
      </w:pPr>
      <w:r>
        <w:rPr>
          <w:rFonts w:ascii="Cambria" w:hAnsi="Cambria" w:eastAsia="Cambria"/>
        </w:rPr>
        <w:t>A. Benar, karena tidak ada pembakaran sehingga tidak ada risiko kesehatan.</w:t>
      </w:r>
    </w:p>
    <w:p>
      <w:pPr>
        <w:spacing w:after="0"/>
        <w:ind w:left="360"/>
      </w:pPr>
      <w:r>
        <w:rPr>
          <w:rFonts w:ascii="Cambria" w:hAnsi="Cambria" w:eastAsia="Cambria"/>
        </w:rPr>
        <w:t>B. Kurang tepat, karena nikotin tetap bersifat adiktif dan perubahan denyut jantung menunjukkan adanya pengaruh pada sistem tubuh.</w:t>
      </w:r>
    </w:p>
    <w:p>
      <w:pPr>
        <w:spacing w:after="0"/>
        <w:ind w:left="360"/>
      </w:pPr>
      <w:r>
        <w:rPr>
          <w:rFonts w:ascii="Cambria" w:hAnsi="Cambria" w:eastAsia="Cambria"/>
        </w:rPr>
        <w:t>C. Benar, selama rokok elektronik digunakan hanya pada akhir pekan.</w:t>
      </w:r>
    </w:p>
    <w:p>
      <w:pPr>
        <w:spacing w:after="0"/>
        <w:ind w:left="360"/>
      </w:pPr>
      <w:r>
        <w:rPr>
          <w:rFonts w:ascii="Cambria" w:hAnsi="Cambria" w:eastAsia="Cambria"/>
        </w:rPr>
        <w:t>D. Tidak dapat dinilai karena semua produk nikotin memiliki dampak yang sama persis.</w:t>
      </w:r>
    </w:p>
    <w:p>
      <w:pPr>
        <w:spacing w:before="20" w:after="20"/>
        <w:ind w:left="259"/>
      </w:pPr>
      <w:r>
        <w:rPr>
          <w:rFonts w:ascii="Cambria" w:hAnsi="Cambria" w:eastAsia="Cambria"/>
          <w:b/>
        </w:rPr>
        <w:t xml:space="preserve">Kunci: </w:t>
      </w:r>
      <w:r>
        <w:rPr>
          <w:rFonts w:ascii="Cambria" w:hAnsi="Cambria" w:eastAsia="Cambria"/>
        </w:rPr>
        <w:t>B</w:t>
      </w:r>
    </w:p>
    <w:p>
      <w:pPr>
        <w:spacing w:after="40"/>
        <w:ind w:left="259"/>
      </w:pPr>
      <w:r>
        <w:rPr>
          <w:rFonts w:ascii="Cambria" w:hAnsi="Cambria" w:eastAsia="Cambria"/>
          <w:b/>
        </w:rPr>
        <w:t xml:space="preserve">Pembahasan pedagogis: </w:t>
      </w:r>
      <w:r>
        <w:rPr>
          <w:rFonts w:ascii="Cambria" w:hAnsi="Cambria" w:eastAsia="Cambria"/>
        </w:rPr>
        <w:t>Murid perlu membedakan “tidak ada asap tembakau” dari “tidak berisiko”. Bukti kandungan nikotin dan perubahan fisiologis melemahkan klaim aman. Pilihan B mengintegrasikan dua bukti tanpa menyamaratakan semua produk; A dan C mengabaikan risiko, sedangkan D menolak evaluasi meskipun bukti tersedia.</w:t>
      </w:r>
    </w:p>
    <w:p>
      <w:pPr>
        <w:spacing w:before="80" w:after="20"/>
      </w:pPr>
      <w:r>
        <w:rPr>
          <w:rFonts w:ascii="Cambria" w:hAnsi="Cambria" w:eastAsia="Cambria"/>
          <w:b/>
        </w:rPr>
        <w:t xml:space="preserve">2. (C4 – Menganalisis) </w:t>
      </w:r>
      <w:r>
        <w:rPr>
          <w:rFonts w:ascii="Cambria" w:hAnsi="Cambria" w:eastAsia="Cambria"/>
        </w:rPr>
        <w:t>Dalam simulasi kasus, seorang remaja yang mengonsumsi alkohol menunjukkan reaksi lambat, bicara tidak jelas, dan kesulitan menjaga keseimbangan. Rantai sebab-akibat yang paling logis adalah …</w:t>
      </w:r>
    </w:p>
    <w:p>
      <w:pPr>
        <w:spacing w:after="0"/>
        <w:ind w:left="360"/>
      </w:pPr>
      <w:r>
        <w:rPr>
          <w:rFonts w:ascii="Cambria" w:hAnsi="Cambria" w:eastAsia="Cambria"/>
        </w:rPr>
        <w:t>A. Alkohol meningkatkan kerja sistem saraf pusat sehingga koordinasi menjadi lebih cepat.</w:t>
      </w:r>
    </w:p>
    <w:p>
      <w:pPr>
        <w:spacing w:after="0"/>
        <w:ind w:left="360"/>
      </w:pPr>
      <w:r>
        <w:rPr>
          <w:rFonts w:ascii="Cambria" w:hAnsi="Cambria" w:eastAsia="Cambria"/>
        </w:rPr>
        <w:t>B. Alkohol mengganggu fungsi sistem saraf pusat sehingga penilaian, reaksi, dan koordinasi menurun.</w:t>
      </w:r>
    </w:p>
    <w:p>
      <w:pPr>
        <w:spacing w:after="0"/>
        <w:ind w:left="360"/>
      </w:pPr>
      <w:r>
        <w:rPr>
          <w:rFonts w:ascii="Cambria" w:hAnsi="Cambria" w:eastAsia="Cambria"/>
        </w:rPr>
        <w:t>C. Alkohol hanya memengaruhi lambung sehingga gejala saraf tidak berkaitan.</w:t>
      </w:r>
    </w:p>
    <w:p>
      <w:pPr>
        <w:spacing w:after="0"/>
        <w:ind w:left="360"/>
      </w:pPr>
      <w:r>
        <w:rPr>
          <w:rFonts w:ascii="Cambria" w:hAnsi="Cambria" w:eastAsia="Cambria"/>
        </w:rPr>
        <w:t>D. Gejala terjadi semata-mata karena kurang percaya diri, bukan karena perubahan fungsi tubuh.</w:t>
      </w:r>
    </w:p>
    <w:p>
      <w:pPr>
        <w:spacing w:before="20" w:after="20"/>
        <w:ind w:left="259"/>
      </w:pPr>
      <w:r>
        <w:rPr>
          <w:rFonts w:ascii="Cambria" w:hAnsi="Cambria" w:eastAsia="Cambria"/>
          <w:b/>
        </w:rPr>
        <w:t xml:space="preserve">Kunci: </w:t>
      </w:r>
      <w:r>
        <w:rPr>
          <w:rFonts w:ascii="Cambria" w:hAnsi="Cambria" w:eastAsia="Cambria"/>
        </w:rPr>
        <w:t>B</w:t>
      </w:r>
    </w:p>
    <w:p>
      <w:pPr>
        <w:spacing w:after="40"/>
        <w:ind w:left="259"/>
      </w:pPr>
      <w:r>
        <w:rPr>
          <w:rFonts w:ascii="Cambria" w:hAnsi="Cambria" w:eastAsia="Cambria"/>
          <w:b/>
        </w:rPr>
        <w:t xml:space="preserve">Pembahasan pedagogis: </w:t>
      </w:r>
      <w:r>
        <w:rPr>
          <w:rFonts w:ascii="Cambria" w:hAnsi="Cambria" w:eastAsia="Cambria"/>
        </w:rPr>
        <w:t>Butir ini mengukur kemampuan menghubungkan beberapa gejala dengan satu sistem tubuh dan mekanisme yang paling konsisten. B menjelaskan pola gejala secara terpadu. A berlawanan dengan data, C mengabaikan gejala neurologis, dan D tidak didukung bukti kasus.</w:t>
      </w:r>
    </w:p>
    <w:p>
      <w:pPr>
        <w:spacing w:before="80" w:after="20"/>
      </w:pPr>
      <w:r>
        <w:rPr>
          <w:rFonts w:ascii="Cambria" w:hAnsi="Cambria" w:eastAsia="Cambria"/>
          <w:b/>
        </w:rPr>
        <w:t xml:space="preserve">3. (C5 – Mengevaluasi) </w:t>
      </w:r>
      <w:r>
        <w:rPr>
          <w:rFonts w:ascii="Cambria" w:hAnsi="Cambria" w:eastAsia="Cambria"/>
        </w:rPr>
        <w:t>Pada kegiatan olahraga sekolah, seorang Murid ditemukan sangat mengantuk, sulit dibangunkan, dan bernapas sangat lambat setelah menelan obat yang tidak diketahui. Keputusan awal yang paling bertanggung jawab adalah …</w:t>
      </w:r>
    </w:p>
    <w:p>
      <w:pPr>
        <w:spacing w:after="0"/>
        <w:ind w:left="360"/>
      </w:pPr>
      <w:r>
        <w:rPr>
          <w:rFonts w:ascii="Cambria" w:hAnsi="Cambria" w:eastAsia="Cambria"/>
        </w:rPr>
        <w:t>A. Membiarkannya tidur agar tubuh memulihkan diri.</w:t>
      </w:r>
    </w:p>
    <w:p>
      <w:pPr>
        <w:spacing w:after="0"/>
        <w:ind w:left="360"/>
      </w:pPr>
      <w:r>
        <w:rPr>
          <w:rFonts w:ascii="Cambria" w:hAnsi="Cambria" w:eastAsia="Cambria"/>
        </w:rPr>
        <w:t>B. Memberinya kopi dan meminta berjalan agar tetap sadar.</w:t>
      </w:r>
    </w:p>
    <w:p>
      <w:pPr>
        <w:spacing w:after="0"/>
        <w:ind w:left="360"/>
      </w:pPr>
      <w:r>
        <w:rPr>
          <w:rFonts w:ascii="Cambria" w:hAnsi="Cambria" w:eastAsia="Cambria"/>
        </w:rPr>
        <w:t>C. Segera memanggil bantuan orang dewasa/tenaga kesehatan, tidak meninggalkannya sendiri, dan menyampaikan informasi yang diketahui tentang obat tersebut.</w:t>
      </w:r>
    </w:p>
    <w:p>
      <w:pPr>
        <w:spacing w:after="0"/>
        <w:ind w:left="360"/>
      </w:pPr>
      <w:r>
        <w:rPr>
          <w:rFonts w:ascii="Cambria" w:hAnsi="Cambria" w:eastAsia="Cambria"/>
        </w:rPr>
        <w:t>D. Merekam kejadian agar dapat dijadikan bahan kampanye sekolah.</w:t>
      </w:r>
    </w:p>
    <w:p>
      <w:pPr>
        <w:spacing w:before="20" w:after="20"/>
        <w:ind w:left="259"/>
      </w:pPr>
      <w:r>
        <w:rPr>
          <w:rFonts w:ascii="Cambria" w:hAnsi="Cambria" w:eastAsia="Cambria"/>
          <w:b/>
        </w:rPr>
        <w:t xml:space="preserve">Kunci: </w:t>
      </w:r>
      <w:r>
        <w:rPr>
          <w:rFonts w:ascii="Cambria" w:hAnsi="Cambria" w:eastAsia="Cambria"/>
        </w:rPr>
        <w:t>C</w:t>
      </w:r>
    </w:p>
    <w:p>
      <w:pPr>
        <w:spacing w:after="40"/>
        <w:ind w:left="259"/>
      </w:pPr>
      <w:r>
        <w:rPr>
          <w:rFonts w:ascii="Cambria" w:hAnsi="Cambria" w:eastAsia="Cambria"/>
          <w:b/>
        </w:rPr>
        <w:t xml:space="preserve">Pembahasan pedagogis: </w:t>
      </w:r>
      <w:r>
        <w:rPr>
          <w:rFonts w:ascii="Cambria" w:hAnsi="Cambria" w:eastAsia="Cambria"/>
        </w:rPr>
        <w:t>Gejala penurunan kesadaran dan napas lambat merupakan tanda bahaya yang menuntut pertolongan segera. C memprioritaskan keselamatan, pengawasan, dan informasi bagi penolong. A dan B menunda penanganan; D melanggar martabat serta tidak mengatasi keadaan gawat.</w:t>
      </w:r>
    </w:p>
    <w:p>
      <w:pPr>
        <w:spacing w:before="80" w:after="20"/>
      </w:pPr>
      <w:r>
        <w:rPr>
          <w:rFonts w:ascii="Cambria" w:hAnsi="Cambria" w:eastAsia="Cambria"/>
          <w:b/>
        </w:rPr>
        <w:t xml:space="preserve">4. (C5 – Mengevaluasi) </w:t>
      </w:r>
      <w:r>
        <w:rPr>
          <w:rFonts w:ascii="Cambria" w:hAnsi="Cambria" w:eastAsia="Cambria"/>
        </w:rPr>
        <w:t>Dua kelompok mengusulkan slogan kampanye. Kelompok 1: “Sekali mencoba, hidupmu pasti hancur!” Kelompok 2: “Kenali risikonya, berani menolak, dan cari bantuan dari orang dewasa tepercaya.” Pesan yang lebih tepat untuk kampanye sekolah adalah …</w:t>
      </w:r>
    </w:p>
    <w:p>
      <w:pPr>
        <w:spacing w:after="0"/>
        <w:ind w:left="360"/>
      </w:pPr>
      <w:r>
        <w:rPr>
          <w:rFonts w:ascii="Cambria" w:hAnsi="Cambria" w:eastAsia="Cambria"/>
        </w:rPr>
        <w:t>A. Kelompok 1, karena ketakutan selalu menghasilkan perubahan perilaku jangka panjang.</w:t>
      </w:r>
    </w:p>
    <w:p>
      <w:pPr>
        <w:spacing w:after="0"/>
        <w:ind w:left="360"/>
      </w:pPr>
      <w:r>
        <w:rPr>
          <w:rFonts w:ascii="Cambria" w:hAnsi="Cambria" w:eastAsia="Cambria"/>
        </w:rPr>
        <w:t>B. Kelompok 1, karena kampanye tidak perlu menawarkan solusi.</w:t>
      </w:r>
    </w:p>
    <w:p>
      <w:pPr>
        <w:spacing w:after="0"/>
        <w:ind w:left="360"/>
      </w:pPr>
      <w:r>
        <w:rPr>
          <w:rFonts w:ascii="Cambria" w:hAnsi="Cambria" w:eastAsia="Cambria"/>
        </w:rPr>
        <w:t>C. Kelompok 2, karena pesannya informatif, tidak menstigma, dan memberi tindakan yang dapat dilakukan.</w:t>
      </w:r>
    </w:p>
    <w:p>
      <w:pPr>
        <w:spacing w:after="0"/>
        <w:ind w:left="360"/>
      </w:pPr>
      <w:r>
        <w:rPr>
          <w:rFonts w:ascii="Cambria" w:hAnsi="Cambria" w:eastAsia="Cambria"/>
        </w:rPr>
        <w:t>D. Keduanya sama, karena isi pesan tidak memengaruhi respons audiens.</w:t>
      </w:r>
    </w:p>
    <w:p>
      <w:pPr>
        <w:spacing w:before="20" w:after="20"/>
        <w:ind w:left="259"/>
      </w:pPr>
      <w:r>
        <w:rPr>
          <w:rFonts w:ascii="Cambria" w:hAnsi="Cambria" w:eastAsia="Cambria"/>
          <w:b/>
        </w:rPr>
        <w:t xml:space="preserve">Kunci: </w:t>
      </w:r>
      <w:r>
        <w:rPr>
          <w:rFonts w:ascii="Cambria" w:hAnsi="Cambria" w:eastAsia="Cambria"/>
        </w:rPr>
        <w:t>C</w:t>
      </w:r>
    </w:p>
    <w:p>
      <w:pPr>
        <w:spacing w:after="40"/>
        <w:ind w:left="259"/>
      </w:pPr>
      <w:r>
        <w:rPr>
          <w:rFonts w:ascii="Cambria" w:hAnsi="Cambria" w:eastAsia="Cambria"/>
          <w:b/>
        </w:rPr>
        <w:t xml:space="preserve">Pembahasan pedagogis: </w:t>
      </w:r>
      <w:r>
        <w:rPr>
          <w:rFonts w:ascii="Cambria" w:hAnsi="Cambria" w:eastAsia="Cambria"/>
        </w:rPr>
        <w:t>Murid mengevaluasi kualitas komunikasi kesehatan, bukan sekadar daya tarik slogan. C mempertimbangkan ketepatan, empati, dan tindakan konkret. Pesan absolut pada Kelompok 1 dapat mengurangi kredibilitas dan mempermalukan orang yang membutuhkan dukungan.</w:t>
      </w:r>
    </w:p>
    <w:p>
      <w:pPr>
        <w:spacing w:before="80" w:after="20"/>
      </w:pPr>
      <w:r>
        <w:rPr>
          <w:rFonts w:ascii="Cambria" w:hAnsi="Cambria" w:eastAsia="Cambria"/>
          <w:b/>
        </w:rPr>
        <w:t xml:space="preserve">5. (C4 – Menganalisis) </w:t>
      </w:r>
      <w:r>
        <w:rPr>
          <w:rFonts w:ascii="Cambria" w:hAnsi="Cambria" w:eastAsia="Cambria"/>
        </w:rPr>
        <w:t>Kelompok A memakai unggahan anonim tanpa tanggal. Kelompok B memakai materi puskesmas yang mencantumkan lembaga, tanggal, rujukan, dan jalur bantuan. Sumber yang lebih layak dijadikan dasar poster adalah …</w:t>
      </w:r>
    </w:p>
    <w:p>
      <w:pPr>
        <w:spacing w:after="0"/>
        <w:ind w:left="360"/>
      </w:pPr>
      <w:r>
        <w:rPr>
          <w:rFonts w:ascii="Cambria" w:hAnsi="Cambria" w:eastAsia="Cambria"/>
        </w:rPr>
        <w:t>A. Kelompok A, karena bahasa unggahannya lebih dramatis.</w:t>
      </w:r>
    </w:p>
    <w:p>
      <w:pPr>
        <w:spacing w:after="0"/>
        <w:ind w:left="360"/>
      </w:pPr>
      <w:r>
        <w:rPr>
          <w:rFonts w:ascii="Cambria" w:hAnsi="Cambria" w:eastAsia="Cambria"/>
        </w:rPr>
        <w:t>B. Kelompok A, karena jumlah komentar lebih banyak.</w:t>
      </w:r>
    </w:p>
    <w:p>
      <w:pPr>
        <w:spacing w:after="0"/>
        <w:ind w:left="360"/>
      </w:pPr>
      <w:r>
        <w:rPr>
          <w:rFonts w:ascii="Cambria" w:hAnsi="Cambria" w:eastAsia="Cambria"/>
        </w:rPr>
        <w:t>C. Kelompok B, karena identitas penerbit, kebaruan informasi, bukti, dan tujuan edukasinya dapat diperiksa.</w:t>
      </w:r>
    </w:p>
    <w:p>
      <w:pPr>
        <w:spacing w:after="0"/>
        <w:ind w:left="360"/>
      </w:pPr>
      <w:r>
        <w:rPr>
          <w:rFonts w:ascii="Cambria" w:hAnsi="Cambria" w:eastAsia="Cambria"/>
        </w:rPr>
        <w:t>D. Keduanya wajib dipakai agar poster tampak ramai.</w:t>
      </w:r>
    </w:p>
    <w:p>
      <w:pPr>
        <w:spacing w:before="20" w:after="20"/>
        <w:ind w:left="259"/>
      </w:pPr>
      <w:r>
        <w:rPr>
          <w:rFonts w:ascii="Cambria" w:hAnsi="Cambria" w:eastAsia="Cambria"/>
          <w:b/>
        </w:rPr>
        <w:t xml:space="preserve">Kunci: </w:t>
      </w:r>
      <w:r>
        <w:rPr>
          <w:rFonts w:ascii="Cambria" w:hAnsi="Cambria" w:eastAsia="Cambria"/>
        </w:rPr>
        <w:t>C</w:t>
      </w:r>
    </w:p>
    <w:p>
      <w:pPr>
        <w:spacing w:after="40"/>
        <w:ind w:left="259"/>
      </w:pPr>
      <w:r>
        <w:rPr>
          <w:rFonts w:ascii="Cambria" w:hAnsi="Cambria" w:eastAsia="Cambria"/>
          <w:b/>
        </w:rPr>
        <w:t xml:space="preserve">Pembahasan pedagogis: </w:t>
      </w:r>
      <w:r>
        <w:rPr>
          <w:rFonts w:ascii="Cambria" w:hAnsi="Cambria" w:eastAsia="Cambria"/>
        </w:rPr>
        <w:t>Butir ini mengukur evaluasi kredibilitas sumber. Identitas lembaga, tanggal, rujukan, dan jalur bantuan memungkinkan verifikasi. Popularitas atau gaya dramatis bukan indikator kebenaran; menambah sumber yang tidak kredibel justru melemahkan kampanye.</w:t>
      </w:r>
    </w:p>
    <w:p>
      <w:pPr>
        <w:spacing w:before="100" w:after="40"/>
      </w:pPr>
      <w:r>
        <w:rPr>
          <w:rFonts w:ascii="Cambria" w:hAnsi="Cambria" w:eastAsia="Cambria"/>
          <w:b/>
        </w:rPr>
        <w:t>Pedoman penskoran dan ketuntasan</w:t>
      </w:r>
    </w:p>
    <w:p>
      <w:pPr>
        <w:pStyle w:val="ListBullet"/>
        <w:spacing w:after="20"/>
      </w:pPr>
      <w:r>
        <w:rPr>
          <w:rFonts w:ascii="Cambria" w:hAnsi="Cambria" w:eastAsia="Cambria"/>
        </w:rPr>
        <w:t>Setiap jawaban benar bernilai 20; skor maksimum 100.</w:t>
      </w:r>
    </w:p>
    <w:p>
      <w:pPr>
        <w:pStyle w:val="ListBullet"/>
        <w:spacing w:after="20"/>
      </w:pPr>
      <w:r>
        <w:rPr>
          <w:rFonts w:ascii="Cambria" w:hAnsi="Cambria" w:eastAsia="Cambria"/>
        </w:rPr>
        <w:t>Asumsi ketuntasan adalah 75 dan dapat disesuaikan dengan kebijakan SMP Negeri 6 Kendari.</w:t>
      </w:r>
    </w:p>
    <w:p>
      <w:pPr>
        <w:pStyle w:val="ListBullet"/>
        <w:spacing w:after="20"/>
      </w:pPr>
      <w:r>
        <w:rPr>
          <w:rFonts w:ascii="Cambria" w:hAnsi="Cambria" w:eastAsia="Cambria"/>
        </w:rPr>
        <w:t>Nilai akhir = (40% × nilai produk kreatif) + (60% × nilai tes HOTS). Komposisi ini merupakan asumsi yang dapat disesuaikan.</w:t>
      </w:r>
    </w:p>
    <w:p>
      <w:pPr>
        <w:pStyle w:val="ListBullet"/>
        <w:spacing w:after="20"/>
      </w:pPr>
      <w:r>
        <w:rPr>
          <w:rFonts w:ascii="Cambria" w:hAnsi="Cambria" w:eastAsia="Cambria"/>
        </w:rPr>
        <w:t>Murid yang belum tuntas menerima umpan balik pada indikator yang belum dikuasai, memperbaiki analisis sumber atau kampanye, lalu mengikuti asesmen ulang yang setara.</w:t>
      </w:r>
    </w:p>
    <w:p>
      <w:pPr>
        <w:keepLines/>
        <w:spacing w:before="200"/>
        <w:jc w:val="right"/>
      </w:pPr>
      <w:r>
        <w:rPr>
          <w:rFonts w:ascii="Cambria" w:hAnsi="Cambria" w:eastAsia="Cambria"/>
        </w:rPr>
        <w:t>Kendari, 7 Oktober 2026</w:t>
        <w:br/>
      </w:r>
      <w:r>
        <w:rPr>
          <w:rFonts w:ascii="Cambria" w:hAnsi="Cambria" w:eastAsia="Cambria"/>
        </w:rPr>
        <w:t>Guru Mata Pelajaran</w:t>
        <w:br/>
        <w:br/>
        <w:br/>
        <w:br/>
      </w:r>
      <w:r>
        <w:rPr>
          <w:rFonts w:ascii="Cambria" w:hAnsi="Cambria" w:eastAsia="Cambria"/>
          <w:b/>
          <w:u w:val="single"/>
        </w:rPr>
        <w:t>Herwin Hamid, S.Pd, M.Pd</w:t>
      </w:r>
      <w:r>
        <w:rPr>
          <w:rFonts w:ascii="Cambria" w:hAnsi="Cambria" w:eastAsia="Cambria"/>
        </w:rPr>
        <w:br/>
        <w:t>NIP. 198204302006041007</w:t>
      </w:r>
    </w:p>
    <w:sectPr w:rsidR="00FC693F" w:rsidRPr="0006063C" w:rsidSect="00034616">
      <w:pgSz w:w="12240" w:h="20160"/>
      <w:pgMar w:top="691" w:right="792" w:bottom="691" w:left="792"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mbria" w:hAnsi="Cambria" w:eastAsia="Cambria"/>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eastAsia="Cambria"/>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eastAsia="Cambria"/>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eastAsia="Cambria"/>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eastAsia="Cambria"/>
      <w:b/>
      <w:color w:val="1736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llBody">
    <w:name w:val="Cell Body"/>
    <w:pPr>
      <w:spacing w:after="40" w:line="252" w:lineRule="auto"/>
    </w:pPr>
    <w:rPr>
      <w:rFonts w:ascii="Cambria" w:hAnsi="Cambria" w:eastAsia="Cambria"/>
      <w:color w:val="1F2937"/>
      <w:sz w:val="19"/>
    </w:rPr>
  </w:style>
  <w:style w:type="paragraph" w:customStyle="1" w:styleId="CellBullet">
    <w:name w:val="Cell Bullet"/>
    <w:basedOn w:val="CellBody"/>
    <w:pPr>
      <w:spacing w:after="40" w:line="252" w:lineRule="auto"/>
      <w:ind w:left="288" w:hanging="202"/>
    </w:pPr>
  </w:style>
  <w:style w:type="paragraph" w:customStyle="1" w:styleId="Tiny">
    <w:name w:val="Tiny"/>
    <w:pPr>
      <w:spacing w:after="20" w:line="240" w:lineRule="auto"/>
    </w:pPr>
    <w:rPr>
      <w:rFonts w:ascii="Cambria" w:hAnsi="Cambria" w:eastAsia="Cambria"/>
      <w:color w:val="1F293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Pembelajaran Bahaya Zat Adiktif</dc:title>
  <dc:subject>IPA Kelas IX Fase D – Problem-Based Learning</dc:subject>
  <dc:creator>Herwin Hamid, S.Pd, M.Pd</dc:creator>
  <cp:keywords/>
  <dc:description>generated by python-docx</dc:description>
  <cp:lastModifiedBy/>
  <cp:revision>1</cp:revision>
  <dcterms:created xsi:type="dcterms:W3CDTF">2013-12-23T23:15:00Z</dcterms:created>
  <dcterms:modified xsi:type="dcterms:W3CDTF">2013-12-23T23:15:00Z</dcterms:modified>
  <cp:category/>
</cp:coreProperties>
</file>