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E33A5" w14:textId="71A199BA" w:rsidR="00D720F6" w:rsidRPr="009363C6" w:rsidRDefault="00183419" w:rsidP="009363C6">
      <w:pPr>
        <w:pStyle w:val="Titre"/>
        <w:jc w:val="center"/>
        <w:rPr>
          <w:sz w:val="96"/>
          <w:szCs w:val="96"/>
        </w:rPr>
      </w:pPr>
      <w:r w:rsidRPr="009363C6">
        <w:rPr>
          <w:sz w:val="96"/>
          <w:szCs w:val="96"/>
        </w:rPr>
        <w:t>Rapport TP6</w:t>
      </w:r>
    </w:p>
    <w:p w14:paraId="5F93669C" w14:textId="54E2A216" w:rsidR="00183419" w:rsidRPr="009363C6" w:rsidRDefault="00183419" w:rsidP="009363C6">
      <w:pPr>
        <w:pStyle w:val="Sous-titre"/>
        <w:jc w:val="center"/>
        <w:rPr>
          <w:sz w:val="28"/>
          <w:szCs w:val="28"/>
        </w:rPr>
      </w:pPr>
      <w:r w:rsidRPr="009363C6">
        <w:rPr>
          <w:sz w:val="28"/>
          <w:szCs w:val="28"/>
        </w:rPr>
        <w:t>La pendule inverse</w:t>
      </w:r>
    </w:p>
    <w:p w14:paraId="15711590" w14:textId="2E54FA8C" w:rsidR="009363C6" w:rsidRDefault="009363C6" w:rsidP="009363C6"/>
    <w:p w14:paraId="0D1CA068" w14:textId="77777777" w:rsidR="009363C6" w:rsidRPr="009363C6" w:rsidRDefault="009363C6" w:rsidP="009363C6"/>
    <w:sdt>
      <w:sdtPr>
        <w:rPr>
          <w:rFonts w:asciiTheme="minorHAnsi" w:eastAsiaTheme="minorEastAsia" w:hAnsiTheme="minorHAnsi" w:cstheme="minorHAnsi"/>
          <w:color w:val="auto"/>
          <w:sz w:val="22"/>
          <w:szCs w:val="22"/>
        </w:rPr>
        <w:id w:val="-1859732860"/>
        <w:docPartObj>
          <w:docPartGallery w:val="Table of Contents"/>
          <w:docPartUnique/>
        </w:docPartObj>
      </w:sdtPr>
      <w:sdtEndPr/>
      <w:sdtContent>
        <w:p w14:paraId="403102DE" w14:textId="3723E17F" w:rsidR="00183419" w:rsidRDefault="00183419" w:rsidP="00B05508">
          <w:pPr>
            <w:pStyle w:val="En-ttedetabledesmatires"/>
          </w:pPr>
          <w:r>
            <w:t>Table des matières</w:t>
          </w:r>
        </w:p>
        <w:p w14:paraId="4030E87C" w14:textId="3E56F7E2" w:rsidR="00272D97" w:rsidRDefault="00183419">
          <w:pPr>
            <w:pStyle w:val="TM1"/>
            <w:tabs>
              <w:tab w:val="right" w:pos="9736"/>
            </w:tabs>
            <w:rPr>
              <w:rFonts w:cstheme="minorBidi"/>
              <w:noProof/>
            </w:rPr>
          </w:pPr>
          <w:r>
            <w:fldChar w:fldCharType="begin"/>
          </w:r>
          <w:r w:rsidRPr="00183419">
            <w:instrText xml:space="preserve"> TOC \o "1-3" \h \z \u </w:instrText>
          </w:r>
          <w:r>
            <w:fldChar w:fldCharType="separate"/>
          </w:r>
          <w:hyperlink w:anchor="_Toc153659750" w:history="1">
            <w:r w:rsidR="00272D97" w:rsidRPr="006C5E09">
              <w:rPr>
                <w:rStyle w:val="Lienhypertexte"/>
                <w:noProof/>
              </w:rPr>
              <w:t>Stabilité</w:t>
            </w:r>
            <w:r w:rsidR="00272D97">
              <w:rPr>
                <w:noProof/>
                <w:webHidden/>
              </w:rPr>
              <w:tab/>
            </w:r>
            <w:r w:rsidR="00272D97">
              <w:rPr>
                <w:noProof/>
                <w:webHidden/>
              </w:rPr>
              <w:fldChar w:fldCharType="begin"/>
            </w:r>
            <w:r w:rsidR="00272D97">
              <w:rPr>
                <w:noProof/>
                <w:webHidden/>
              </w:rPr>
              <w:instrText xml:space="preserve"> PAGEREF _Toc153659750 \h </w:instrText>
            </w:r>
            <w:r w:rsidR="00272D97">
              <w:rPr>
                <w:noProof/>
                <w:webHidden/>
              </w:rPr>
            </w:r>
            <w:r w:rsidR="00272D97">
              <w:rPr>
                <w:noProof/>
                <w:webHidden/>
              </w:rPr>
              <w:fldChar w:fldCharType="separate"/>
            </w:r>
            <w:r w:rsidR="00272D97">
              <w:rPr>
                <w:noProof/>
                <w:webHidden/>
              </w:rPr>
              <w:t>2</w:t>
            </w:r>
            <w:r w:rsidR="00272D97">
              <w:rPr>
                <w:noProof/>
                <w:webHidden/>
              </w:rPr>
              <w:fldChar w:fldCharType="end"/>
            </w:r>
          </w:hyperlink>
        </w:p>
        <w:p w14:paraId="2F53B337" w14:textId="76C7DF76" w:rsidR="00272D97" w:rsidRDefault="00272D97">
          <w:pPr>
            <w:pStyle w:val="TM1"/>
            <w:tabs>
              <w:tab w:val="right" w:pos="9736"/>
            </w:tabs>
            <w:rPr>
              <w:rFonts w:cstheme="minorBidi"/>
              <w:noProof/>
            </w:rPr>
          </w:pPr>
          <w:hyperlink w:anchor="_Toc153659751" w:history="1">
            <w:r w:rsidRPr="006C5E09">
              <w:rPr>
                <w:rStyle w:val="Lienhypertexte"/>
                <w:noProof/>
              </w:rPr>
              <w:t>Commandabilité &amp; Observabilité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_Toc153659751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F1A79" w14:textId="36083690" w:rsidR="00272D97" w:rsidRDefault="00272D97">
          <w:pPr>
            <w:pStyle w:val="TM1"/>
            <w:tabs>
              <w:tab w:val="right" w:pos="9736"/>
            </w:tabs>
            <w:rPr>
              <w:rFonts w:cstheme="minorBidi"/>
              <w:noProof/>
            </w:rPr>
          </w:pPr>
          <w:hyperlink w:anchor="_Toc153659752" w:history="1">
            <w:r w:rsidRPr="006C5E09">
              <w:rPr>
                <w:rStyle w:val="Lienhypertexte"/>
                <w:noProof/>
              </w:rPr>
              <w:t>Représentation d’état du système augmenté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_Toc153659752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77777" w14:textId="597E02BC" w:rsidR="00272D97" w:rsidRDefault="00272D97">
          <w:pPr>
            <w:pStyle w:val="TM1"/>
            <w:tabs>
              <w:tab w:val="right" w:pos="9736"/>
            </w:tabs>
            <w:rPr>
              <w:rFonts w:cstheme="minorBidi"/>
              <w:noProof/>
            </w:rPr>
          </w:pPr>
          <w:hyperlink w:anchor="_Toc153659753" w:history="1">
            <w:r w:rsidRPr="006C5E09">
              <w:rPr>
                <w:rStyle w:val="Lienhypertexte"/>
                <w:noProof/>
              </w:rPr>
              <w:t>Pôles de l’observateur de Kalman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_Toc153659753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ECC19" w14:textId="5BA834F8" w:rsidR="00272D97" w:rsidRDefault="00272D97">
          <w:pPr>
            <w:pStyle w:val="TM1"/>
            <w:tabs>
              <w:tab w:val="right" w:pos="9736"/>
            </w:tabs>
            <w:rPr>
              <w:rFonts w:cstheme="minorBidi"/>
              <w:noProof/>
            </w:rPr>
          </w:pPr>
          <w:hyperlink w:anchor="_Toc153659754" w:history="1">
            <w:r w:rsidRPr="006C5E09">
              <w:rPr>
                <w:rStyle w:val="Lienhypertexte"/>
                <w:noProof/>
              </w:rPr>
              <w:t>La matrice de gain de l’observateur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_Toc153659754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8B9F1" w14:textId="5B7EBF45" w:rsidR="00272D97" w:rsidRDefault="00272D97">
          <w:pPr>
            <w:pStyle w:val="TM1"/>
            <w:tabs>
              <w:tab w:val="right" w:pos="9736"/>
            </w:tabs>
            <w:rPr>
              <w:rFonts w:cstheme="minorBidi"/>
              <w:noProof/>
            </w:rPr>
          </w:pPr>
          <w:hyperlink w:anchor="_Toc153659755" w:history="1">
            <w:r w:rsidRPr="006C5E09">
              <w:rPr>
                <w:rStyle w:val="Lienhypertexte"/>
                <w:noProof/>
              </w:rPr>
              <w:t>La matrice 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_Toc153659755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22ABE" w14:textId="4F3FF192" w:rsidR="00272D97" w:rsidRDefault="00272D97">
          <w:pPr>
            <w:pStyle w:val="TM1"/>
            <w:tabs>
              <w:tab w:val="right" w:pos="9736"/>
            </w:tabs>
            <w:rPr>
              <w:rFonts w:cstheme="minorBidi"/>
              <w:noProof/>
            </w:rPr>
          </w:pPr>
          <w:hyperlink w:anchor="_Toc153659756" w:history="1">
            <w:r w:rsidRPr="006C5E09">
              <w:rPr>
                <w:rStyle w:val="Lienhypertexte"/>
                <w:noProof/>
              </w:rPr>
              <w:t>Observation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_Toc153659756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E8CD9" w14:textId="5E9CF0F9" w:rsidR="00272D97" w:rsidRDefault="00272D97">
          <w:pPr>
            <w:pStyle w:val="TM1"/>
            <w:tabs>
              <w:tab w:val="right" w:pos="9736"/>
            </w:tabs>
            <w:rPr>
              <w:rFonts w:cstheme="minorBidi"/>
              <w:noProof/>
            </w:rPr>
          </w:pPr>
          <w:hyperlink w:anchor="_Toc153659757" w:history="1">
            <w:r w:rsidRPr="006C5E09">
              <w:rPr>
                <w:rStyle w:val="Lienhypertexte"/>
                <w:noProof/>
              </w:rPr>
              <w:t>Simulation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_Toc153659757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7C8C1" w14:textId="7FBE21CB" w:rsidR="00183419" w:rsidRPr="00183419" w:rsidRDefault="00183419" w:rsidP="00B05508">
          <w:r>
            <w:fldChar w:fldCharType="end"/>
          </w:r>
        </w:p>
      </w:sdtContent>
    </w:sdt>
    <w:p w14:paraId="294DF67F" w14:textId="2EF63DBB" w:rsidR="00183419" w:rsidRDefault="00183419" w:rsidP="00B05508">
      <w:r>
        <w:br w:type="page"/>
      </w:r>
    </w:p>
    <w:p w14:paraId="762D0257" w14:textId="395A18D4" w:rsidR="0014182C" w:rsidRDefault="00183419" w:rsidP="00B05508">
      <w:pPr>
        <w:pStyle w:val="Titre1"/>
      </w:pPr>
      <w:bookmarkStart w:id="0" w:name="_Toc153659750"/>
      <w:r>
        <w:lastRenderedPageBreak/>
        <w:t>Stabilité</w:t>
      </w:r>
      <w:bookmarkEnd w:id="0"/>
    </w:p>
    <w:p w14:paraId="507744F2" w14:textId="2417BBBC" w:rsidR="0014182C" w:rsidRPr="0014182C" w:rsidRDefault="0014182C" w:rsidP="00327E4A">
      <w:pPr>
        <w:spacing w:after="0"/>
      </w:pPr>
      <w:r w:rsidRPr="0014182C">
        <w:t>En calculant les pôles de la fonction de transfert de la pendule inverse, on conclut que le système est instable : un des pôles est négatif.</w:t>
      </w:r>
    </w:p>
    <w:p w14:paraId="3D89D1B2" w14:textId="50C8D401" w:rsidR="0014182C" w:rsidRDefault="0014182C" w:rsidP="00B05508">
      <w:r w:rsidRPr="0014182C">
        <w:t>De plus, si l’on trace la réponse du système à une marche, alors on peut voir que le système n’est pas stable.</w:t>
      </w:r>
    </w:p>
    <w:p w14:paraId="67B88F57" w14:textId="5CB2F4D3" w:rsidR="00327E4A" w:rsidRDefault="00327E4A" w:rsidP="00B05508">
      <w:r>
        <w:t>Dans mon programme, la fonction ss2tf n’a pas fonctionné. J’ai également essayé de plot le système, mais encore une fois, cela n’a pas marché.</w:t>
      </w:r>
    </w:p>
    <w:p w14:paraId="586737EA" w14:textId="77777777" w:rsidR="00327E4A" w:rsidRDefault="00327E4A" w:rsidP="00B05508"/>
    <w:p w14:paraId="5ACBEC2E" w14:textId="4EBFB7E1" w:rsidR="0014182C" w:rsidRDefault="0014182C" w:rsidP="00B05508">
      <w:pPr>
        <w:pStyle w:val="Titre1"/>
      </w:pPr>
      <w:bookmarkStart w:id="1" w:name="_Toc153659751"/>
      <w:r>
        <w:t>Commandabilité &amp; Observabilité</w:t>
      </w:r>
      <w:bookmarkEnd w:id="1"/>
    </w:p>
    <w:p w14:paraId="2BFE1725" w14:textId="023B7F5B" w:rsidR="0014182C" w:rsidRPr="00B05508" w:rsidRDefault="0014182C" w:rsidP="00B05508">
      <w:r w:rsidRPr="00B05508">
        <w:t xml:space="preserve">En utilisant la fonction </w:t>
      </w:r>
      <w:proofErr w:type="spellStart"/>
      <w:r w:rsidRPr="00B05508">
        <w:rPr>
          <w:b/>
          <w:bCs/>
          <w:i/>
          <w:iCs/>
        </w:rPr>
        <w:t>ctrb</w:t>
      </w:r>
      <w:proofErr w:type="spellEnd"/>
      <w:r w:rsidRPr="00B05508">
        <w:rPr>
          <w:b/>
          <w:bCs/>
          <w:i/>
          <w:iCs/>
        </w:rPr>
        <w:t xml:space="preserve"> </w:t>
      </w:r>
      <w:r w:rsidRPr="00B05508">
        <w:t xml:space="preserve">de python, on obtient </w:t>
      </w:r>
      <w:r w:rsidR="00B05508" w:rsidRPr="00B05508">
        <w:t>-43.92 : ce résultat est différent de 0 donc le système est commandable.</w:t>
      </w:r>
    </w:p>
    <w:p w14:paraId="3F9183BA" w14:textId="3088FBF9" w:rsidR="00B05508" w:rsidRPr="00B05508" w:rsidRDefault="00B05508" w:rsidP="00B05508">
      <w:r w:rsidRPr="00B05508">
        <w:t xml:space="preserve">Pour ce qui est de l’observabilité, on utilise la fonction </w:t>
      </w:r>
      <w:proofErr w:type="spellStart"/>
      <w:r w:rsidRPr="00327E4A">
        <w:rPr>
          <w:b/>
          <w:bCs/>
          <w:i/>
          <w:iCs/>
        </w:rPr>
        <w:t>obsv</w:t>
      </w:r>
      <w:proofErr w:type="spellEnd"/>
      <w:r w:rsidRPr="00B05508">
        <w:t xml:space="preserve"> qui nous donne le rang de la matrice d’observabilité : pour ce système, </w:t>
      </w:r>
      <w:r w:rsidR="00327E4A">
        <w:t>le rang</w:t>
      </w:r>
      <w:r w:rsidRPr="00B05508">
        <w:t xml:space="preserve"> est égal à 4, ce qui nous permet de dire que le système est observable puisque le rang de la matrice d’observabilité est égal au rang de la matrice A.</w:t>
      </w:r>
    </w:p>
    <w:p w14:paraId="5B8F58BA" w14:textId="254BBEAC" w:rsidR="00B05508" w:rsidRDefault="00B05508" w:rsidP="00B05508"/>
    <w:p w14:paraId="65DEA3EC" w14:textId="66B535CE" w:rsidR="00B05508" w:rsidRDefault="00B05508" w:rsidP="00B05508">
      <w:pPr>
        <w:pStyle w:val="Titre1"/>
      </w:pPr>
      <w:bookmarkStart w:id="2" w:name="_Toc153659752"/>
      <w:r>
        <w:t>Représentation d’état du système augmenté</w:t>
      </w:r>
      <w:bookmarkEnd w:id="2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7949F4" w14:paraId="7492D8C8" w14:textId="77777777" w:rsidTr="007949F4">
        <w:tc>
          <w:tcPr>
            <w:tcW w:w="4531" w:type="dxa"/>
            <w:vAlign w:val="center"/>
          </w:tcPr>
          <w:p w14:paraId="2132A47D" w14:textId="7A7E8175" w:rsidR="007949F4" w:rsidRDefault="00BD3F93" w:rsidP="007949F4">
            <w:pPr>
              <w:jc w:val="center"/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-0.449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-1.84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2.85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-3</m:t>
                              </m:r>
                            </m:sup>
                          </m:sSup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-0.293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10.9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1.96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-6.94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-2</m:t>
                              </m:r>
                            </m:sup>
                          </m:sSup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0.316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4531" w:type="dxa"/>
            <w:vAlign w:val="center"/>
          </w:tcPr>
          <w:p w14:paraId="2EDD22F5" w14:textId="027F189E" w:rsidR="007949F4" w:rsidRDefault="00BD3F93" w:rsidP="007949F4">
            <w:pPr>
              <w:jc w:val="center"/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0.77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-0.82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7949F4" w14:paraId="79B7F0D2" w14:textId="77777777" w:rsidTr="007949F4">
        <w:tc>
          <w:tcPr>
            <w:tcW w:w="4531" w:type="dxa"/>
            <w:vAlign w:val="center"/>
          </w:tcPr>
          <w:p w14:paraId="4093714F" w14:textId="46D61173" w:rsidR="007949F4" w:rsidRDefault="00BD3F93" w:rsidP="007949F4">
            <w:pPr>
              <w:jc w:val="center"/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014.9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-52.27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-7.64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4531" w:type="dxa"/>
            <w:vAlign w:val="center"/>
          </w:tcPr>
          <w:p w14:paraId="736EB8E4" w14:textId="0F262E97" w:rsidR="007949F4" w:rsidRDefault="00BD3F93" w:rsidP="007949F4">
            <w:pPr>
              <w:jc w:val="center"/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50DE0FDA" w14:textId="77777777" w:rsidR="007949F4" w:rsidRPr="007949F4" w:rsidRDefault="007949F4" w:rsidP="007949F4"/>
    <w:p w14:paraId="6DE4A5BD" w14:textId="3F53332B" w:rsidR="00B05508" w:rsidRPr="007A2A9B" w:rsidRDefault="006D0311" w:rsidP="006D0311">
      <w:pPr>
        <w:pStyle w:val="Titre1"/>
      </w:pPr>
      <w:bookmarkStart w:id="3" w:name="_Toc153659753"/>
      <w:r>
        <w:t xml:space="preserve">Pôles de l’observateur de </w:t>
      </w:r>
      <w:proofErr w:type="spellStart"/>
      <w:r>
        <w:t>Kalman</w:t>
      </w:r>
      <w:bookmarkEnd w:id="3"/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6D0311" w14:paraId="7BE4D6F2" w14:textId="77777777" w:rsidTr="006D0311">
        <w:tc>
          <w:tcPr>
            <w:tcW w:w="1812" w:type="dxa"/>
          </w:tcPr>
          <w:p w14:paraId="24A8119B" w14:textId="3D5152BB" w:rsidR="006D0311" w:rsidRDefault="00BD3F93" w:rsidP="00C12E4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1d</m:t>
                    </m:r>
                  </m:sub>
                </m:sSub>
              </m:oMath>
            </m:oMathPara>
          </w:p>
        </w:tc>
        <w:tc>
          <w:tcPr>
            <w:tcW w:w="1812" w:type="dxa"/>
          </w:tcPr>
          <w:p w14:paraId="5EB81A68" w14:textId="4956C50B" w:rsidR="006D0311" w:rsidRDefault="00BD3F93" w:rsidP="00C12E4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2d</m:t>
                    </m:r>
                  </m:sub>
                </m:sSub>
              </m:oMath>
            </m:oMathPara>
          </w:p>
        </w:tc>
        <w:tc>
          <w:tcPr>
            <w:tcW w:w="1812" w:type="dxa"/>
          </w:tcPr>
          <w:p w14:paraId="57DA0356" w14:textId="377AA0CB" w:rsidR="006D0311" w:rsidRDefault="00BD3F93" w:rsidP="00C12E4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3d</m:t>
                    </m:r>
                  </m:sub>
                </m:sSub>
              </m:oMath>
            </m:oMathPara>
          </w:p>
        </w:tc>
        <w:tc>
          <w:tcPr>
            <w:tcW w:w="1813" w:type="dxa"/>
          </w:tcPr>
          <w:p w14:paraId="61BEE83C" w14:textId="052C55A7" w:rsidR="006D0311" w:rsidRDefault="00BD3F93" w:rsidP="00C12E4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4d</m:t>
                    </m:r>
                  </m:sub>
                </m:sSub>
              </m:oMath>
            </m:oMathPara>
          </w:p>
        </w:tc>
        <w:tc>
          <w:tcPr>
            <w:tcW w:w="1813" w:type="dxa"/>
          </w:tcPr>
          <w:p w14:paraId="73E03882" w14:textId="482EDDE3" w:rsidR="006D0311" w:rsidRDefault="00BD3F93" w:rsidP="00C12E4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5d</m:t>
                    </m:r>
                  </m:sub>
                </m:sSub>
              </m:oMath>
            </m:oMathPara>
          </w:p>
        </w:tc>
      </w:tr>
      <w:tr w:rsidR="006D0311" w14:paraId="679439A4" w14:textId="77777777" w:rsidTr="006D0311">
        <w:tc>
          <w:tcPr>
            <w:tcW w:w="1812" w:type="dxa"/>
          </w:tcPr>
          <w:p w14:paraId="33B0EF36" w14:textId="306A1115" w:rsidR="006D0311" w:rsidRDefault="00C12E4F" w:rsidP="00C12E4F">
            <w:pPr>
              <w:jc w:val="center"/>
            </w:pPr>
            <w:r>
              <w:t>0.9801</w:t>
            </w:r>
          </w:p>
        </w:tc>
        <w:tc>
          <w:tcPr>
            <w:tcW w:w="1812" w:type="dxa"/>
          </w:tcPr>
          <w:p w14:paraId="25D5A956" w14:textId="7A106DAE" w:rsidR="006D0311" w:rsidRDefault="00C12E4F" w:rsidP="00C12E4F">
            <w:pPr>
              <w:jc w:val="center"/>
            </w:pPr>
            <w:r>
              <w:t>0.9811</w:t>
            </w:r>
          </w:p>
        </w:tc>
        <w:tc>
          <w:tcPr>
            <w:tcW w:w="1812" w:type="dxa"/>
          </w:tcPr>
          <w:p w14:paraId="10CDFCFF" w14:textId="58372553" w:rsidR="006D0311" w:rsidRDefault="00C12E4F" w:rsidP="00C12E4F">
            <w:pPr>
              <w:jc w:val="center"/>
            </w:pPr>
            <w:r>
              <w:t>0.9821</w:t>
            </w:r>
          </w:p>
        </w:tc>
        <w:tc>
          <w:tcPr>
            <w:tcW w:w="1813" w:type="dxa"/>
          </w:tcPr>
          <w:p w14:paraId="496F7151" w14:textId="59E9A277" w:rsidR="006D0311" w:rsidRDefault="00C12E4F" w:rsidP="00C12E4F">
            <w:pPr>
              <w:jc w:val="center"/>
            </w:pPr>
            <w:r>
              <w:t>0.9831</w:t>
            </w:r>
          </w:p>
        </w:tc>
        <w:tc>
          <w:tcPr>
            <w:tcW w:w="1813" w:type="dxa"/>
          </w:tcPr>
          <w:p w14:paraId="535B107C" w14:textId="01D2ACF8" w:rsidR="006D0311" w:rsidRDefault="00C12E4F" w:rsidP="00C12E4F">
            <w:pPr>
              <w:jc w:val="center"/>
            </w:pPr>
            <w:r>
              <w:t>0.9792</w:t>
            </w:r>
          </w:p>
        </w:tc>
      </w:tr>
    </w:tbl>
    <w:p w14:paraId="633C5A40" w14:textId="22089DA0" w:rsidR="007A2A9B" w:rsidRDefault="007A2A9B" w:rsidP="00B05508"/>
    <w:p w14:paraId="3F93C49D" w14:textId="51D2941B" w:rsidR="00C12E4F" w:rsidRDefault="009363C6" w:rsidP="00C12E4F">
      <w:pPr>
        <w:pStyle w:val="Titre1"/>
      </w:pPr>
      <w:bookmarkStart w:id="4" w:name="_Toc153659754"/>
      <w:r>
        <w:t>La matrice de gain de l’observateur</w:t>
      </w:r>
      <w:bookmarkEnd w:id="4"/>
    </w:p>
    <w:p w14:paraId="1688B065" w14:textId="4B4CF630" w:rsidR="009363C6" w:rsidRDefault="00BD3F93" w:rsidP="009363C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1.26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1.17e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-8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-1.32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3.57e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-7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-7.13e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2.63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7.55e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-7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2.59e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-5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-4.73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5.81e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-6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-6.8e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7.32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-4.74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-5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-1.16e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1.59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e>
                </m:mr>
              </m:m>
            </m:e>
          </m:d>
        </m:oMath>
      </m:oMathPara>
    </w:p>
    <w:p w14:paraId="6E7560C8" w14:textId="0DC284F3" w:rsidR="00327E4A" w:rsidRDefault="00327E4A" w:rsidP="00327E4A">
      <w:pPr>
        <w:pStyle w:val="Titre1"/>
      </w:pPr>
      <w:bookmarkStart w:id="5" w:name="_Toc153659755"/>
      <w:r>
        <w:lastRenderedPageBreak/>
        <w:t>La matrice K</w:t>
      </w:r>
      <w:bookmarkEnd w:id="5"/>
    </w:p>
    <w:p w14:paraId="60E7F980" w14:textId="31479136" w:rsidR="00041B3E" w:rsidRPr="00921F46" w:rsidRDefault="00041B3E" w:rsidP="00041B3E">
      <m:oMathPara>
        <m:oMath>
          <m:r>
            <w:rPr>
              <w:rFonts w:ascii="Cambria Math" w:hAnsi="Cambria Math"/>
            </w:rPr>
            <m:t>K=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-44.29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-201.3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-44.76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-64.44</m:t>
                    </m:r>
                  </m:e>
                </m:mr>
              </m:m>
            </m:e>
          </m:d>
        </m:oMath>
      </m:oMathPara>
    </w:p>
    <w:p w14:paraId="219A9EAF" w14:textId="77777777" w:rsidR="00921F46" w:rsidRDefault="00921F46" w:rsidP="00041B3E"/>
    <w:p w14:paraId="09F47701" w14:textId="00E93EF2" w:rsidR="00327E4A" w:rsidRDefault="00327E4A" w:rsidP="00327E4A">
      <w:pPr>
        <w:pStyle w:val="Titre1"/>
      </w:pPr>
      <w:bookmarkStart w:id="6" w:name="_Toc153659756"/>
      <w:r>
        <w:t>Observation du système</w:t>
      </w:r>
      <w:bookmarkEnd w:id="6"/>
    </w:p>
    <w:p w14:paraId="3AF53AB9" w14:textId="093D131D" w:rsidR="00921F46" w:rsidRDefault="00E31D57" w:rsidP="00921F46">
      <w:pPr>
        <w:jc w:val="center"/>
      </w:pPr>
      <w:r>
        <w:rPr>
          <w:noProof/>
        </w:rPr>
        <w:drawing>
          <wp:inline distT="0" distB="0" distL="0" distR="0" wp14:anchorId="1DC0D9CE" wp14:editId="130F6F4A">
            <wp:extent cx="3260646" cy="24480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646" cy="24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A9970" w14:textId="77777777" w:rsidR="00921F46" w:rsidRDefault="00E31D57" w:rsidP="00921F46">
      <w:pPr>
        <w:jc w:val="center"/>
      </w:pPr>
      <w:r>
        <w:rPr>
          <w:noProof/>
        </w:rPr>
        <w:drawing>
          <wp:inline distT="0" distB="0" distL="0" distR="0" wp14:anchorId="0A707002" wp14:editId="2B867929">
            <wp:extent cx="3260646" cy="24480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646" cy="24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19DA5" w14:textId="6CDAB18F" w:rsidR="00327E4A" w:rsidRDefault="00E31D57" w:rsidP="00921F46">
      <w:pPr>
        <w:jc w:val="center"/>
      </w:pPr>
      <w:r>
        <w:rPr>
          <w:noProof/>
        </w:rPr>
        <w:drawing>
          <wp:inline distT="0" distB="0" distL="0" distR="0" wp14:anchorId="1685AABC" wp14:editId="79CAB1B6">
            <wp:extent cx="3260646" cy="2448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646" cy="24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48B05" w14:textId="36682BFF" w:rsidR="00327E4A" w:rsidRDefault="00327E4A" w:rsidP="00327E4A">
      <w:pPr>
        <w:pStyle w:val="Titre1"/>
      </w:pPr>
      <w:bookmarkStart w:id="7" w:name="_Toc153659757"/>
      <w:r>
        <w:lastRenderedPageBreak/>
        <w:t>Simulation du système</w:t>
      </w:r>
      <w:bookmarkEnd w:id="7"/>
    </w:p>
    <w:p w14:paraId="7D003568" w14:textId="03FADDA5" w:rsidR="00AA5A6C" w:rsidRPr="00E31D57" w:rsidRDefault="00AA5A6C" w:rsidP="00E31D57">
      <w:r>
        <w:t>Le format PDF ne supporte pas les fichiers animés (GIF ou MP4). Vous trouverez donc un gif de la simulation.</w:t>
      </w:r>
    </w:p>
    <w:sectPr w:rsidR="00AA5A6C" w:rsidRPr="00E31D57" w:rsidSect="00921F46"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A5055" w14:textId="77777777" w:rsidR="00BD3F93" w:rsidRDefault="00BD3F93" w:rsidP="009363C6">
      <w:pPr>
        <w:spacing w:after="0" w:line="240" w:lineRule="auto"/>
      </w:pPr>
      <w:r>
        <w:separator/>
      </w:r>
    </w:p>
  </w:endnote>
  <w:endnote w:type="continuationSeparator" w:id="0">
    <w:p w14:paraId="26CE5981" w14:textId="77777777" w:rsidR="00BD3F93" w:rsidRDefault="00BD3F93" w:rsidP="00936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have">
    <w:panose1 w:val="00000000000000000000"/>
    <w:charset w:val="00"/>
    <w:family w:val="modern"/>
    <w:notTrueType/>
    <w:pitch w:val="variable"/>
    <w:sig w:usb0="A00000A7" w:usb1="0000004A" w:usb2="00000000" w:usb3="00000000" w:csb0="0000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3053128"/>
      <w:docPartObj>
        <w:docPartGallery w:val="Page Numbers (Bottom of Page)"/>
        <w:docPartUnique/>
      </w:docPartObj>
    </w:sdtPr>
    <w:sdtEndPr/>
    <w:sdtContent>
      <w:p w14:paraId="2DE0D2FE" w14:textId="365196F2" w:rsidR="009363C6" w:rsidRDefault="009363C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B366F0" w14:textId="77777777" w:rsidR="009363C6" w:rsidRDefault="009363C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195543"/>
      <w:docPartObj>
        <w:docPartGallery w:val="Page Numbers (Bottom of Page)"/>
        <w:docPartUnique/>
      </w:docPartObj>
    </w:sdtPr>
    <w:sdtEndPr/>
    <w:sdtContent>
      <w:p w14:paraId="56536B99" w14:textId="1F0F2716" w:rsidR="009363C6" w:rsidRDefault="00BD3F93">
        <w:pPr>
          <w:pStyle w:val="Pieddepage"/>
          <w:jc w:val="right"/>
        </w:pPr>
      </w:p>
    </w:sdtContent>
  </w:sdt>
  <w:p w14:paraId="7B3BC0DF" w14:textId="77777777" w:rsidR="009363C6" w:rsidRDefault="009363C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0869C" w14:textId="77777777" w:rsidR="00BD3F93" w:rsidRDefault="00BD3F93" w:rsidP="009363C6">
      <w:pPr>
        <w:spacing w:after="0" w:line="240" w:lineRule="auto"/>
      </w:pPr>
      <w:r>
        <w:separator/>
      </w:r>
    </w:p>
  </w:footnote>
  <w:footnote w:type="continuationSeparator" w:id="0">
    <w:p w14:paraId="53F3187D" w14:textId="77777777" w:rsidR="00BD3F93" w:rsidRDefault="00BD3F93" w:rsidP="009363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912E1" w14:textId="51B35191" w:rsidR="009363C6" w:rsidRDefault="009363C6">
    <w:pPr>
      <w:pStyle w:val="En-tte"/>
    </w:pPr>
    <w:r>
      <w:t>Martelet Curtis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A3522C"/>
    <w:multiLevelType w:val="hybridMultilevel"/>
    <w:tmpl w:val="387693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19"/>
    <w:rsid w:val="00041B3E"/>
    <w:rsid w:val="0014182C"/>
    <w:rsid w:val="00161D5C"/>
    <w:rsid w:val="00183419"/>
    <w:rsid w:val="0025354C"/>
    <w:rsid w:val="00272D97"/>
    <w:rsid w:val="00327E4A"/>
    <w:rsid w:val="006D0311"/>
    <w:rsid w:val="00743BBC"/>
    <w:rsid w:val="007949F4"/>
    <w:rsid w:val="007A2A9B"/>
    <w:rsid w:val="008C5738"/>
    <w:rsid w:val="008F69E8"/>
    <w:rsid w:val="00921F46"/>
    <w:rsid w:val="009363C6"/>
    <w:rsid w:val="009A25D8"/>
    <w:rsid w:val="00AA5A6C"/>
    <w:rsid w:val="00B05508"/>
    <w:rsid w:val="00B670CD"/>
    <w:rsid w:val="00BD3F93"/>
    <w:rsid w:val="00C12E4F"/>
    <w:rsid w:val="00D6278B"/>
    <w:rsid w:val="00D720F6"/>
    <w:rsid w:val="00E31D57"/>
    <w:rsid w:val="00E5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1B79F"/>
  <w15:chartTrackingRefBased/>
  <w15:docId w15:val="{B363D7DD-6786-42E8-961E-4971F669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B3E"/>
    <w:pPr>
      <w:tabs>
        <w:tab w:val="left" w:pos="425"/>
      </w:tabs>
      <w:suppressAutoHyphens/>
      <w:spacing w:after="120" w:line="300" w:lineRule="auto"/>
      <w:jc w:val="both"/>
    </w:pPr>
    <w:rPr>
      <w:rFonts w:cstheme="minorHAnsi"/>
    </w:rPr>
  </w:style>
  <w:style w:type="paragraph" w:styleId="Titre1">
    <w:name w:val="heading 1"/>
    <w:basedOn w:val="Normal"/>
    <w:next w:val="Normal"/>
    <w:link w:val="Titre1Car"/>
    <w:uiPriority w:val="9"/>
    <w:qFormat/>
    <w:rsid w:val="001834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next w:val="Normal"/>
    <w:link w:val="Titre2Car"/>
    <w:uiPriority w:val="9"/>
    <w:unhideWhenUsed/>
    <w:qFormat/>
    <w:rsid w:val="00161D5C"/>
    <w:pPr>
      <w:keepNext/>
      <w:keepLines/>
      <w:spacing w:before="40" w:after="40"/>
      <w:outlineLvl w:val="1"/>
    </w:pPr>
    <w:rPr>
      <w:rFonts w:ascii="Mohave" w:eastAsiaTheme="majorEastAsia" w:hAnsi="Mohave" w:cstheme="majorBidi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61D5C"/>
    <w:rPr>
      <w:rFonts w:ascii="Mohave" w:eastAsiaTheme="majorEastAsia" w:hAnsi="Mohave" w:cstheme="majorBidi"/>
      <w:sz w:val="26"/>
      <w:szCs w:val="26"/>
    </w:rPr>
  </w:style>
  <w:style w:type="paragraph" w:styleId="Sansinterligne">
    <w:name w:val="No Spacing"/>
    <w:uiPriority w:val="1"/>
    <w:qFormat/>
    <w:rsid w:val="00161D5C"/>
    <w:pPr>
      <w:tabs>
        <w:tab w:val="left" w:pos="709"/>
      </w:tabs>
      <w:spacing w:after="0" w:line="240" w:lineRule="auto"/>
      <w:jc w:val="center"/>
    </w:pPr>
  </w:style>
  <w:style w:type="paragraph" w:styleId="TM4">
    <w:name w:val="toc 4"/>
    <w:basedOn w:val="Normal"/>
    <w:next w:val="Normal"/>
    <w:autoRedefine/>
    <w:uiPriority w:val="39"/>
    <w:unhideWhenUsed/>
    <w:rsid w:val="00743BBC"/>
    <w:pPr>
      <w:tabs>
        <w:tab w:val="clear" w:pos="425"/>
      </w:tabs>
      <w:suppressAutoHyphens w:val="0"/>
      <w:spacing w:after="100"/>
      <w:ind w:left="1134"/>
      <w:jc w:val="left"/>
    </w:pPr>
    <w:rPr>
      <w:i/>
    </w:rPr>
  </w:style>
  <w:style w:type="paragraph" w:styleId="Titre">
    <w:name w:val="Title"/>
    <w:basedOn w:val="Normal"/>
    <w:next w:val="Normal"/>
    <w:link w:val="TitreCar"/>
    <w:uiPriority w:val="10"/>
    <w:qFormat/>
    <w:rsid w:val="001834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341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3419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183419"/>
    <w:rPr>
      <w:color w:val="5A5A5A" w:themeColor="text1" w:themeTint="A5"/>
      <w:spacing w:val="15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1834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83419"/>
    <w:pPr>
      <w:tabs>
        <w:tab w:val="clear" w:pos="425"/>
      </w:tabs>
      <w:suppressAutoHyphens w:val="0"/>
      <w:spacing w:line="259" w:lineRule="auto"/>
      <w:jc w:val="left"/>
      <w:outlineLvl w:val="9"/>
    </w:pPr>
  </w:style>
  <w:style w:type="paragraph" w:styleId="Paragraphedeliste">
    <w:name w:val="List Paragraph"/>
    <w:basedOn w:val="Normal"/>
    <w:uiPriority w:val="34"/>
    <w:qFormat/>
    <w:rsid w:val="00183419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05508"/>
    <w:rPr>
      <w:color w:val="808080"/>
    </w:rPr>
  </w:style>
  <w:style w:type="table" w:styleId="Grilledutableau">
    <w:name w:val="Table Grid"/>
    <w:basedOn w:val="TableauNormal"/>
    <w:uiPriority w:val="39"/>
    <w:rsid w:val="00794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1">
    <w:name w:val="toc 1"/>
    <w:basedOn w:val="Normal"/>
    <w:next w:val="Normal"/>
    <w:autoRedefine/>
    <w:uiPriority w:val="39"/>
    <w:unhideWhenUsed/>
    <w:rsid w:val="009363C6"/>
    <w:pPr>
      <w:tabs>
        <w:tab w:val="clear" w:pos="425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9363C6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9363C6"/>
    <w:pPr>
      <w:tabs>
        <w:tab w:val="clear" w:pos="425"/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63C6"/>
    <w:rPr>
      <w:rFonts w:cstheme="minorHAnsi"/>
    </w:rPr>
  </w:style>
  <w:style w:type="paragraph" w:styleId="Pieddepage">
    <w:name w:val="footer"/>
    <w:basedOn w:val="Normal"/>
    <w:link w:val="PieddepageCar"/>
    <w:uiPriority w:val="99"/>
    <w:unhideWhenUsed/>
    <w:rsid w:val="009363C6"/>
    <w:pPr>
      <w:tabs>
        <w:tab w:val="clear" w:pos="425"/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63C6"/>
    <w:rPr>
      <w:rFonts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381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Gerier Kantique</dc:creator>
  <cp:keywords/>
  <dc:description/>
  <cp:lastModifiedBy>Gerier Kantique</cp:lastModifiedBy>
  <cp:revision>10</cp:revision>
  <cp:lastPrinted>2023-12-16T21:55:00Z</cp:lastPrinted>
  <dcterms:created xsi:type="dcterms:W3CDTF">2023-12-16T20:26:00Z</dcterms:created>
  <dcterms:modified xsi:type="dcterms:W3CDTF">2023-12-16T22:28:00Z</dcterms:modified>
</cp:coreProperties>
</file>