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9F990" w14:textId="77777777" w:rsidR="004106AC" w:rsidRPr="004106AC" w:rsidRDefault="004106AC" w:rsidP="004106AC">
      <w:pPr>
        <w:rPr>
          <w:b/>
          <w:bCs/>
        </w:rPr>
      </w:pPr>
      <w:r w:rsidRPr="004106AC">
        <w:rPr>
          <w:b/>
          <w:bCs/>
        </w:rPr>
        <w:t>HIPAA Risk Assessment Report</w:t>
      </w:r>
    </w:p>
    <w:p w14:paraId="719812CE" w14:textId="77777777" w:rsidR="004106AC" w:rsidRPr="004106AC" w:rsidRDefault="004106AC" w:rsidP="004106AC">
      <w:pPr>
        <w:rPr>
          <w:b/>
        </w:rPr>
      </w:pPr>
      <w:r w:rsidRPr="004106AC">
        <w:rPr>
          <w:b/>
          <w:bCs/>
        </w:rPr>
        <w:t>Prepared by:</w:t>
      </w:r>
      <w:r w:rsidRPr="004106AC">
        <w:rPr>
          <w:b/>
        </w:rPr>
        <w:t xml:space="preserve"> </w:t>
      </w:r>
      <w:proofErr w:type="spellStart"/>
      <w:r w:rsidRPr="004106AC">
        <w:rPr>
          <w:bCs/>
        </w:rPr>
        <w:t>Adefolaji</w:t>
      </w:r>
      <w:proofErr w:type="spellEnd"/>
      <w:r w:rsidRPr="004106AC">
        <w:rPr>
          <w:bCs/>
        </w:rPr>
        <w:t xml:space="preserve"> </w:t>
      </w:r>
      <w:proofErr w:type="spellStart"/>
      <w:r w:rsidRPr="004106AC">
        <w:rPr>
          <w:bCs/>
        </w:rPr>
        <w:t>Fasanya</w:t>
      </w:r>
      <w:proofErr w:type="spellEnd"/>
      <w:r w:rsidRPr="004106AC">
        <w:rPr>
          <w:b/>
        </w:rPr>
        <w:br/>
      </w:r>
      <w:r w:rsidRPr="004106AC">
        <w:rPr>
          <w:b/>
          <w:bCs/>
        </w:rPr>
        <w:t>Date:</w:t>
      </w:r>
      <w:r w:rsidRPr="004106AC">
        <w:rPr>
          <w:b/>
        </w:rPr>
        <w:t xml:space="preserve"> </w:t>
      </w:r>
      <w:r w:rsidRPr="004106AC">
        <w:rPr>
          <w:bCs/>
        </w:rPr>
        <w:t>04/16/2025</w:t>
      </w:r>
      <w:r w:rsidRPr="004106AC">
        <w:rPr>
          <w:b/>
        </w:rPr>
        <w:br/>
      </w:r>
      <w:r w:rsidRPr="004106AC">
        <w:rPr>
          <w:b/>
          <w:bCs/>
        </w:rPr>
        <w:t>Organization:</w:t>
      </w:r>
      <w:r w:rsidRPr="004106AC">
        <w:rPr>
          <w:b/>
        </w:rPr>
        <w:t xml:space="preserve"> </w:t>
      </w:r>
      <w:r w:rsidRPr="004106AC">
        <w:rPr>
          <w:bCs/>
        </w:rPr>
        <w:t>Harborview Medical Partners</w:t>
      </w:r>
    </w:p>
    <w:p w14:paraId="72164EA9" w14:textId="77777777" w:rsidR="004106AC" w:rsidRPr="004106AC" w:rsidRDefault="001B5AE7" w:rsidP="004106AC">
      <w:pPr>
        <w:rPr>
          <w:b/>
        </w:rPr>
      </w:pPr>
      <w:r>
        <w:rPr>
          <w:b/>
        </w:rPr>
        <w:pict w14:anchorId="54C24983">
          <v:rect id="_x0000_i1025" style="width:0;height:1.5pt" o:hralign="center" o:hrstd="t" o:hr="t" fillcolor="#a0a0a0" stroked="f"/>
        </w:pict>
      </w:r>
    </w:p>
    <w:p w14:paraId="5CD4A3E7" w14:textId="77777777" w:rsidR="004106AC" w:rsidRPr="004106AC" w:rsidRDefault="004106AC" w:rsidP="004106AC">
      <w:pPr>
        <w:rPr>
          <w:b/>
          <w:bCs/>
        </w:rPr>
      </w:pPr>
      <w:r w:rsidRPr="004106AC">
        <w:rPr>
          <w:b/>
          <w:bCs/>
        </w:rPr>
        <w:t>Executive Summary</w:t>
      </w:r>
    </w:p>
    <w:p w14:paraId="64A0AE28" w14:textId="77777777" w:rsidR="004106AC" w:rsidRPr="004106AC" w:rsidRDefault="004106AC" w:rsidP="004106AC">
      <w:pPr>
        <w:rPr>
          <w:bCs/>
        </w:rPr>
      </w:pPr>
      <w:r w:rsidRPr="004106AC">
        <w:rPr>
          <w:bCs/>
        </w:rPr>
        <w:t>This HIPAA Risk Assessment evaluates the risks and vulnerabilities affecting the confidentiality, integrity, and availability of electronic protected health information (ePHI) at Harborview Medical Partners, a multi-site healthcare provider serving over 15,000 patients annually in the Baltimore area. This assessment is conducted in accordance with the HIPAA Security Rule and is mapped to the NIST Cybersecurity Framework (CSF).</w:t>
      </w:r>
    </w:p>
    <w:p w14:paraId="03461B30" w14:textId="77777777" w:rsidR="004106AC" w:rsidRPr="004106AC" w:rsidRDefault="004106AC" w:rsidP="004106AC">
      <w:pPr>
        <w:rPr>
          <w:bCs/>
        </w:rPr>
      </w:pPr>
      <w:r w:rsidRPr="004106AC">
        <w:rPr>
          <w:bCs/>
        </w:rPr>
        <w:t>Despite the presence of several foundational security controls, significant gaps remain — particularly in areas involving user access, email security, third-party risk, and patch management. These weaknesses introduce regulatory, reputational, and operational risks that must be addressed urgently.</w:t>
      </w:r>
    </w:p>
    <w:p w14:paraId="338DAE12" w14:textId="77777777" w:rsidR="004106AC" w:rsidRPr="004106AC" w:rsidRDefault="001B5AE7" w:rsidP="004106AC">
      <w:pPr>
        <w:rPr>
          <w:b/>
        </w:rPr>
      </w:pPr>
      <w:r>
        <w:rPr>
          <w:b/>
        </w:rPr>
        <w:pict w14:anchorId="3C8B0FDD">
          <v:rect id="_x0000_i1026" style="width:0;height:1.5pt" o:hralign="center" o:hrstd="t" o:hr="t" fillcolor="#a0a0a0" stroked="f"/>
        </w:pict>
      </w:r>
    </w:p>
    <w:p w14:paraId="5D5BB3C5" w14:textId="77777777" w:rsidR="004106AC" w:rsidRPr="004106AC" w:rsidRDefault="004106AC" w:rsidP="004106AC">
      <w:pPr>
        <w:rPr>
          <w:b/>
          <w:bCs/>
        </w:rPr>
      </w:pPr>
      <w:r w:rsidRPr="004106AC">
        <w:rPr>
          <w:b/>
          <w:bCs/>
        </w:rPr>
        <w:t>Scope</w:t>
      </w:r>
    </w:p>
    <w:p w14:paraId="220C6522" w14:textId="77777777" w:rsidR="004106AC" w:rsidRPr="004106AC" w:rsidRDefault="004106AC" w:rsidP="004106AC">
      <w:pPr>
        <w:rPr>
          <w:bCs/>
        </w:rPr>
      </w:pPr>
      <w:r w:rsidRPr="004106AC">
        <w:rPr>
          <w:bCs/>
        </w:rPr>
        <w:t>This assessment covers Harborview’s key information systems and processes responsible for storing, transmitting, or processing ePHI, including:</w:t>
      </w:r>
    </w:p>
    <w:p w14:paraId="509097A7" w14:textId="77777777" w:rsidR="004106AC" w:rsidRPr="004106AC" w:rsidRDefault="004106AC" w:rsidP="004106AC">
      <w:pPr>
        <w:numPr>
          <w:ilvl w:val="0"/>
          <w:numId w:val="4"/>
        </w:numPr>
        <w:rPr>
          <w:bCs/>
        </w:rPr>
      </w:pPr>
      <w:r w:rsidRPr="004106AC">
        <w:rPr>
          <w:bCs/>
        </w:rPr>
        <w:t>Electronic Health Records (EHR) system (</w:t>
      </w:r>
      <w:proofErr w:type="spellStart"/>
      <w:r w:rsidRPr="004106AC">
        <w:rPr>
          <w:bCs/>
        </w:rPr>
        <w:t>MedSys</w:t>
      </w:r>
      <w:proofErr w:type="spellEnd"/>
      <w:r w:rsidRPr="004106AC">
        <w:rPr>
          <w:bCs/>
        </w:rPr>
        <w:t xml:space="preserve"> EMR)</w:t>
      </w:r>
    </w:p>
    <w:p w14:paraId="5616B463" w14:textId="77777777" w:rsidR="004106AC" w:rsidRPr="004106AC" w:rsidRDefault="004106AC" w:rsidP="004106AC">
      <w:pPr>
        <w:numPr>
          <w:ilvl w:val="0"/>
          <w:numId w:val="4"/>
        </w:numPr>
        <w:rPr>
          <w:bCs/>
        </w:rPr>
      </w:pPr>
      <w:r w:rsidRPr="004106AC">
        <w:rPr>
          <w:bCs/>
        </w:rPr>
        <w:t>Internal network infrastructure (LAN/WAN)</w:t>
      </w:r>
    </w:p>
    <w:p w14:paraId="4013282F" w14:textId="77777777" w:rsidR="004106AC" w:rsidRPr="004106AC" w:rsidRDefault="004106AC" w:rsidP="004106AC">
      <w:pPr>
        <w:numPr>
          <w:ilvl w:val="0"/>
          <w:numId w:val="4"/>
        </w:numPr>
        <w:rPr>
          <w:bCs/>
        </w:rPr>
      </w:pPr>
      <w:r w:rsidRPr="004106AC">
        <w:rPr>
          <w:bCs/>
        </w:rPr>
        <w:t>Employee workstations and shared terminals</w:t>
      </w:r>
    </w:p>
    <w:p w14:paraId="39F97455" w14:textId="77777777" w:rsidR="004106AC" w:rsidRPr="004106AC" w:rsidRDefault="004106AC" w:rsidP="004106AC">
      <w:pPr>
        <w:numPr>
          <w:ilvl w:val="0"/>
          <w:numId w:val="4"/>
        </w:numPr>
        <w:rPr>
          <w:bCs/>
        </w:rPr>
      </w:pPr>
      <w:r w:rsidRPr="004106AC">
        <w:rPr>
          <w:bCs/>
        </w:rPr>
        <w:t>Mobile devices (physician iPads, remote nursing laptops)</w:t>
      </w:r>
    </w:p>
    <w:p w14:paraId="31F0B1E1" w14:textId="77777777" w:rsidR="004106AC" w:rsidRPr="004106AC" w:rsidRDefault="004106AC" w:rsidP="004106AC">
      <w:pPr>
        <w:numPr>
          <w:ilvl w:val="0"/>
          <w:numId w:val="4"/>
        </w:numPr>
        <w:rPr>
          <w:bCs/>
        </w:rPr>
      </w:pPr>
      <w:r w:rsidRPr="004106AC">
        <w:rPr>
          <w:bCs/>
        </w:rPr>
        <w:t>Remote access portals for on-call physicians</w:t>
      </w:r>
    </w:p>
    <w:p w14:paraId="79E4C5C6" w14:textId="77777777" w:rsidR="004106AC" w:rsidRPr="004106AC" w:rsidRDefault="004106AC" w:rsidP="004106AC">
      <w:pPr>
        <w:numPr>
          <w:ilvl w:val="0"/>
          <w:numId w:val="4"/>
        </w:numPr>
        <w:rPr>
          <w:bCs/>
        </w:rPr>
      </w:pPr>
      <w:r w:rsidRPr="004106AC">
        <w:rPr>
          <w:bCs/>
        </w:rPr>
        <w:t>Third-party vendors involved in claims processing, medical imaging, and telehealth services</w:t>
      </w:r>
    </w:p>
    <w:p w14:paraId="5884303E" w14:textId="77777777" w:rsidR="004106AC" w:rsidRPr="004106AC" w:rsidRDefault="001B5AE7" w:rsidP="004106AC">
      <w:pPr>
        <w:rPr>
          <w:b/>
        </w:rPr>
      </w:pPr>
      <w:r>
        <w:rPr>
          <w:b/>
        </w:rPr>
        <w:pict w14:anchorId="3DEC72FE">
          <v:rect id="_x0000_i1027" style="width:0;height:1.5pt" o:hralign="center" o:hrstd="t" o:hr="t" fillcolor="#a0a0a0" stroked="f"/>
        </w:pict>
      </w:r>
    </w:p>
    <w:p w14:paraId="623BA957" w14:textId="77777777" w:rsidR="004106AC" w:rsidRPr="004106AC" w:rsidRDefault="004106AC" w:rsidP="004106AC">
      <w:pPr>
        <w:rPr>
          <w:b/>
          <w:bCs/>
        </w:rPr>
      </w:pPr>
      <w:r w:rsidRPr="004106AC">
        <w:rPr>
          <w:b/>
          <w:bCs/>
        </w:rPr>
        <w:t>Methodology</w:t>
      </w:r>
    </w:p>
    <w:p w14:paraId="25DC613F" w14:textId="77777777" w:rsidR="004106AC" w:rsidRPr="004106AC" w:rsidRDefault="004106AC" w:rsidP="004106AC">
      <w:pPr>
        <w:rPr>
          <w:bCs/>
        </w:rPr>
      </w:pPr>
      <w:r w:rsidRPr="004106AC">
        <w:rPr>
          <w:bCs/>
        </w:rPr>
        <w:t>To complete this assessment, the following methods were employed:</w:t>
      </w:r>
    </w:p>
    <w:p w14:paraId="128B8448" w14:textId="77777777" w:rsidR="004106AC" w:rsidRPr="004106AC" w:rsidRDefault="004106AC" w:rsidP="004106AC">
      <w:pPr>
        <w:numPr>
          <w:ilvl w:val="0"/>
          <w:numId w:val="5"/>
        </w:numPr>
        <w:rPr>
          <w:bCs/>
        </w:rPr>
      </w:pPr>
      <w:r w:rsidRPr="004106AC">
        <w:rPr>
          <w:bCs/>
        </w:rPr>
        <w:t>Staff Interviews: Department heads, IT administrators, and compliance officers were interviewed regarding access controls, vendor management, and incident response.</w:t>
      </w:r>
    </w:p>
    <w:p w14:paraId="0D5E8232" w14:textId="77777777" w:rsidR="004106AC" w:rsidRPr="004106AC" w:rsidRDefault="004106AC" w:rsidP="004106AC">
      <w:pPr>
        <w:numPr>
          <w:ilvl w:val="0"/>
          <w:numId w:val="5"/>
        </w:numPr>
        <w:rPr>
          <w:bCs/>
        </w:rPr>
      </w:pPr>
      <w:r w:rsidRPr="004106AC">
        <w:rPr>
          <w:bCs/>
        </w:rPr>
        <w:t>Policy Review: Security policies, password standards, and data retention procedures were analyzed for HIPAA alignment.</w:t>
      </w:r>
    </w:p>
    <w:p w14:paraId="7DB568F0" w14:textId="77777777" w:rsidR="004106AC" w:rsidRPr="004106AC" w:rsidRDefault="004106AC" w:rsidP="004106AC">
      <w:pPr>
        <w:numPr>
          <w:ilvl w:val="0"/>
          <w:numId w:val="5"/>
        </w:numPr>
        <w:rPr>
          <w:bCs/>
        </w:rPr>
      </w:pPr>
      <w:r w:rsidRPr="004106AC">
        <w:rPr>
          <w:bCs/>
        </w:rPr>
        <w:t>Technical Scans: Vulnerability scans were conducted on internal assets using Nessus Essentials and Microsoft Baseline Security Analyzer.</w:t>
      </w:r>
    </w:p>
    <w:p w14:paraId="3387C8E8" w14:textId="77777777" w:rsidR="004106AC" w:rsidRPr="004106AC" w:rsidRDefault="004106AC" w:rsidP="004106AC">
      <w:pPr>
        <w:numPr>
          <w:ilvl w:val="0"/>
          <w:numId w:val="5"/>
        </w:numPr>
        <w:rPr>
          <w:bCs/>
        </w:rPr>
      </w:pPr>
      <w:r w:rsidRPr="004106AC">
        <w:rPr>
          <w:bCs/>
        </w:rPr>
        <w:t>Audit Log Review: SIEM and access control logs were reviewed for anomalies and shared account usage.</w:t>
      </w:r>
    </w:p>
    <w:p w14:paraId="7B3340B9" w14:textId="77777777" w:rsidR="004106AC" w:rsidRPr="004106AC" w:rsidRDefault="001B5AE7" w:rsidP="004106AC">
      <w:pPr>
        <w:rPr>
          <w:b/>
        </w:rPr>
      </w:pPr>
      <w:r>
        <w:rPr>
          <w:b/>
        </w:rPr>
        <w:pict w14:anchorId="33044EB8">
          <v:rect id="_x0000_i1028" style="width:0;height:1.5pt" o:hralign="center" o:hrstd="t" o:hr="t" fillcolor="#a0a0a0" stroked="f"/>
        </w:pict>
      </w:r>
    </w:p>
    <w:p w14:paraId="266268ED" w14:textId="77777777" w:rsidR="00B06CED" w:rsidRDefault="00B06CED" w:rsidP="004106AC">
      <w:pPr>
        <w:rPr>
          <w:b/>
          <w:bCs/>
        </w:rPr>
      </w:pPr>
    </w:p>
    <w:p w14:paraId="07328CB0" w14:textId="77777777" w:rsidR="00B06CED" w:rsidRDefault="00B06CED" w:rsidP="004106AC">
      <w:pPr>
        <w:rPr>
          <w:b/>
          <w:bCs/>
        </w:rPr>
      </w:pPr>
    </w:p>
    <w:p w14:paraId="6E5E9DF5" w14:textId="77777777" w:rsidR="00B06CED" w:rsidRDefault="00B06CED" w:rsidP="004106AC">
      <w:pPr>
        <w:rPr>
          <w:b/>
          <w:bCs/>
        </w:rPr>
      </w:pPr>
    </w:p>
    <w:p w14:paraId="04E1333F" w14:textId="77777777" w:rsidR="00506B60" w:rsidRDefault="00506B60" w:rsidP="004106AC">
      <w:pPr>
        <w:rPr>
          <w:b/>
          <w:bCs/>
        </w:rPr>
      </w:pPr>
    </w:p>
    <w:p w14:paraId="608E399A" w14:textId="77777777" w:rsidR="00506B60" w:rsidRDefault="00506B60" w:rsidP="004106AC">
      <w:pPr>
        <w:rPr>
          <w:b/>
          <w:bCs/>
        </w:rPr>
      </w:pPr>
    </w:p>
    <w:p w14:paraId="0277E351" w14:textId="77777777" w:rsidR="00B06CED" w:rsidRDefault="00B06CED" w:rsidP="004106AC">
      <w:pPr>
        <w:rPr>
          <w:b/>
          <w:bCs/>
        </w:rPr>
      </w:pPr>
    </w:p>
    <w:p w14:paraId="7846EE3E" w14:textId="3EDEBFFB" w:rsidR="004106AC" w:rsidRPr="004106AC" w:rsidRDefault="004106AC" w:rsidP="004106AC">
      <w:pPr>
        <w:rPr>
          <w:b/>
          <w:bCs/>
        </w:rPr>
      </w:pPr>
      <w:r w:rsidRPr="004106AC">
        <w:rPr>
          <w:b/>
          <w:bCs/>
        </w:rPr>
        <w:lastRenderedPageBreak/>
        <w:t>Findings &amp; Risk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1605"/>
        <w:gridCol w:w="1160"/>
        <w:gridCol w:w="843"/>
        <w:gridCol w:w="983"/>
        <w:gridCol w:w="1276"/>
        <w:gridCol w:w="2044"/>
      </w:tblGrid>
      <w:tr w:rsidR="004106AC" w:rsidRPr="004106AC" w14:paraId="44C47174" w14:textId="77777777" w:rsidTr="004106AC">
        <w:trPr>
          <w:tblHeader/>
          <w:tblCellSpacing w:w="15" w:type="dxa"/>
        </w:trPr>
        <w:tc>
          <w:tcPr>
            <w:tcW w:w="0" w:type="auto"/>
            <w:vAlign w:val="center"/>
            <w:hideMark/>
          </w:tcPr>
          <w:p w14:paraId="542EB63C" w14:textId="77777777" w:rsidR="004106AC" w:rsidRPr="00417477" w:rsidRDefault="004106AC" w:rsidP="004106AC">
            <w:pPr>
              <w:rPr>
                <w:b/>
                <w:bCs/>
                <w:u w:val="single"/>
              </w:rPr>
            </w:pPr>
            <w:r w:rsidRPr="00417477">
              <w:rPr>
                <w:b/>
                <w:bCs/>
                <w:u w:val="single"/>
              </w:rPr>
              <w:t>Risk Area</w:t>
            </w:r>
          </w:p>
        </w:tc>
        <w:tc>
          <w:tcPr>
            <w:tcW w:w="0" w:type="auto"/>
            <w:vAlign w:val="center"/>
            <w:hideMark/>
          </w:tcPr>
          <w:p w14:paraId="1F12036D" w14:textId="77777777" w:rsidR="004106AC" w:rsidRPr="00417477" w:rsidRDefault="004106AC" w:rsidP="004106AC">
            <w:pPr>
              <w:rPr>
                <w:b/>
                <w:bCs/>
                <w:u w:val="single"/>
              </w:rPr>
            </w:pPr>
            <w:r w:rsidRPr="00417477">
              <w:rPr>
                <w:b/>
                <w:bCs/>
                <w:u w:val="single"/>
              </w:rPr>
              <w:t>Description</w:t>
            </w:r>
          </w:p>
        </w:tc>
        <w:tc>
          <w:tcPr>
            <w:tcW w:w="0" w:type="auto"/>
            <w:vAlign w:val="center"/>
            <w:hideMark/>
          </w:tcPr>
          <w:p w14:paraId="111A2818" w14:textId="77777777" w:rsidR="004106AC" w:rsidRPr="00417477" w:rsidRDefault="004106AC" w:rsidP="004106AC">
            <w:pPr>
              <w:rPr>
                <w:b/>
                <w:bCs/>
                <w:u w:val="single"/>
              </w:rPr>
            </w:pPr>
            <w:r w:rsidRPr="00417477">
              <w:rPr>
                <w:b/>
                <w:bCs/>
                <w:u w:val="single"/>
              </w:rPr>
              <w:t>Likelihood</w:t>
            </w:r>
          </w:p>
        </w:tc>
        <w:tc>
          <w:tcPr>
            <w:tcW w:w="0" w:type="auto"/>
            <w:vAlign w:val="center"/>
            <w:hideMark/>
          </w:tcPr>
          <w:p w14:paraId="3380DCBD" w14:textId="77777777" w:rsidR="004106AC" w:rsidRPr="00417477" w:rsidRDefault="004106AC" w:rsidP="004106AC">
            <w:pPr>
              <w:rPr>
                <w:b/>
                <w:bCs/>
                <w:u w:val="single"/>
              </w:rPr>
            </w:pPr>
            <w:r w:rsidRPr="00417477">
              <w:rPr>
                <w:b/>
                <w:bCs/>
                <w:u w:val="single"/>
              </w:rPr>
              <w:t>Impact</w:t>
            </w:r>
          </w:p>
        </w:tc>
        <w:tc>
          <w:tcPr>
            <w:tcW w:w="0" w:type="auto"/>
            <w:vAlign w:val="center"/>
            <w:hideMark/>
          </w:tcPr>
          <w:p w14:paraId="71A10517" w14:textId="77777777" w:rsidR="004106AC" w:rsidRPr="00417477" w:rsidRDefault="004106AC" w:rsidP="004106AC">
            <w:pPr>
              <w:rPr>
                <w:b/>
                <w:bCs/>
                <w:u w:val="single"/>
              </w:rPr>
            </w:pPr>
            <w:r w:rsidRPr="00417477">
              <w:rPr>
                <w:b/>
                <w:bCs/>
                <w:u w:val="single"/>
              </w:rPr>
              <w:t>Risk Level (L×I)</w:t>
            </w:r>
          </w:p>
        </w:tc>
        <w:tc>
          <w:tcPr>
            <w:tcW w:w="0" w:type="auto"/>
            <w:vAlign w:val="center"/>
            <w:hideMark/>
          </w:tcPr>
          <w:p w14:paraId="494D39AB" w14:textId="77777777" w:rsidR="004106AC" w:rsidRPr="00417477" w:rsidRDefault="004106AC" w:rsidP="004106AC">
            <w:pPr>
              <w:rPr>
                <w:b/>
                <w:bCs/>
                <w:u w:val="single"/>
              </w:rPr>
            </w:pPr>
            <w:r w:rsidRPr="00417477">
              <w:rPr>
                <w:b/>
                <w:bCs/>
                <w:u w:val="single"/>
              </w:rPr>
              <w:t>Controls in Place</w:t>
            </w:r>
          </w:p>
        </w:tc>
        <w:tc>
          <w:tcPr>
            <w:tcW w:w="50" w:type="dxa"/>
            <w:vAlign w:val="center"/>
            <w:hideMark/>
          </w:tcPr>
          <w:p w14:paraId="32AA27C5" w14:textId="77777777" w:rsidR="004106AC" w:rsidRPr="00417477" w:rsidRDefault="004106AC" w:rsidP="004106AC">
            <w:pPr>
              <w:rPr>
                <w:b/>
                <w:bCs/>
                <w:u w:val="single"/>
              </w:rPr>
            </w:pPr>
            <w:r w:rsidRPr="00417477">
              <w:rPr>
                <w:b/>
                <w:bCs/>
                <w:u w:val="single"/>
              </w:rPr>
              <w:t>Recommendations</w:t>
            </w:r>
          </w:p>
        </w:tc>
      </w:tr>
      <w:tr w:rsidR="004106AC" w:rsidRPr="004106AC" w14:paraId="76050F0B" w14:textId="77777777" w:rsidTr="004106AC">
        <w:trPr>
          <w:tblCellSpacing w:w="15" w:type="dxa"/>
        </w:trPr>
        <w:tc>
          <w:tcPr>
            <w:tcW w:w="0" w:type="auto"/>
            <w:vAlign w:val="center"/>
            <w:hideMark/>
          </w:tcPr>
          <w:p w14:paraId="3F415485" w14:textId="77777777" w:rsidR="004106AC" w:rsidRPr="001B5AE7" w:rsidRDefault="004106AC" w:rsidP="004106AC">
            <w:pPr>
              <w:rPr>
                <w:bCs/>
                <w:i/>
                <w:iCs/>
              </w:rPr>
            </w:pPr>
            <w:r w:rsidRPr="001B5AE7">
              <w:rPr>
                <w:bCs/>
                <w:i/>
                <w:iCs/>
              </w:rPr>
              <w:t>Access Control</w:t>
            </w:r>
          </w:p>
        </w:tc>
        <w:tc>
          <w:tcPr>
            <w:tcW w:w="0" w:type="auto"/>
            <w:vAlign w:val="center"/>
            <w:hideMark/>
          </w:tcPr>
          <w:p w14:paraId="485442F0" w14:textId="77777777" w:rsidR="004106AC" w:rsidRPr="004106AC" w:rsidRDefault="004106AC" w:rsidP="004106AC">
            <w:pPr>
              <w:rPr>
                <w:bCs/>
              </w:rPr>
            </w:pPr>
            <w:r w:rsidRPr="004106AC">
              <w:rPr>
                <w:bCs/>
              </w:rPr>
              <w:t>Shared generic login credentials on nursing stations</w:t>
            </w:r>
          </w:p>
        </w:tc>
        <w:tc>
          <w:tcPr>
            <w:tcW w:w="0" w:type="auto"/>
            <w:vAlign w:val="center"/>
            <w:hideMark/>
          </w:tcPr>
          <w:p w14:paraId="6398DC1C" w14:textId="77777777" w:rsidR="004106AC" w:rsidRPr="004106AC" w:rsidRDefault="004106AC" w:rsidP="004106AC">
            <w:pPr>
              <w:rPr>
                <w:bCs/>
              </w:rPr>
            </w:pPr>
            <w:r w:rsidRPr="004106AC">
              <w:rPr>
                <w:bCs/>
              </w:rPr>
              <w:t>Medium</w:t>
            </w:r>
          </w:p>
        </w:tc>
        <w:tc>
          <w:tcPr>
            <w:tcW w:w="0" w:type="auto"/>
            <w:vAlign w:val="center"/>
            <w:hideMark/>
          </w:tcPr>
          <w:p w14:paraId="7A40FFBA" w14:textId="77777777" w:rsidR="004106AC" w:rsidRPr="004106AC" w:rsidRDefault="004106AC" w:rsidP="004106AC">
            <w:pPr>
              <w:rPr>
                <w:bCs/>
              </w:rPr>
            </w:pPr>
            <w:r w:rsidRPr="004106AC">
              <w:rPr>
                <w:bCs/>
              </w:rPr>
              <w:t>High</w:t>
            </w:r>
          </w:p>
        </w:tc>
        <w:tc>
          <w:tcPr>
            <w:tcW w:w="0" w:type="auto"/>
            <w:vAlign w:val="center"/>
            <w:hideMark/>
          </w:tcPr>
          <w:p w14:paraId="2A9F6F71" w14:textId="77777777" w:rsidR="004106AC" w:rsidRPr="004106AC" w:rsidRDefault="004106AC" w:rsidP="004106AC">
            <w:pPr>
              <w:rPr>
                <w:bCs/>
              </w:rPr>
            </w:pPr>
            <w:r w:rsidRPr="004106AC">
              <w:rPr>
                <w:bCs/>
              </w:rPr>
              <w:t>Medium-High</w:t>
            </w:r>
          </w:p>
        </w:tc>
        <w:tc>
          <w:tcPr>
            <w:tcW w:w="0" w:type="auto"/>
            <w:vAlign w:val="center"/>
            <w:hideMark/>
          </w:tcPr>
          <w:p w14:paraId="4183190B" w14:textId="77777777" w:rsidR="004106AC" w:rsidRPr="004106AC" w:rsidRDefault="004106AC" w:rsidP="004106AC">
            <w:pPr>
              <w:rPr>
                <w:bCs/>
              </w:rPr>
            </w:pPr>
            <w:r w:rsidRPr="004106AC">
              <w:rPr>
                <w:bCs/>
              </w:rPr>
              <w:t>Password policies, MFA on admin tools</w:t>
            </w:r>
          </w:p>
        </w:tc>
        <w:tc>
          <w:tcPr>
            <w:tcW w:w="50" w:type="dxa"/>
            <w:vAlign w:val="center"/>
            <w:hideMark/>
          </w:tcPr>
          <w:p w14:paraId="5D64906A" w14:textId="77777777" w:rsidR="004106AC" w:rsidRPr="004106AC" w:rsidRDefault="004106AC" w:rsidP="004106AC">
            <w:pPr>
              <w:rPr>
                <w:bCs/>
              </w:rPr>
            </w:pPr>
            <w:r w:rsidRPr="004106AC">
              <w:rPr>
                <w:bCs/>
              </w:rPr>
              <w:t>Enforce unique user IDs; apply MFA on all endpoints</w:t>
            </w:r>
          </w:p>
        </w:tc>
      </w:tr>
      <w:tr w:rsidR="004106AC" w:rsidRPr="004106AC" w14:paraId="5ECD7193" w14:textId="77777777" w:rsidTr="004106AC">
        <w:trPr>
          <w:tblCellSpacing w:w="15" w:type="dxa"/>
        </w:trPr>
        <w:tc>
          <w:tcPr>
            <w:tcW w:w="0" w:type="auto"/>
            <w:vAlign w:val="center"/>
            <w:hideMark/>
          </w:tcPr>
          <w:p w14:paraId="3B1EFF59" w14:textId="77777777" w:rsidR="004106AC" w:rsidRPr="001B5AE7" w:rsidRDefault="004106AC" w:rsidP="004106AC">
            <w:pPr>
              <w:rPr>
                <w:bCs/>
                <w:i/>
                <w:iCs/>
              </w:rPr>
            </w:pPr>
            <w:r w:rsidRPr="001B5AE7">
              <w:rPr>
                <w:bCs/>
                <w:i/>
                <w:iCs/>
              </w:rPr>
              <w:t>Data Transmission</w:t>
            </w:r>
          </w:p>
        </w:tc>
        <w:tc>
          <w:tcPr>
            <w:tcW w:w="0" w:type="auto"/>
            <w:vAlign w:val="center"/>
            <w:hideMark/>
          </w:tcPr>
          <w:p w14:paraId="2F36D7F8" w14:textId="77777777" w:rsidR="004106AC" w:rsidRPr="004106AC" w:rsidRDefault="004106AC" w:rsidP="004106AC">
            <w:pPr>
              <w:rPr>
                <w:bCs/>
              </w:rPr>
            </w:pPr>
            <w:r w:rsidRPr="004106AC">
              <w:rPr>
                <w:bCs/>
              </w:rPr>
              <w:t>Use of unencrypted email for sending lab results</w:t>
            </w:r>
          </w:p>
        </w:tc>
        <w:tc>
          <w:tcPr>
            <w:tcW w:w="0" w:type="auto"/>
            <w:vAlign w:val="center"/>
            <w:hideMark/>
          </w:tcPr>
          <w:p w14:paraId="66080861" w14:textId="77777777" w:rsidR="004106AC" w:rsidRPr="004106AC" w:rsidRDefault="004106AC" w:rsidP="004106AC">
            <w:pPr>
              <w:rPr>
                <w:bCs/>
              </w:rPr>
            </w:pPr>
            <w:r w:rsidRPr="004106AC">
              <w:rPr>
                <w:bCs/>
              </w:rPr>
              <w:t>High</w:t>
            </w:r>
          </w:p>
        </w:tc>
        <w:tc>
          <w:tcPr>
            <w:tcW w:w="0" w:type="auto"/>
            <w:vAlign w:val="center"/>
            <w:hideMark/>
          </w:tcPr>
          <w:p w14:paraId="5D364F6C" w14:textId="77777777" w:rsidR="004106AC" w:rsidRPr="004106AC" w:rsidRDefault="004106AC" w:rsidP="004106AC">
            <w:pPr>
              <w:rPr>
                <w:bCs/>
              </w:rPr>
            </w:pPr>
            <w:r w:rsidRPr="004106AC">
              <w:rPr>
                <w:bCs/>
              </w:rPr>
              <w:t>High</w:t>
            </w:r>
          </w:p>
        </w:tc>
        <w:tc>
          <w:tcPr>
            <w:tcW w:w="0" w:type="auto"/>
            <w:vAlign w:val="center"/>
            <w:hideMark/>
          </w:tcPr>
          <w:p w14:paraId="0791C871" w14:textId="77777777" w:rsidR="004106AC" w:rsidRPr="004106AC" w:rsidRDefault="004106AC" w:rsidP="004106AC">
            <w:pPr>
              <w:rPr>
                <w:bCs/>
              </w:rPr>
            </w:pPr>
            <w:r w:rsidRPr="004106AC">
              <w:rPr>
                <w:bCs/>
              </w:rPr>
              <w:t>Critical</w:t>
            </w:r>
          </w:p>
        </w:tc>
        <w:tc>
          <w:tcPr>
            <w:tcW w:w="0" w:type="auto"/>
            <w:vAlign w:val="center"/>
            <w:hideMark/>
          </w:tcPr>
          <w:p w14:paraId="7EC3413B" w14:textId="77777777" w:rsidR="004106AC" w:rsidRPr="004106AC" w:rsidRDefault="004106AC" w:rsidP="004106AC">
            <w:pPr>
              <w:rPr>
                <w:bCs/>
              </w:rPr>
            </w:pPr>
            <w:r w:rsidRPr="004106AC">
              <w:rPr>
                <w:bCs/>
              </w:rPr>
              <w:t>VPN used for remote staff</w:t>
            </w:r>
          </w:p>
        </w:tc>
        <w:tc>
          <w:tcPr>
            <w:tcW w:w="50" w:type="dxa"/>
            <w:vAlign w:val="center"/>
            <w:hideMark/>
          </w:tcPr>
          <w:p w14:paraId="23AA7EC1" w14:textId="77777777" w:rsidR="004106AC" w:rsidRPr="004106AC" w:rsidRDefault="004106AC" w:rsidP="004106AC">
            <w:pPr>
              <w:rPr>
                <w:bCs/>
              </w:rPr>
            </w:pPr>
            <w:r w:rsidRPr="004106AC">
              <w:rPr>
                <w:bCs/>
              </w:rPr>
              <w:t>Implement email encryption and DLP tools</w:t>
            </w:r>
          </w:p>
        </w:tc>
      </w:tr>
      <w:tr w:rsidR="004106AC" w:rsidRPr="004106AC" w14:paraId="0C0A83D4" w14:textId="77777777" w:rsidTr="004106AC">
        <w:trPr>
          <w:tblCellSpacing w:w="15" w:type="dxa"/>
        </w:trPr>
        <w:tc>
          <w:tcPr>
            <w:tcW w:w="0" w:type="auto"/>
            <w:vAlign w:val="center"/>
            <w:hideMark/>
          </w:tcPr>
          <w:p w14:paraId="0A8B0ED7" w14:textId="77777777" w:rsidR="004106AC" w:rsidRPr="001B5AE7" w:rsidRDefault="004106AC" w:rsidP="004106AC">
            <w:pPr>
              <w:rPr>
                <w:bCs/>
                <w:i/>
                <w:iCs/>
              </w:rPr>
            </w:pPr>
            <w:r w:rsidRPr="001B5AE7">
              <w:rPr>
                <w:bCs/>
                <w:i/>
                <w:iCs/>
              </w:rPr>
              <w:t>Vendor Management</w:t>
            </w:r>
          </w:p>
        </w:tc>
        <w:tc>
          <w:tcPr>
            <w:tcW w:w="0" w:type="auto"/>
            <w:vAlign w:val="center"/>
            <w:hideMark/>
          </w:tcPr>
          <w:p w14:paraId="13C4F9F1" w14:textId="77777777" w:rsidR="004106AC" w:rsidRPr="004106AC" w:rsidRDefault="004106AC" w:rsidP="004106AC">
            <w:pPr>
              <w:rPr>
                <w:bCs/>
              </w:rPr>
            </w:pPr>
            <w:r w:rsidRPr="004106AC">
              <w:rPr>
                <w:bCs/>
              </w:rPr>
              <w:t>No formal security vetting of third-party vendors</w:t>
            </w:r>
          </w:p>
        </w:tc>
        <w:tc>
          <w:tcPr>
            <w:tcW w:w="0" w:type="auto"/>
            <w:vAlign w:val="center"/>
            <w:hideMark/>
          </w:tcPr>
          <w:p w14:paraId="06B54FFF" w14:textId="77777777" w:rsidR="004106AC" w:rsidRPr="004106AC" w:rsidRDefault="004106AC" w:rsidP="004106AC">
            <w:pPr>
              <w:rPr>
                <w:bCs/>
              </w:rPr>
            </w:pPr>
            <w:r w:rsidRPr="004106AC">
              <w:rPr>
                <w:bCs/>
              </w:rPr>
              <w:t>Medium</w:t>
            </w:r>
          </w:p>
        </w:tc>
        <w:tc>
          <w:tcPr>
            <w:tcW w:w="0" w:type="auto"/>
            <w:vAlign w:val="center"/>
            <w:hideMark/>
          </w:tcPr>
          <w:p w14:paraId="74CA9B03" w14:textId="77777777" w:rsidR="004106AC" w:rsidRPr="004106AC" w:rsidRDefault="004106AC" w:rsidP="004106AC">
            <w:pPr>
              <w:rPr>
                <w:bCs/>
              </w:rPr>
            </w:pPr>
            <w:r w:rsidRPr="004106AC">
              <w:rPr>
                <w:bCs/>
              </w:rPr>
              <w:t>Medium</w:t>
            </w:r>
          </w:p>
        </w:tc>
        <w:tc>
          <w:tcPr>
            <w:tcW w:w="0" w:type="auto"/>
            <w:vAlign w:val="center"/>
            <w:hideMark/>
          </w:tcPr>
          <w:p w14:paraId="1BA9B6D5" w14:textId="77777777" w:rsidR="004106AC" w:rsidRPr="004106AC" w:rsidRDefault="004106AC" w:rsidP="004106AC">
            <w:pPr>
              <w:rPr>
                <w:bCs/>
              </w:rPr>
            </w:pPr>
            <w:r w:rsidRPr="004106AC">
              <w:rPr>
                <w:bCs/>
              </w:rPr>
              <w:t>Medium</w:t>
            </w:r>
          </w:p>
        </w:tc>
        <w:tc>
          <w:tcPr>
            <w:tcW w:w="0" w:type="auto"/>
            <w:vAlign w:val="center"/>
            <w:hideMark/>
          </w:tcPr>
          <w:p w14:paraId="58D7BCDA" w14:textId="77777777" w:rsidR="004106AC" w:rsidRPr="004106AC" w:rsidRDefault="004106AC" w:rsidP="004106AC">
            <w:pPr>
              <w:rPr>
                <w:bCs/>
              </w:rPr>
            </w:pPr>
            <w:r w:rsidRPr="004106AC">
              <w:rPr>
                <w:bCs/>
              </w:rPr>
              <w:t>Contracts require HIPAA clauses</w:t>
            </w:r>
          </w:p>
        </w:tc>
        <w:tc>
          <w:tcPr>
            <w:tcW w:w="50" w:type="dxa"/>
            <w:vAlign w:val="center"/>
            <w:hideMark/>
          </w:tcPr>
          <w:p w14:paraId="6774EF3A" w14:textId="77777777" w:rsidR="004106AC" w:rsidRPr="004106AC" w:rsidRDefault="004106AC" w:rsidP="004106AC">
            <w:pPr>
              <w:rPr>
                <w:bCs/>
              </w:rPr>
            </w:pPr>
            <w:r w:rsidRPr="004106AC">
              <w:rPr>
                <w:bCs/>
              </w:rPr>
              <w:t>Introduce vendor security risk assessments</w:t>
            </w:r>
          </w:p>
        </w:tc>
      </w:tr>
      <w:tr w:rsidR="004106AC" w:rsidRPr="004106AC" w14:paraId="446BA1AA" w14:textId="77777777" w:rsidTr="004106AC">
        <w:trPr>
          <w:tblCellSpacing w:w="15" w:type="dxa"/>
        </w:trPr>
        <w:tc>
          <w:tcPr>
            <w:tcW w:w="0" w:type="auto"/>
            <w:vAlign w:val="center"/>
            <w:hideMark/>
          </w:tcPr>
          <w:p w14:paraId="0A7003E2" w14:textId="77777777" w:rsidR="004106AC" w:rsidRPr="001B5AE7" w:rsidRDefault="004106AC" w:rsidP="004106AC">
            <w:pPr>
              <w:rPr>
                <w:bCs/>
                <w:i/>
                <w:iCs/>
              </w:rPr>
            </w:pPr>
            <w:r w:rsidRPr="001B5AE7">
              <w:rPr>
                <w:bCs/>
                <w:i/>
                <w:iCs/>
              </w:rPr>
              <w:t>Patch Management</w:t>
            </w:r>
          </w:p>
        </w:tc>
        <w:tc>
          <w:tcPr>
            <w:tcW w:w="0" w:type="auto"/>
            <w:vAlign w:val="center"/>
            <w:hideMark/>
          </w:tcPr>
          <w:p w14:paraId="06519A7F" w14:textId="77777777" w:rsidR="004106AC" w:rsidRPr="004106AC" w:rsidRDefault="004106AC" w:rsidP="004106AC">
            <w:pPr>
              <w:rPr>
                <w:bCs/>
              </w:rPr>
            </w:pPr>
            <w:r w:rsidRPr="004106AC">
              <w:rPr>
                <w:bCs/>
              </w:rPr>
              <w:t>Lags in critical patching on imaging machines</w:t>
            </w:r>
          </w:p>
        </w:tc>
        <w:tc>
          <w:tcPr>
            <w:tcW w:w="0" w:type="auto"/>
            <w:vAlign w:val="center"/>
            <w:hideMark/>
          </w:tcPr>
          <w:p w14:paraId="03A09FC1" w14:textId="77777777" w:rsidR="004106AC" w:rsidRPr="004106AC" w:rsidRDefault="004106AC" w:rsidP="004106AC">
            <w:pPr>
              <w:rPr>
                <w:bCs/>
              </w:rPr>
            </w:pPr>
            <w:r w:rsidRPr="004106AC">
              <w:rPr>
                <w:bCs/>
              </w:rPr>
              <w:t>Medium</w:t>
            </w:r>
          </w:p>
        </w:tc>
        <w:tc>
          <w:tcPr>
            <w:tcW w:w="0" w:type="auto"/>
            <w:vAlign w:val="center"/>
            <w:hideMark/>
          </w:tcPr>
          <w:p w14:paraId="441D69A2" w14:textId="77777777" w:rsidR="004106AC" w:rsidRPr="004106AC" w:rsidRDefault="004106AC" w:rsidP="004106AC">
            <w:pPr>
              <w:rPr>
                <w:bCs/>
              </w:rPr>
            </w:pPr>
            <w:r w:rsidRPr="004106AC">
              <w:rPr>
                <w:bCs/>
              </w:rPr>
              <w:t>High</w:t>
            </w:r>
          </w:p>
        </w:tc>
        <w:tc>
          <w:tcPr>
            <w:tcW w:w="0" w:type="auto"/>
            <w:vAlign w:val="center"/>
            <w:hideMark/>
          </w:tcPr>
          <w:p w14:paraId="376A405F" w14:textId="77777777" w:rsidR="004106AC" w:rsidRPr="004106AC" w:rsidRDefault="004106AC" w:rsidP="004106AC">
            <w:pPr>
              <w:rPr>
                <w:bCs/>
              </w:rPr>
            </w:pPr>
            <w:r w:rsidRPr="004106AC">
              <w:rPr>
                <w:bCs/>
              </w:rPr>
              <w:t>Medium-High</w:t>
            </w:r>
          </w:p>
        </w:tc>
        <w:tc>
          <w:tcPr>
            <w:tcW w:w="0" w:type="auto"/>
            <w:vAlign w:val="center"/>
            <w:hideMark/>
          </w:tcPr>
          <w:p w14:paraId="02345229" w14:textId="77777777" w:rsidR="004106AC" w:rsidRPr="004106AC" w:rsidRDefault="004106AC" w:rsidP="004106AC">
            <w:pPr>
              <w:rPr>
                <w:bCs/>
              </w:rPr>
            </w:pPr>
            <w:r w:rsidRPr="004106AC">
              <w:rPr>
                <w:bCs/>
              </w:rPr>
              <w:t>Manual patch cycles (monthly)</w:t>
            </w:r>
          </w:p>
        </w:tc>
        <w:tc>
          <w:tcPr>
            <w:tcW w:w="50" w:type="dxa"/>
            <w:vAlign w:val="center"/>
            <w:hideMark/>
          </w:tcPr>
          <w:p w14:paraId="2C40939C" w14:textId="77777777" w:rsidR="004106AC" w:rsidRPr="004106AC" w:rsidRDefault="004106AC" w:rsidP="004106AC">
            <w:pPr>
              <w:rPr>
                <w:bCs/>
              </w:rPr>
            </w:pPr>
            <w:r w:rsidRPr="004106AC">
              <w:rPr>
                <w:bCs/>
              </w:rPr>
              <w:t>Automate patching; prioritize vulnerable systems</w:t>
            </w:r>
          </w:p>
        </w:tc>
      </w:tr>
    </w:tbl>
    <w:p w14:paraId="7025C701" w14:textId="77777777" w:rsidR="004106AC" w:rsidRPr="004106AC" w:rsidRDefault="001B5AE7" w:rsidP="004106AC">
      <w:pPr>
        <w:rPr>
          <w:b/>
        </w:rPr>
      </w:pPr>
      <w:r>
        <w:rPr>
          <w:b/>
        </w:rPr>
        <w:pict w14:anchorId="474CB785">
          <v:rect id="_x0000_i1029" style="width:0;height:1.5pt" o:hralign="center" o:hrstd="t" o:hr="t" fillcolor="#a0a0a0" stroked="f"/>
        </w:pict>
      </w:r>
    </w:p>
    <w:p w14:paraId="74505FCE" w14:textId="77777777" w:rsidR="004106AC" w:rsidRPr="004106AC" w:rsidRDefault="004106AC" w:rsidP="004106AC">
      <w:pPr>
        <w:rPr>
          <w:b/>
          <w:bCs/>
        </w:rPr>
      </w:pPr>
      <w:r w:rsidRPr="004106AC">
        <w:rPr>
          <w:b/>
          <w:bCs/>
        </w:rPr>
        <w:t>Conclusion</w:t>
      </w:r>
    </w:p>
    <w:p w14:paraId="4A785826" w14:textId="77777777" w:rsidR="004106AC" w:rsidRPr="004106AC" w:rsidRDefault="004106AC" w:rsidP="004106AC">
      <w:pPr>
        <w:rPr>
          <w:bCs/>
        </w:rPr>
      </w:pPr>
      <w:r w:rsidRPr="004106AC">
        <w:rPr>
          <w:bCs/>
        </w:rPr>
        <w:t>Harborview Medical Partners has made key investments in cybersecurity, but gaps remain that could lead to unauthorized disclosure or loss of sensitive patient data. In particular, unsecured communication channels, shared accounts, and vendor risk management pose material threats to HIPAA compliance.</w:t>
      </w:r>
    </w:p>
    <w:p w14:paraId="05DA7C74" w14:textId="77777777" w:rsidR="004106AC" w:rsidRPr="004106AC" w:rsidRDefault="004106AC" w:rsidP="004106AC">
      <w:pPr>
        <w:rPr>
          <w:bCs/>
        </w:rPr>
      </w:pPr>
      <w:r w:rsidRPr="004106AC">
        <w:rPr>
          <w:bCs/>
        </w:rPr>
        <w:t>Immediate remediation should focus on enforcing user accountability, encrypting communications, and formalizing vendor assessments. These measures will not only enhance patient data protection but also position Harborview more favorably during regulatory audits or cyber insurance evaluations.</w:t>
      </w:r>
    </w:p>
    <w:p w14:paraId="29E52F08" w14:textId="77777777" w:rsidR="004106AC" w:rsidRPr="004106AC" w:rsidRDefault="001B5AE7" w:rsidP="004106AC">
      <w:pPr>
        <w:rPr>
          <w:b/>
        </w:rPr>
      </w:pPr>
      <w:r>
        <w:rPr>
          <w:b/>
        </w:rPr>
        <w:pict w14:anchorId="65293883">
          <v:rect id="_x0000_i1030" style="width:0;height:1.5pt" o:hralign="center" o:hrstd="t" o:hr="t" fillcolor="#a0a0a0" stroked="f"/>
        </w:pict>
      </w:r>
    </w:p>
    <w:p w14:paraId="584A04EB" w14:textId="77777777" w:rsidR="004106AC" w:rsidRPr="004106AC" w:rsidRDefault="004106AC" w:rsidP="004106AC">
      <w:pPr>
        <w:rPr>
          <w:b/>
          <w:bCs/>
        </w:rPr>
      </w:pPr>
      <w:r w:rsidRPr="004106AC">
        <w:rPr>
          <w:b/>
          <w:bCs/>
        </w:rPr>
        <w:t>Appendix</w:t>
      </w:r>
    </w:p>
    <w:p w14:paraId="2AABA25C" w14:textId="77777777" w:rsidR="004106AC" w:rsidRPr="004106AC" w:rsidRDefault="004106AC" w:rsidP="004106AC">
      <w:pPr>
        <w:numPr>
          <w:ilvl w:val="0"/>
          <w:numId w:val="6"/>
        </w:numPr>
        <w:rPr>
          <w:bCs/>
        </w:rPr>
      </w:pPr>
      <w:r w:rsidRPr="004106AC">
        <w:rPr>
          <w:bCs/>
        </w:rPr>
        <w:t>Mapping of risks to NIST CSF categories</w:t>
      </w:r>
    </w:p>
    <w:p w14:paraId="158067FC" w14:textId="77777777" w:rsidR="004106AC" w:rsidRPr="004106AC" w:rsidRDefault="004106AC" w:rsidP="004106AC">
      <w:pPr>
        <w:numPr>
          <w:ilvl w:val="0"/>
          <w:numId w:val="6"/>
        </w:numPr>
        <w:rPr>
          <w:bCs/>
        </w:rPr>
      </w:pPr>
      <w:r w:rsidRPr="004106AC">
        <w:rPr>
          <w:bCs/>
        </w:rPr>
        <w:t>Detailed Nessus vulnerability scan results</w:t>
      </w:r>
    </w:p>
    <w:p w14:paraId="7A21E9BD" w14:textId="77777777" w:rsidR="004106AC" w:rsidRPr="004106AC" w:rsidRDefault="004106AC" w:rsidP="004106AC">
      <w:pPr>
        <w:numPr>
          <w:ilvl w:val="0"/>
          <w:numId w:val="6"/>
        </w:numPr>
        <w:rPr>
          <w:bCs/>
        </w:rPr>
      </w:pPr>
      <w:r w:rsidRPr="004106AC">
        <w:rPr>
          <w:bCs/>
        </w:rPr>
        <w:t>Summary of interview findings</w:t>
      </w:r>
    </w:p>
    <w:p w14:paraId="0210E489" w14:textId="77777777" w:rsidR="004106AC" w:rsidRPr="004106AC" w:rsidRDefault="004106AC" w:rsidP="004106AC">
      <w:pPr>
        <w:numPr>
          <w:ilvl w:val="0"/>
          <w:numId w:val="6"/>
        </w:numPr>
        <w:rPr>
          <w:bCs/>
        </w:rPr>
      </w:pPr>
      <w:r w:rsidRPr="004106AC">
        <w:rPr>
          <w:bCs/>
        </w:rPr>
        <w:t>Example vendor risk evaluation form (draft)</w:t>
      </w:r>
    </w:p>
    <w:p w14:paraId="0F3A97D9" w14:textId="77777777" w:rsidR="004522B6" w:rsidRPr="004106AC" w:rsidRDefault="004522B6" w:rsidP="004106AC"/>
    <w:sectPr w:rsidR="004522B6" w:rsidRPr="004106A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F1B27"/>
    <w:multiLevelType w:val="multilevel"/>
    <w:tmpl w:val="C6069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5259CF"/>
    <w:multiLevelType w:val="multilevel"/>
    <w:tmpl w:val="4472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04036"/>
    <w:multiLevelType w:val="multilevel"/>
    <w:tmpl w:val="528C4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D51507"/>
    <w:multiLevelType w:val="multilevel"/>
    <w:tmpl w:val="DDDC0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9112FC"/>
    <w:multiLevelType w:val="multilevel"/>
    <w:tmpl w:val="EAA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422EE"/>
    <w:multiLevelType w:val="multilevel"/>
    <w:tmpl w:val="877E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010735">
    <w:abstractNumId w:val="3"/>
  </w:num>
  <w:num w:numId="2" w16cid:durableId="809858164">
    <w:abstractNumId w:val="0"/>
  </w:num>
  <w:num w:numId="3" w16cid:durableId="1226911609">
    <w:abstractNumId w:val="2"/>
  </w:num>
  <w:num w:numId="4" w16cid:durableId="1859658993">
    <w:abstractNumId w:val="1"/>
  </w:num>
  <w:num w:numId="5" w16cid:durableId="2104180473">
    <w:abstractNumId w:val="5"/>
  </w:num>
  <w:num w:numId="6" w16cid:durableId="1782722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B6"/>
    <w:rsid w:val="001B5AE7"/>
    <w:rsid w:val="004106AC"/>
    <w:rsid w:val="00417477"/>
    <w:rsid w:val="004372C9"/>
    <w:rsid w:val="004522B6"/>
    <w:rsid w:val="00506B60"/>
    <w:rsid w:val="0062703E"/>
    <w:rsid w:val="00742214"/>
    <w:rsid w:val="00B0011F"/>
    <w:rsid w:val="00B06CED"/>
    <w:rsid w:val="00D53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F3A9797"/>
  <w15:docId w15:val="{4179709C-0B21-4111-A963-A980E6EE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637541">
      <w:bodyDiv w:val="1"/>
      <w:marLeft w:val="0"/>
      <w:marRight w:val="0"/>
      <w:marTop w:val="0"/>
      <w:marBottom w:val="0"/>
      <w:divBdr>
        <w:top w:val="none" w:sz="0" w:space="0" w:color="auto"/>
        <w:left w:val="none" w:sz="0" w:space="0" w:color="auto"/>
        <w:bottom w:val="none" w:sz="0" w:space="0" w:color="auto"/>
        <w:right w:val="none" w:sz="0" w:space="0" w:color="auto"/>
      </w:divBdr>
      <w:divsChild>
        <w:div w:id="2018651653">
          <w:marLeft w:val="0"/>
          <w:marRight w:val="0"/>
          <w:marTop w:val="0"/>
          <w:marBottom w:val="0"/>
          <w:divBdr>
            <w:top w:val="none" w:sz="0" w:space="0" w:color="auto"/>
            <w:left w:val="none" w:sz="0" w:space="0" w:color="auto"/>
            <w:bottom w:val="none" w:sz="0" w:space="0" w:color="auto"/>
            <w:right w:val="none" w:sz="0" w:space="0" w:color="auto"/>
          </w:divBdr>
          <w:divsChild>
            <w:div w:id="17555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0598">
      <w:bodyDiv w:val="1"/>
      <w:marLeft w:val="0"/>
      <w:marRight w:val="0"/>
      <w:marTop w:val="0"/>
      <w:marBottom w:val="0"/>
      <w:divBdr>
        <w:top w:val="none" w:sz="0" w:space="0" w:color="auto"/>
        <w:left w:val="none" w:sz="0" w:space="0" w:color="auto"/>
        <w:bottom w:val="none" w:sz="0" w:space="0" w:color="auto"/>
        <w:right w:val="none" w:sz="0" w:space="0" w:color="auto"/>
      </w:divBdr>
      <w:divsChild>
        <w:div w:id="2087725932">
          <w:marLeft w:val="0"/>
          <w:marRight w:val="0"/>
          <w:marTop w:val="0"/>
          <w:marBottom w:val="0"/>
          <w:divBdr>
            <w:top w:val="none" w:sz="0" w:space="0" w:color="auto"/>
            <w:left w:val="none" w:sz="0" w:space="0" w:color="auto"/>
            <w:bottom w:val="none" w:sz="0" w:space="0" w:color="auto"/>
            <w:right w:val="none" w:sz="0" w:space="0" w:color="auto"/>
          </w:divBdr>
          <w:divsChild>
            <w:div w:id="13479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Zo7XJv8HwsiXq5+iLWejSiGFAQ==">CgMxLjA4AXIhMU8ybVRJcjdxZWJzeklpazRMT0FEX2lVeG1fbjdlZ3lX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 Fas</cp:lastModifiedBy>
  <cp:revision>8</cp:revision>
  <dcterms:created xsi:type="dcterms:W3CDTF">2025-06-21T11:43:00Z</dcterms:created>
  <dcterms:modified xsi:type="dcterms:W3CDTF">2025-06-21T12:37:00Z</dcterms:modified>
</cp:coreProperties>
</file>