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8C916" w14:textId="5131BD4C"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60BD7683"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 2020</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44943A8E" w:rsidR="002F5DC5" w:rsidRPr="002F5DC5" w:rsidRDefault="002F5DC5" w:rsidP="00E07E35">
      <w:pPr>
        <w:jc w:val="center"/>
        <w:rPr>
          <w:rFonts w:ascii="Bookman Old Style" w:hAnsi="Bookman Old Style"/>
        </w:rPr>
      </w:pPr>
      <w:r w:rsidRPr="002F5DC5">
        <w:rPr>
          <w:rFonts w:ascii="Bookman Old Style" w:hAnsi="Bookman Old Style"/>
        </w:rPr>
        <w:t>3</w:t>
      </w:r>
      <w:r w:rsidRPr="002F5DC5">
        <w:rPr>
          <w:rFonts w:ascii="Bookman Old Style" w:hAnsi="Bookman Old Style"/>
          <w:vertAlign w:val="superscript"/>
        </w:rPr>
        <w:t>rd</w:t>
      </w:r>
      <w:r w:rsidRPr="002F5DC5">
        <w:rPr>
          <w:rFonts w:ascii="Bookman Old Style" w:hAnsi="Bookman Old Style"/>
        </w:rPr>
        <w:t xml:space="preserve"> 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77777777" w:rsidR="00F24BEA" w:rsidRPr="002F5DC5" w:rsidRDefault="00F24BEA" w:rsidP="00E07E35">
      <w:pPr>
        <w:jc w:val="center"/>
        <w:rPr>
          <w:rFonts w:ascii="Bookman Old Style" w:hAnsi="Bookman Old Style"/>
        </w:rPr>
      </w:pPr>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77777777" w:rsidR="00E07E35" w:rsidRPr="002F5DC5" w:rsidRDefault="00E07E35">
          <w:pPr>
            <w:pStyle w:val="TOCHeading"/>
            <w:rPr>
              <w:rFonts w:ascii="Bookman Old Style" w:hAnsi="Bookman Old Style"/>
            </w:rPr>
          </w:pPr>
          <w:r w:rsidRPr="002F5DC5">
            <w:rPr>
              <w:rFonts w:ascii="Bookman Old Style" w:hAnsi="Bookman Old Style"/>
            </w:rPr>
            <w:t>Contents</w:t>
          </w:r>
        </w:p>
        <w:p w14:paraId="0B519455" w14:textId="1522EE3B" w:rsidR="0067382B"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59971016" w:history="1">
            <w:r w:rsidR="0067382B" w:rsidRPr="00CE31E8">
              <w:rPr>
                <w:rStyle w:val="Hyperlink"/>
                <w:rFonts w:ascii="Bookman Old Style" w:hAnsi="Bookman Old Style"/>
                <w:noProof/>
              </w:rPr>
              <w:t>Dedication.</w:t>
            </w:r>
            <w:r w:rsidR="0067382B">
              <w:rPr>
                <w:noProof/>
                <w:webHidden/>
              </w:rPr>
              <w:tab/>
            </w:r>
            <w:r w:rsidR="0067382B">
              <w:rPr>
                <w:noProof/>
                <w:webHidden/>
              </w:rPr>
              <w:fldChar w:fldCharType="begin"/>
            </w:r>
            <w:r w:rsidR="0067382B">
              <w:rPr>
                <w:noProof/>
                <w:webHidden/>
              </w:rPr>
              <w:instrText xml:space="preserve"> PAGEREF _Toc59971016 \h </w:instrText>
            </w:r>
            <w:r w:rsidR="0067382B">
              <w:rPr>
                <w:noProof/>
                <w:webHidden/>
              </w:rPr>
            </w:r>
            <w:r w:rsidR="0067382B">
              <w:rPr>
                <w:noProof/>
                <w:webHidden/>
              </w:rPr>
              <w:fldChar w:fldCharType="separate"/>
            </w:r>
            <w:r w:rsidR="0067382B">
              <w:rPr>
                <w:noProof/>
                <w:webHidden/>
              </w:rPr>
              <w:t>6</w:t>
            </w:r>
            <w:r w:rsidR="0067382B">
              <w:rPr>
                <w:noProof/>
                <w:webHidden/>
              </w:rPr>
              <w:fldChar w:fldCharType="end"/>
            </w:r>
          </w:hyperlink>
        </w:p>
        <w:p w14:paraId="53B4321B" w14:textId="7C67F63B" w:rsidR="0067382B" w:rsidRDefault="0067382B">
          <w:pPr>
            <w:pStyle w:val="TOC1"/>
            <w:tabs>
              <w:tab w:val="right" w:leader="dot" w:pos="9350"/>
            </w:tabs>
            <w:rPr>
              <w:rFonts w:eastAsiaTheme="minorEastAsia"/>
              <w:noProof/>
            </w:rPr>
          </w:pPr>
          <w:hyperlink w:anchor="_Toc59971017" w:history="1">
            <w:r w:rsidRPr="00CE31E8">
              <w:rPr>
                <w:rStyle w:val="Hyperlink"/>
                <w:rFonts w:ascii="Bookman Old Style" w:hAnsi="Bookman Old Style"/>
                <w:noProof/>
              </w:rPr>
              <w:t>Foreword (2020).</w:t>
            </w:r>
            <w:r>
              <w:rPr>
                <w:noProof/>
                <w:webHidden/>
              </w:rPr>
              <w:tab/>
            </w:r>
            <w:r>
              <w:rPr>
                <w:noProof/>
                <w:webHidden/>
              </w:rPr>
              <w:fldChar w:fldCharType="begin"/>
            </w:r>
            <w:r>
              <w:rPr>
                <w:noProof/>
                <w:webHidden/>
              </w:rPr>
              <w:instrText xml:space="preserve"> PAGEREF _Toc59971017 \h </w:instrText>
            </w:r>
            <w:r>
              <w:rPr>
                <w:noProof/>
                <w:webHidden/>
              </w:rPr>
            </w:r>
            <w:r>
              <w:rPr>
                <w:noProof/>
                <w:webHidden/>
              </w:rPr>
              <w:fldChar w:fldCharType="separate"/>
            </w:r>
            <w:r>
              <w:rPr>
                <w:noProof/>
                <w:webHidden/>
              </w:rPr>
              <w:t>7</w:t>
            </w:r>
            <w:r>
              <w:rPr>
                <w:noProof/>
                <w:webHidden/>
              </w:rPr>
              <w:fldChar w:fldCharType="end"/>
            </w:r>
          </w:hyperlink>
        </w:p>
        <w:p w14:paraId="42F31C9C" w14:textId="16E08E41" w:rsidR="0067382B" w:rsidRDefault="0067382B">
          <w:pPr>
            <w:pStyle w:val="TOC1"/>
            <w:tabs>
              <w:tab w:val="right" w:leader="dot" w:pos="9350"/>
            </w:tabs>
            <w:rPr>
              <w:rFonts w:eastAsiaTheme="minorEastAsia"/>
              <w:noProof/>
            </w:rPr>
          </w:pPr>
          <w:hyperlink w:anchor="_Toc59971018" w:history="1">
            <w:r w:rsidRPr="00CE31E8">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_Toc59971018 \h </w:instrText>
            </w:r>
            <w:r>
              <w:rPr>
                <w:noProof/>
                <w:webHidden/>
              </w:rPr>
            </w:r>
            <w:r>
              <w:rPr>
                <w:noProof/>
                <w:webHidden/>
              </w:rPr>
              <w:fldChar w:fldCharType="separate"/>
            </w:r>
            <w:r>
              <w:rPr>
                <w:noProof/>
                <w:webHidden/>
              </w:rPr>
              <w:t>9</w:t>
            </w:r>
            <w:r>
              <w:rPr>
                <w:noProof/>
                <w:webHidden/>
              </w:rPr>
              <w:fldChar w:fldCharType="end"/>
            </w:r>
          </w:hyperlink>
        </w:p>
        <w:p w14:paraId="039D6E9B" w14:textId="5D097A28" w:rsidR="0067382B" w:rsidRDefault="0067382B">
          <w:pPr>
            <w:pStyle w:val="TOC1"/>
            <w:tabs>
              <w:tab w:val="right" w:leader="dot" w:pos="9350"/>
            </w:tabs>
            <w:rPr>
              <w:rFonts w:eastAsiaTheme="minorEastAsia"/>
              <w:noProof/>
            </w:rPr>
          </w:pPr>
          <w:hyperlink w:anchor="_Toc59971019" w:history="1">
            <w:r w:rsidRPr="00CE31E8">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_Toc59971019 \h </w:instrText>
            </w:r>
            <w:r>
              <w:rPr>
                <w:noProof/>
                <w:webHidden/>
              </w:rPr>
            </w:r>
            <w:r>
              <w:rPr>
                <w:noProof/>
                <w:webHidden/>
              </w:rPr>
              <w:fldChar w:fldCharType="separate"/>
            </w:r>
            <w:r>
              <w:rPr>
                <w:noProof/>
                <w:webHidden/>
              </w:rPr>
              <w:t>10</w:t>
            </w:r>
            <w:r>
              <w:rPr>
                <w:noProof/>
                <w:webHidden/>
              </w:rPr>
              <w:fldChar w:fldCharType="end"/>
            </w:r>
          </w:hyperlink>
        </w:p>
        <w:p w14:paraId="49A8F34B" w14:textId="12C9AA58" w:rsidR="0067382B" w:rsidRDefault="0067382B">
          <w:pPr>
            <w:pStyle w:val="TOC1"/>
            <w:tabs>
              <w:tab w:val="left" w:pos="440"/>
              <w:tab w:val="right" w:leader="dot" w:pos="9350"/>
            </w:tabs>
            <w:rPr>
              <w:rFonts w:eastAsiaTheme="minorEastAsia"/>
              <w:noProof/>
            </w:rPr>
          </w:pPr>
          <w:hyperlink w:anchor="_Toc59971020" w:history="1">
            <w:r w:rsidRPr="00CE31E8">
              <w:rPr>
                <w:rStyle w:val="Hyperlink"/>
                <w:rFonts w:ascii="Bookman Old Style" w:hAnsi="Bookman Old Style"/>
                <w:noProof/>
              </w:rPr>
              <w:t>1.</w:t>
            </w:r>
            <w:r>
              <w:rPr>
                <w:rFonts w:eastAsiaTheme="minorEastAsia"/>
                <w:noProof/>
              </w:rPr>
              <w:tab/>
            </w:r>
            <w:r w:rsidRPr="00CE31E8">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_Toc59971020 \h </w:instrText>
            </w:r>
            <w:r>
              <w:rPr>
                <w:noProof/>
                <w:webHidden/>
              </w:rPr>
            </w:r>
            <w:r>
              <w:rPr>
                <w:noProof/>
                <w:webHidden/>
              </w:rPr>
              <w:fldChar w:fldCharType="separate"/>
            </w:r>
            <w:r>
              <w:rPr>
                <w:noProof/>
                <w:webHidden/>
              </w:rPr>
              <w:t>13</w:t>
            </w:r>
            <w:r>
              <w:rPr>
                <w:noProof/>
                <w:webHidden/>
              </w:rPr>
              <w:fldChar w:fldCharType="end"/>
            </w:r>
          </w:hyperlink>
        </w:p>
        <w:p w14:paraId="718A6CEB" w14:textId="7E11C4A0" w:rsidR="0067382B" w:rsidRDefault="0067382B">
          <w:pPr>
            <w:pStyle w:val="TOC2"/>
            <w:tabs>
              <w:tab w:val="right" w:leader="dot" w:pos="9350"/>
            </w:tabs>
            <w:rPr>
              <w:rFonts w:eastAsiaTheme="minorEastAsia"/>
              <w:noProof/>
            </w:rPr>
          </w:pPr>
          <w:hyperlink w:anchor="_Toc59971021" w:history="1">
            <w:r w:rsidRPr="00CE31E8">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_Toc59971021 \h </w:instrText>
            </w:r>
            <w:r>
              <w:rPr>
                <w:noProof/>
                <w:webHidden/>
              </w:rPr>
            </w:r>
            <w:r>
              <w:rPr>
                <w:noProof/>
                <w:webHidden/>
              </w:rPr>
              <w:fldChar w:fldCharType="separate"/>
            </w:r>
            <w:r>
              <w:rPr>
                <w:noProof/>
                <w:webHidden/>
              </w:rPr>
              <w:t>13</w:t>
            </w:r>
            <w:r>
              <w:rPr>
                <w:noProof/>
                <w:webHidden/>
              </w:rPr>
              <w:fldChar w:fldCharType="end"/>
            </w:r>
          </w:hyperlink>
        </w:p>
        <w:p w14:paraId="66816A0E" w14:textId="365D8139" w:rsidR="0067382B" w:rsidRDefault="0067382B">
          <w:pPr>
            <w:pStyle w:val="TOC2"/>
            <w:tabs>
              <w:tab w:val="right" w:leader="dot" w:pos="9350"/>
            </w:tabs>
            <w:rPr>
              <w:rFonts w:eastAsiaTheme="minorEastAsia"/>
              <w:noProof/>
            </w:rPr>
          </w:pPr>
          <w:hyperlink w:anchor="_Toc59971022" w:history="1">
            <w:r w:rsidRPr="00CE31E8">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_Toc59971022 \h </w:instrText>
            </w:r>
            <w:r>
              <w:rPr>
                <w:noProof/>
                <w:webHidden/>
              </w:rPr>
            </w:r>
            <w:r>
              <w:rPr>
                <w:noProof/>
                <w:webHidden/>
              </w:rPr>
              <w:fldChar w:fldCharType="separate"/>
            </w:r>
            <w:r>
              <w:rPr>
                <w:noProof/>
                <w:webHidden/>
              </w:rPr>
              <w:t>14</w:t>
            </w:r>
            <w:r>
              <w:rPr>
                <w:noProof/>
                <w:webHidden/>
              </w:rPr>
              <w:fldChar w:fldCharType="end"/>
            </w:r>
          </w:hyperlink>
        </w:p>
        <w:p w14:paraId="0DCE9081" w14:textId="113B827D" w:rsidR="0067382B" w:rsidRDefault="0067382B">
          <w:pPr>
            <w:pStyle w:val="TOC2"/>
            <w:tabs>
              <w:tab w:val="right" w:leader="dot" w:pos="9350"/>
            </w:tabs>
            <w:rPr>
              <w:rFonts w:eastAsiaTheme="minorEastAsia"/>
              <w:noProof/>
            </w:rPr>
          </w:pPr>
          <w:hyperlink w:anchor="_Toc59971023" w:history="1">
            <w:r w:rsidRPr="00CE31E8">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_Toc59971023 \h </w:instrText>
            </w:r>
            <w:r>
              <w:rPr>
                <w:noProof/>
                <w:webHidden/>
              </w:rPr>
            </w:r>
            <w:r>
              <w:rPr>
                <w:noProof/>
                <w:webHidden/>
              </w:rPr>
              <w:fldChar w:fldCharType="separate"/>
            </w:r>
            <w:r>
              <w:rPr>
                <w:noProof/>
                <w:webHidden/>
              </w:rPr>
              <w:t>16</w:t>
            </w:r>
            <w:r>
              <w:rPr>
                <w:noProof/>
                <w:webHidden/>
              </w:rPr>
              <w:fldChar w:fldCharType="end"/>
            </w:r>
          </w:hyperlink>
        </w:p>
        <w:p w14:paraId="488A4A2D" w14:textId="71C73780" w:rsidR="0067382B" w:rsidRDefault="0067382B">
          <w:pPr>
            <w:pStyle w:val="TOC1"/>
            <w:tabs>
              <w:tab w:val="right" w:leader="dot" w:pos="9350"/>
            </w:tabs>
            <w:rPr>
              <w:rFonts w:eastAsiaTheme="minorEastAsia"/>
              <w:noProof/>
            </w:rPr>
          </w:pPr>
          <w:hyperlink w:anchor="_Toc59971024" w:history="1">
            <w:r w:rsidRPr="00CE31E8">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_Toc59971024 \h </w:instrText>
            </w:r>
            <w:r>
              <w:rPr>
                <w:noProof/>
                <w:webHidden/>
              </w:rPr>
            </w:r>
            <w:r>
              <w:rPr>
                <w:noProof/>
                <w:webHidden/>
              </w:rPr>
              <w:fldChar w:fldCharType="separate"/>
            </w:r>
            <w:r>
              <w:rPr>
                <w:noProof/>
                <w:webHidden/>
              </w:rPr>
              <w:t>20</w:t>
            </w:r>
            <w:r>
              <w:rPr>
                <w:noProof/>
                <w:webHidden/>
              </w:rPr>
              <w:fldChar w:fldCharType="end"/>
            </w:r>
          </w:hyperlink>
        </w:p>
        <w:p w14:paraId="7C4C8BB7" w14:textId="2278C630" w:rsidR="0067382B" w:rsidRDefault="0067382B">
          <w:pPr>
            <w:pStyle w:val="TOC2"/>
            <w:tabs>
              <w:tab w:val="right" w:leader="dot" w:pos="9350"/>
            </w:tabs>
            <w:rPr>
              <w:rFonts w:eastAsiaTheme="minorEastAsia"/>
              <w:noProof/>
            </w:rPr>
          </w:pPr>
          <w:hyperlink w:anchor="_Toc59971025" w:history="1">
            <w:r w:rsidRPr="00CE31E8">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_Toc59971025 \h </w:instrText>
            </w:r>
            <w:r>
              <w:rPr>
                <w:noProof/>
                <w:webHidden/>
              </w:rPr>
            </w:r>
            <w:r>
              <w:rPr>
                <w:noProof/>
                <w:webHidden/>
              </w:rPr>
              <w:fldChar w:fldCharType="separate"/>
            </w:r>
            <w:r>
              <w:rPr>
                <w:noProof/>
                <w:webHidden/>
              </w:rPr>
              <w:t>24</w:t>
            </w:r>
            <w:r>
              <w:rPr>
                <w:noProof/>
                <w:webHidden/>
              </w:rPr>
              <w:fldChar w:fldCharType="end"/>
            </w:r>
          </w:hyperlink>
        </w:p>
        <w:p w14:paraId="1F98F6D9" w14:textId="343F4119" w:rsidR="0067382B" w:rsidRDefault="0067382B">
          <w:pPr>
            <w:pStyle w:val="TOC2"/>
            <w:tabs>
              <w:tab w:val="right" w:leader="dot" w:pos="9350"/>
            </w:tabs>
            <w:rPr>
              <w:rFonts w:eastAsiaTheme="minorEastAsia"/>
              <w:noProof/>
            </w:rPr>
          </w:pPr>
          <w:hyperlink w:anchor="_Toc59971026" w:history="1">
            <w:r w:rsidRPr="00CE31E8">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_Toc59971026 \h </w:instrText>
            </w:r>
            <w:r>
              <w:rPr>
                <w:noProof/>
                <w:webHidden/>
              </w:rPr>
            </w:r>
            <w:r>
              <w:rPr>
                <w:noProof/>
                <w:webHidden/>
              </w:rPr>
              <w:fldChar w:fldCharType="separate"/>
            </w:r>
            <w:r>
              <w:rPr>
                <w:noProof/>
                <w:webHidden/>
              </w:rPr>
              <w:t>25</w:t>
            </w:r>
            <w:r>
              <w:rPr>
                <w:noProof/>
                <w:webHidden/>
              </w:rPr>
              <w:fldChar w:fldCharType="end"/>
            </w:r>
          </w:hyperlink>
        </w:p>
        <w:p w14:paraId="4A42B6FA" w14:textId="20ED0BC0" w:rsidR="0067382B" w:rsidRDefault="0067382B">
          <w:pPr>
            <w:pStyle w:val="TOC1"/>
            <w:tabs>
              <w:tab w:val="right" w:leader="dot" w:pos="9350"/>
            </w:tabs>
            <w:rPr>
              <w:rFonts w:eastAsiaTheme="minorEastAsia"/>
              <w:noProof/>
            </w:rPr>
          </w:pPr>
          <w:hyperlink w:anchor="_Toc59971027" w:history="1">
            <w:r w:rsidRPr="00CE31E8">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_Toc59971027 \h </w:instrText>
            </w:r>
            <w:r>
              <w:rPr>
                <w:noProof/>
                <w:webHidden/>
              </w:rPr>
            </w:r>
            <w:r>
              <w:rPr>
                <w:noProof/>
                <w:webHidden/>
              </w:rPr>
              <w:fldChar w:fldCharType="separate"/>
            </w:r>
            <w:r>
              <w:rPr>
                <w:noProof/>
                <w:webHidden/>
              </w:rPr>
              <w:t>29</w:t>
            </w:r>
            <w:r>
              <w:rPr>
                <w:noProof/>
                <w:webHidden/>
              </w:rPr>
              <w:fldChar w:fldCharType="end"/>
            </w:r>
          </w:hyperlink>
        </w:p>
        <w:p w14:paraId="7C726DFB" w14:textId="2A3DAC23" w:rsidR="0067382B" w:rsidRDefault="0067382B">
          <w:pPr>
            <w:pStyle w:val="TOC2"/>
            <w:tabs>
              <w:tab w:val="right" w:leader="dot" w:pos="9350"/>
            </w:tabs>
            <w:rPr>
              <w:rFonts w:eastAsiaTheme="minorEastAsia"/>
              <w:noProof/>
            </w:rPr>
          </w:pPr>
          <w:hyperlink w:anchor="_Toc59971028" w:history="1">
            <w:r w:rsidRPr="00CE31E8">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_Toc59971028 \h </w:instrText>
            </w:r>
            <w:r>
              <w:rPr>
                <w:noProof/>
                <w:webHidden/>
              </w:rPr>
            </w:r>
            <w:r>
              <w:rPr>
                <w:noProof/>
                <w:webHidden/>
              </w:rPr>
              <w:fldChar w:fldCharType="separate"/>
            </w:r>
            <w:r>
              <w:rPr>
                <w:noProof/>
                <w:webHidden/>
              </w:rPr>
              <w:t>29</w:t>
            </w:r>
            <w:r>
              <w:rPr>
                <w:noProof/>
                <w:webHidden/>
              </w:rPr>
              <w:fldChar w:fldCharType="end"/>
            </w:r>
          </w:hyperlink>
        </w:p>
        <w:p w14:paraId="4CF23C3B" w14:textId="7823B8A0" w:rsidR="0067382B" w:rsidRDefault="0067382B">
          <w:pPr>
            <w:pStyle w:val="TOC2"/>
            <w:tabs>
              <w:tab w:val="right" w:leader="dot" w:pos="9350"/>
            </w:tabs>
            <w:rPr>
              <w:rFonts w:eastAsiaTheme="minorEastAsia"/>
              <w:noProof/>
            </w:rPr>
          </w:pPr>
          <w:hyperlink w:anchor="_Toc59971029" w:history="1">
            <w:r w:rsidRPr="00CE31E8">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_Toc59971029 \h </w:instrText>
            </w:r>
            <w:r>
              <w:rPr>
                <w:noProof/>
                <w:webHidden/>
              </w:rPr>
            </w:r>
            <w:r>
              <w:rPr>
                <w:noProof/>
                <w:webHidden/>
              </w:rPr>
              <w:fldChar w:fldCharType="separate"/>
            </w:r>
            <w:r>
              <w:rPr>
                <w:noProof/>
                <w:webHidden/>
              </w:rPr>
              <w:t>32</w:t>
            </w:r>
            <w:r>
              <w:rPr>
                <w:noProof/>
                <w:webHidden/>
              </w:rPr>
              <w:fldChar w:fldCharType="end"/>
            </w:r>
          </w:hyperlink>
        </w:p>
        <w:p w14:paraId="03FD7BA1" w14:textId="3F508E29" w:rsidR="0067382B" w:rsidRDefault="0067382B">
          <w:pPr>
            <w:pStyle w:val="TOC1"/>
            <w:tabs>
              <w:tab w:val="right" w:leader="dot" w:pos="9350"/>
            </w:tabs>
            <w:rPr>
              <w:rFonts w:eastAsiaTheme="minorEastAsia"/>
              <w:noProof/>
            </w:rPr>
          </w:pPr>
          <w:hyperlink w:anchor="_Toc59971030" w:history="1">
            <w:r w:rsidRPr="00CE31E8">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_Toc59971030 \h </w:instrText>
            </w:r>
            <w:r>
              <w:rPr>
                <w:noProof/>
                <w:webHidden/>
              </w:rPr>
            </w:r>
            <w:r>
              <w:rPr>
                <w:noProof/>
                <w:webHidden/>
              </w:rPr>
              <w:fldChar w:fldCharType="separate"/>
            </w:r>
            <w:r>
              <w:rPr>
                <w:noProof/>
                <w:webHidden/>
              </w:rPr>
              <w:t>37</w:t>
            </w:r>
            <w:r>
              <w:rPr>
                <w:noProof/>
                <w:webHidden/>
              </w:rPr>
              <w:fldChar w:fldCharType="end"/>
            </w:r>
          </w:hyperlink>
        </w:p>
        <w:p w14:paraId="2E7C7AF3" w14:textId="51071E62" w:rsidR="0067382B" w:rsidRDefault="0067382B">
          <w:pPr>
            <w:pStyle w:val="TOC2"/>
            <w:tabs>
              <w:tab w:val="right" w:leader="dot" w:pos="9350"/>
            </w:tabs>
            <w:rPr>
              <w:rFonts w:eastAsiaTheme="minorEastAsia"/>
              <w:noProof/>
            </w:rPr>
          </w:pPr>
          <w:hyperlink w:anchor="_Toc59971031" w:history="1">
            <w:r w:rsidRPr="00CE31E8">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_Toc59971031 \h </w:instrText>
            </w:r>
            <w:r>
              <w:rPr>
                <w:noProof/>
                <w:webHidden/>
              </w:rPr>
            </w:r>
            <w:r>
              <w:rPr>
                <w:noProof/>
                <w:webHidden/>
              </w:rPr>
              <w:fldChar w:fldCharType="separate"/>
            </w:r>
            <w:r>
              <w:rPr>
                <w:noProof/>
                <w:webHidden/>
              </w:rPr>
              <w:t>37</w:t>
            </w:r>
            <w:r>
              <w:rPr>
                <w:noProof/>
                <w:webHidden/>
              </w:rPr>
              <w:fldChar w:fldCharType="end"/>
            </w:r>
          </w:hyperlink>
        </w:p>
        <w:p w14:paraId="78857D3D" w14:textId="43D4D577" w:rsidR="0067382B" w:rsidRDefault="0067382B">
          <w:pPr>
            <w:pStyle w:val="TOC2"/>
            <w:tabs>
              <w:tab w:val="right" w:leader="dot" w:pos="9350"/>
            </w:tabs>
            <w:rPr>
              <w:rFonts w:eastAsiaTheme="minorEastAsia"/>
              <w:noProof/>
            </w:rPr>
          </w:pPr>
          <w:hyperlink w:anchor="_Toc59971032" w:history="1">
            <w:r w:rsidRPr="00CE31E8">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_Toc59971032 \h </w:instrText>
            </w:r>
            <w:r>
              <w:rPr>
                <w:noProof/>
                <w:webHidden/>
              </w:rPr>
            </w:r>
            <w:r>
              <w:rPr>
                <w:noProof/>
                <w:webHidden/>
              </w:rPr>
              <w:fldChar w:fldCharType="separate"/>
            </w:r>
            <w:r>
              <w:rPr>
                <w:noProof/>
                <w:webHidden/>
              </w:rPr>
              <w:t>38</w:t>
            </w:r>
            <w:r>
              <w:rPr>
                <w:noProof/>
                <w:webHidden/>
              </w:rPr>
              <w:fldChar w:fldCharType="end"/>
            </w:r>
          </w:hyperlink>
        </w:p>
        <w:p w14:paraId="34227982" w14:textId="572FDC7F" w:rsidR="0067382B" w:rsidRDefault="0067382B">
          <w:pPr>
            <w:pStyle w:val="TOC1"/>
            <w:tabs>
              <w:tab w:val="right" w:leader="dot" w:pos="9350"/>
            </w:tabs>
            <w:rPr>
              <w:rFonts w:eastAsiaTheme="minorEastAsia"/>
              <w:noProof/>
            </w:rPr>
          </w:pPr>
          <w:hyperlink w:anchor="_Toc59971033" w:history="1">
            <w:r w:rsidRPr="00CE31E8">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_Toc59971033 \h </w:instrText>
            </w:r>
            <w:r>
              <w:rPr>
                <w:noProof/>
                <w:webHidden/>
              </w:rPr>
            </w:r>
            <w:r>
              <w:rPr>
                <w:noProof/>
                <w:webHidden/>
              </w:rPr>
              <w:fldChar w:fldCharType="separate"/>
            </w:r>
            <w:r>
              <w:rPr>
                <w:noProof/>
                <w:webHidden/>
              </w:rPr>
              <w:t>41</w:t>
            </w:r>
            <w:r>
              <w:rPr>
                <w:noProof/>
                <w:webHidden/>
              </w:rPr>
              <w:fldChar w:fldCharType="end"/>
            </w:r>
          </w:hyperlink>
        </w:p>
        <w:p w14:paraId="299C3CE1" w14:textId="797F5AD3" w:rsidR="0067382B" w:rsidRDefault="0067382B">
          <w:pPr>
            <w:pStyle w:val="TOC2"/>
            <w:tabs>
              <w:tab w:val="right" w:leader="dot" w:pos="9350"/>
            </w:tabs>
            <w:rPr>
              <w:rFonts w:eastAsiaTheme="minorEastAsia"/>
              <w:noProof/>
            </w:rPr>
          </w:pPr>
          <w:hyperlink w:anchor="_Toc59971034" w:history="1">
            <w:r w:rsidRPr="00CE31E8">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_Toc59971034 \h </w:instrText>
            </w:r>
            <w:r>
              <w:rPr>
                <w:noProof/>
                <w:webHidden/>
              </w:rPr>
            </w:r>
            <w:r>
              <w:rPr>
                <w:noProof/>
                <w:webHidden/>
              </w:rPr>
              <w:fldChar w:fldCharType="separate"/>
            </w:r>
            <w:r>
              <w:rPr>
                <w:noProof/>
                <w:webHidden/>
              </w:rPr>
              <w:t>43</w:t>
            </w:r>
            <w:r>
              <w:rPr>
                <w:noProof/>
                <w:webHidden/>
              </w:rPr>
              <w:fldChar w:fldCharType="end"/>
            </w:r>
          </w:hyperlink>
        </w:p>
        <w:p w14:paraId="69D8569B" w14:textId="151099E1" w:rsidR="0067382B" w:rsidRDefault="0067382B">
          <w:pPr>
            <w:pStyle w:val="TOC2"/>
            <w:tabs>
              <w:tab w:val="right" w:leader="dot" w:pos="9350"/>
            </w:tabs>
            <w:rPr>
              <w:rFonts w:eastAsiaTheme="minorEastAsia"/>
              <w:noProof/>
            </w:rPr>
          </w:pPr>
          <w:hyperlink w:anchor="_Toc59971035" w:history="1">
            <w:r w:rsidRPr="00CE31E8">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_Toc59971035 \h </w:instrText>
            </w:r>
            <w:r>
              <w:rPr>
                <w:noProof/>
                <w:webHidden/>
              </w:rPr>
            </w:r>
            <w:r>
              <w:rPr>
                <w:noProof/>
                <w:webHidden/>
              </w:rPr>
              <w:fldChar w:fldCharType="separate"/>
            </w:r>
            <w:r>
              <w:rPr>
                <w:noProof/>
                <w:webHidden/>
              </w:rPr>
              <w:t>44</w:t>
            </w:r>
            <w:r>
              <w:rPr>
                <w:noProof/>
                <w:webHidden/>
              </w:rPr>
              <w:fldChar w:fldCharType="end"/>
            </w:r>
          </w:hyperlink>
        </w:p>
        <w:p w14:paraId="2B7F7477" w14:textId="66EC4458" w:rsidR="0067382B" w:rsidRDefault="0067382B">
          <w:pPr>
            <w:pStyle w:val="TOC1"/>
            <w:tabs>
              <w:tab w:val="right" w:leader="dot" w:pos="9350"/>
            </w:tabs>
            <w:rPr>
              <w:rFonts w:eastAsiaTheme="minorEastAsia"/>
              <w:noProof/>
            </w:rPr>
          </w:pPr>
          <w:hyperlink w:anchor="_Toc59971036" w:history="1">
            <w:r w:rsidRPr="00CE31E8">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_Toc59971036 \h </w:instrText>
            </w:r>
            <w:r>
              <w:rPr>
                <w:noProof/>
                <w:webHidden/>
              </w:rPr>
            </w:r>
            <w:r>
              <w:rPr>
                <w:noProof/>
                <w:webHidden/>
              </w:rPr>
              <w:fldChar w:fldCharType="separate"/>
            </w:r>
            <w:r>
              <w:rPr>
                <w:noProof/>
                <w:webHidden/>
              </w:rPr>
              <w:t>46</w:t>
            </w:r>
            <w:r>
              <w:rPr>
                <w:noProof/>
                <w:webHidden/>
              </w:rPr>
              <w:fldChar w:fldCharType="end"/>
            </w:r>
          </w:hyperlink>
        </w:p>
        <w:p w14:paraId="53A3D23F" w14:textId="6ACD5259" w:rsidR="0067382B" w:rsidRDefault="0067382B">
          <w:pPr>
            <w:pStyle w:val="TOC2"/>
            <w:tabs>
              <w:tab w:val="right" w:leader="dot" w:pos="9350"/>
            </w:tabs>
            <w:rPr>
              <w:rFonts w:eastAsiaTheme="minorEastAsia"/>
              <w:noProof/>
            </w:rPr>
          </w:pPr>
          <w:hyperlink w:anchor="_Toc59971037" w:history="1">
            <w:r w:rsidRPr="00CE31E8">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_Toc59971037 \h </w:instrText>
            </w:r>
            <w:r>
              <w:rPr>
                <w:noProof/>
                <w:webHidden/>
              </w:rPr>
            </w:r>
            <w:r>
              <w:rPr>
                <w:noProof/>
                <w:webHidden/>
              </w:rPr>
              <w:fldChar w:fldCharType="separate"/>
            </w:r>
            <w:r>
              <w:rPr>
                <w:noProof/>
                <w:webHidden/>
              </w:rPr>
              <w:t>46</w:t>
            </w:r>
            <w:r>
              <w:rPr>
                <w:noProof/>
                <w:webHidden/>
              </w:rPr>
              <w:fldChar w:fldCharType="end"/>
            </w:r>
          </w:hyperlink>
        </w:p>
        <w:p w14:paraId="4EC58CA2" w14:textId="2E6E8259" w:rsidR="0067382B" w:rsidRDefault="0067382B">
          <w:pPr>
            <w:pStyle w:val="TOC2"/>
            <w:tabs>
              <w:tab w:val="right" w:leader="dot" w:pos="9350"/>
            </w:tabs>
            <w:rPr>
              <w:rFonts w:eastAsiaTheme="minorEastAsia"/>
              <w:noProof/>
            </w:rPr>
          </w:pPr>
          <w:hyperlink w:anchor="_Toc59971038" w:history="1">
            <w:r w:rsidRPr="00CE31E8">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_Toc59971038 \h </w:instrText>
            </w:r>
            <w:r>
              <w:rPr>
                <w:noProof/>
                <w:webHidden/>
              </w:rPr>
            </w:r>
            <w:r>
              <w:rPr>
                <w:noProof/>
                <w:webHidden/>
              </w:rPr>
              <w:fldChar w:fldCharType="separate"/>
            </w:r>
            <w:r>
              <w:rPr>
                <w:noProof/>
                <w:webHidden/>
              </w:rPr>
              <w:t>47</w:t>
            </w:r>
            <w:r>
              <w:rPr>
                <w:noProof/>
                <w:webHidden/>
              </w:rPr>
              <w:fldChar w:fldCharType="end"/>
            </w:r>
          </w:hyperlink>
        </w:p>
        <w:p w14:paraId="0BB10336" w14:textId="15DDD089" w:rsidR="0067382B" w:rsidRDefault="0067382B">
          <w:pPr>
            <w:pStyle w:val="TOC2"/>
            <w:tabs>
              <w:tab w:val="right" w:leader="dot" w:pos="9350"/>
            </w:tabs>
            <w:rPr>
              <w:rFonts w:eastAsiaTheme="minorEastAsia"/>
              <w:noProof/>
            </w:rPr>
          </w:pPr>
          <w:hyperlink w:anchor="_Toc59971039" w:history="1">
            <w:r w:rsidRPr="00CE31E8">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_Toc59971039 \h </w:instrText>
            </w:r>
            <w:r>
              <w:rPr>
                <w:noProof/>
                <w:webHidden/>
              </w:rPr>
            </w:r>
            <w:r>
              <w:rPr>
                <w:noProof/>
                <w:webHidden/>
              </w:rPr>
              <w:fldChar w:fldCharType="separate"/>
            </w:r>
            <w:r>
              <w:rPr>
                <w:noProof/>
                <w:webHidden/>
              </w:rPr>
              <w:t>48</w:t>
            </w:r>
            <w:r>
              <w:rPr>
                <w:noProof/>
                <w:webHidden/>
              </w:rPr>
              <w:fldChar w:fldCharType="end"/>
            </w:r>
          </w:hyperlink>
        </w:p>
        <w:p w14:paraId="20D4F8B9" w14:textId="39E44DCA" w:rsidR="0067382B" w:rsidRDefault="0067382B">
          <w:pPr>
            <w:pStyle w:val="TOC2"/>
            <w:tabs>
              <w:tab w:val="right" w:leader="dot" w:pos="9350"/>
            </w:tabs>
            <w:rPr>
              <w:rFonts w:eastAsiaTheme="minorEastAsia"/>
              <w:noProof/>
            </w:rPr>
          </w:pPr>
          <w:hyperlink w:anchor="_Toc59971040" w:history="1">
            <w:r w:rsidRPr="00CE31E8">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_Toc59971040 \h </w:instrText>
            </w:r>
            <w:r>
              <w:rPr>
                <w:noProof/>
                <w:webHidden/>
              </w:rPr>
            </w:r>
            <w:r>
              <w:rPr>
                <w:noProof/>
                <w:webHidden/>
              </w:rPr>
              <w:fldChar w:fldCharType="separate"/>
            </w:r>
            <w:r>
              <w:rPr>
                <w:noProof/>
                <w:webHidden/>
              </w:rPr>
              <w:t>48</w:t>
            </w:r>
            <w:r>
              <w:rPr>
                <w:noProof/>
                <w:webHidden/>
              </w:rPr>
              <w:fldChar w:fldCharType="end"/>
            </w:r>
          </w:hyperlink>
        </w:p>
        <w:p w14:paraId="25569D56" w14:textId="01BBDF6C" w:rsidR="0067382B" w:rsidRDefault="0067382B">
          <w:pPr>
            <w:pStyle w:val="TOC2"/>
            <w:tabs>
              <w:tab w:val="right" w:leader="dot" w:pos="9350"/>
            </w:tabs>
            <w:rPr>
              <w:rFonts w:eastAsiaTheme="minorEastAsia"/>
              <w:noProof/>
            </w:rPr>
          </w:pPr>
          <w:hyperlink w:anchor="_Toc59971041" w:history="1">
            <w:r w:rsidRPr="00CE31E8">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_Toc59971041 \h </w:instrText>
            </w:r>
            <w:r>
              <w:rPr>
                <w:noProof/>
                <w:webHidden/>
              </w:rPr>
            </w:r>
            <w:r>
              <w:rPr>
                <w:noProof/>
                <w:webHidden/>
              </w:rPr>
              <w:fldChar w:fldCharType="separate"/>
            </w:r>
            <w:r>
              <w:rPr>
                <w:noProof/>
                <w:webHidden/>
              </w:rPr>
              <w:t>48</w:t>
            </w:r>
            <w:r>
              <w:rPr>
                <w:noProof/>
                <w:webHidden/>
              </w:rPr>
              <w:fldChar w:fldCharType="end"/>
            </w:r>
          </w:hyperlink>
        </w:p>
        <w:p w14:paraId="06DEB4B4" w14:textId="59EF8D57" w:rsidR="0067382B" w:rsidRDefault="0067382B">
          <w:pPr>
            <w:pStyle w:val="TOC2"/>
            <w:tabs>
              <w:tab w:val="right" w:leader="dot" w:pos="9350"/>
            </w:tabs>
            <w:rPr>
              <w:rFonts w:eastAsiaTheme="minorEastAsia"/>
              <w:noProof/>
            </w:rPr>
          </w:pPr>
          <w:hyperlink w:anchor="_Toc59971042" w:history="1">
            <w:r w:rsidRPr="00CE31E8">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_Toc59971042 \h </w:instrText>
            </w:r>
            <w:r>
              <w:rPr>
                <w:noProof/>
                <w:webHidden/>
              </w:rPr>
            </w:r>
            <w:r>
              <w:rPr>
                <w:noProof/>
                <w:webHidden/>
              </w:rPr>
              <w:fldChar w:fldCharType="separate"/>
            </w:r>
            <w:r>
              <w:rPr>
                <w:noProof/>
                <w:webHidden/>
              </w:rPr>
              <w:t>49</w:t>
            </w:r>
            <w:r>
              <w:rPr>
                <w:noProof/>
                <w:webHidden/>
              </w:rPr>
              <w:fldChar w:fldCharType="end"/>
            </w:r>
          </w:hyperlink>
        </w:p>
        <w:p w14:paraId="28C7034E" w14:textId="39171112" w:rsidR="0067382B" w:rsidRDefault="0067382B">
          <w:pPr>
            <w:pStyle w:val="TOC2"/>
            <w:tabs>
              <w:tab w:val="right" w:leader="dot" w:pos="9350"/>
            </w:tabs>
            <w:rPr>
              <w:rFonts w:eastAsiaTheme="minorEastAsia"/>
              <w:noProof/>
            </w:rPr>
          </w:pPr>
          <w:hyperlink w:anchor="_Toc59971043" w:history="1">
            <w:r w:rsidRPr="00CE31E8">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_Toc59971043 \h </w:instrText>
            </w:r>
            <w:r>
              <w:rPr>
                <w:noProof/>
                <w:webHidden/>
              </w:rPr>
            </w:r>
            <w:r>
              <w:rPr>
                <w:noProof/>
                <w:webHidden/>
              </w:rPr>
              <w:fldChar w:fldCharType="separate"/>
            </w:r>
            <w:r>
              <w:rPr>
                <w:noProof/>
                <w:webHidden/>
              </w:rPr>
              <w:t>50</w:t>
            </w:r>
            <w:r>
              <w:rPr>
                <w:noProof/>
                <w:webHidden/>
              </w:rPr>
              <w:fldChar w:fldCharType="end"/>
            </w:r>
          </w:hyperlink>
        </w:p>
        <w:p w14:paraId="75D69DBA" w14:textId="301954A6" w:rsidR="0067382B" w:rsidRDefault="0067382B">
          <w:pPr>
            <w:pStyle w:val="TOC3"/>
            <w:tabs>
              <w:tab w:val="right" w:leader="dot" w:pos="9350"/>
            </w:tabs>
            <w:rPr>
              <w:rFonts w:eastAsiaTheme="minorEastAsia"/>
              <w:noProof/>
            </w:rPr>
          </w:pPr>
          <w:hyperlink w:anchor="_Toc59971044" w:history="1">
            <w:r w:rsidRPr="00CE31E8">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_Toc59971044 \h </w:instrText>
            </w:r>
            <w:r>
              <w:rPr>
                <w:noProof/>
                <w:webHidden/>
              </w:rPr>
            </w:r>
            <w:r>
              <w:rPr>
                <w:noProof/>
                <w:webHidden/>
              </w:rPr>
              <w:fldChar w:fldCharType="separate"/>
            </w:r>
            <w:r>
              <w:rPr>
                <w:noProof/>
                <w:webHidden/>
              </w:rPr>
              <w:t>51</w:t>
            </w:r>
            <w:r>
              <w:rPr>
                <w:noProof/>
                <w:webHidden/>
              </w:rPr>
              <w:fldChar w:fldCharType="end"/>
            </w:r>
          </w:hyperlink>
        </w:p>
        <w:p w14:paraId="456DD2F8" w14:textId="0BEB640F" w:rsidR="0067382B" w:rsidRDefault="0067382B">
          <w:pPr>
            <w:pStyle w:val="TOC2"/>
            <w:tabs>
              <w:tab w:val="right" w:leader="dot" w:pos="9350"/>
            </w:tabs>
            <w:rPr>
              <w:rFonts w:eastAsiaTheme="minorEastAsia"/>
              <w:noProof/>
            </w:rPr>
          </w:pPr>
          <w:hyperlink w:anchor="_Toc59971045" w:history="1">
            <w:r w:rsidRPr="00CE31E8">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_Toc59971045 \h </w:instrText>
            </w:r>
            <w:r>
              <w:rPr>
                <w:noProof/>
                <w:webHidden/>
              </w:rPr>
            </w:r>
            <w:r>
              <w:rPr>
                <w:noProof/>
                <w:webHidden/>
              </w:rPr>
              <w:fldChar w:fldCharType="separate"/>
            </w:r>
            <w:r>
              <w:rPr>
                <w:noProof/>
                <w:webHidden/>
              </w:rPr>
              <w:t>52</w:t>
            </w:r>
            <w:r>
              <w:rPr>
                <w:noProof/>
                <w:webHidden/>
              </w:rPr>
              <w:fldChar w:fldCharType="end"/>
            </w:r>
          </w:hyperlink>
        </w:p>
        <w:p w14:paraId="21434B3D" w14:textId="719C6D09" w:rsidR="0067382B" w:rsidRDefault="0067382B">
          <w:pPr>
            <w:pStyle w:val="TOC2"/>
            <w:tabs>
              <w:tab w:val="right" w:leader="dot" w:pos="9350"/>
            </w:tabs>
            <w:rPr>
              <w:rFonts w:eastAsiaTheme="minorEastAsia"/>
              <w:noProof/>
            </w:rPr>
          </w:pPr>
          <w:hyperlink w:anchor="_Toc59971046" w:history="1">
            <w:r w:rsidRPr="00CE31E8">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_Toc59971046 \h </w:instrText>
            </w:r>
            <w:r>
              <w:rPr>
                <w:noProof/>
                <w:webHidden/>
              </w:rPr>
            </w:r>
            <w:r>
              <w:rPr>
                <w:noProof/>
                <w:webHidden/>
              </w:rPr>
              <w:fldChar w:fldCharType="separate"/>
            </w:r>
            <w:r>
              <w:rPr>
                <w:noProof/>
                <w:webHidden/>
              </w:rPr>
              <w:t>54</w:t>
            </w:r>
            <w:r>
              <w:rPr>
                <w:noProof/>
                <w:webHidden/>
              </w:rPr>
              <w:fldChar w:fldCharType="end"/>
            </w:r>
          </w:hyperlink>
        </w:p>
        <w:p w14:paraId="2DAA2027" w14:textId="06619227" w:rsidR="0067382B" w:rsidRDefault="0067382B">
          <w:pPr>
            <w:pStyle w:val="TOC2"/>
            <w:tabs>
              <w:tab w:val="right" w:leader="dot" w:pos="9350"/>
            </w:tabs>
            <w:rPr>
              <w:rFonts w:eastAsiaTheme="minorEastAsia"/>
              <w:noProof/>
            </w:rPr>
          </w:pPr>
          <w:hyperlink w:anchor="_Toc59971047" w:history="1">
            <w:r w:rsidRPr="00CE31E8">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_Toc59971047 \h </w:instrText>
            </w:r>
            <w:r>
              <w:rPr>
                <w:noProof/>
                <w:webHidden/>
              </w:rPr>
            </w:r>
            <w:r>
              <w:rPr>
                <w:noProof/>
                <w:webHidden/>
              </w:rPr>
              <w:fldChar w:fldCharType="separate"/>
            </w:r>
            <w:r>
              <w:rPr>
                <w:noProof/>
                <w:webHidden/>
              </w:rPr>
              <w:t>54</w:t>
            </w:r>
            <w:r>
              <w:rPr>
                <w:noProof/>
                <w:webHidden/>
              </w:rPr>
              <w:fldChar w:fldCharType="end"/>
            </w:r>
          </w:hyperlink>
        </w:p>
        <w:p w14:paraId="72A04C76" w14:textId="51466780" w:rsidR="0067382B" w:rsidRDefault="0067382B">
          <w:pPr>
            <w:pStyle w:val="TOC2"/>
            <w:tabs>
              <w:tab w:val="right" w:leader="dot" w:pos="9350"/>
            </w:tabs>
            <w:rPr>
              <w:rFonts w:eastAsiaTheme="minorEastAsia"/>
              <w:noProof/>
            </w:rPr>
          </w:pPr>
          <w:hyperlink w:anchor="_Toc59971048" w:history="1">
            <w:r w:rsidRPr="00CE31E8">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_Toc59971048 \h </w:instrText>
            </w:r>
            <w:r>
              <w:rPr>
                <w:noProof/>
                <w:webHidden/>
              </w:rPr>
            </w:r>
            <w:r>
              <w:rPr>
                <w:noProof/>
                <w:webHidden/>
              </w:rPr>
              <w:fldChar w:fldCharType="separate"/>
            </w:r>
            <w:r>
              <w:rPr>
                <w:noProof/>
                <w:webHidden/>
              </w:rPr>
              <w:t>55</w:t>
            </w:r>
            <w:r>
              <w:rPr>
                <w:noProof/>
                <w:webHidden/>
              </w:rPr>
              <w:fldChar w:fldCharType="end"/>
            </w:r>
          </w:hyperlink>
        </w:p>
        <w:p w14:paraId="0AA231F9" w14:textId="0FCB96B7" w:rsidR="0067382B" w:rsidRDefault="0067382B">
          <w:pPr>
            <w:pStyle w:val="TOC2"/>
            <w:tabs>
              <w:tab w:val="right" w:leader="dot" w:pos="9350"/>
            </w:tabs>
            <w:rPr>
              <w:rFonts w:eastAsiaTheme="minorEastAsia"/>
              <w:noProof/>
            </w:rPr>
          </w:pPr>
          <w:hyperlink w:anchor="_Toc59971049" w:history="1">
            <w:r w:rsidRPr="00CE31E8">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_Toc59971049 \h </w:instrText>
            </w:r>
            <w:r>
              <w:rPr>
                <w:noProof/>
                <w:webHidden/>
              </w:rPr>
            </w:r>
            <w:r>
              <w:rPr>
                <w:noProof/>
                <w:webHidden/>
              </w:rPr>
              <w:fldChar w:fldCharType="separate"/>
            </w:r>
            <w:r>
              <w:rPr>
                <w:noProof/>
                <w:webHidden/>
              </w:rPr>
              <w:t>55</w:t>
            </w:r>
            <w:r>
              <w:rPr>
                <w:noProof/>
                <w:webHidden/>
              </w:rPr>
              <w:fldChar w:fldCharType="end"/>
            </w:r>
          </w:hyperlink>
        </w:p>
        <w:p w14:paraId="0B63CE8A" w14:textId="398B7502" w:rsidR="0067382B" w:rsidRDefault="0067382B">
          <w:pPr>
            <w:pStyle w:val="TOC2"/>
            <w:tabs>
              <w:tab w:val="right" w:leader="dot" w:pos="9350"/>
            </w:tabs>
            <w:rPr>
              <w:rFonts w:eastAsiaTheme="minorEastAsia"/>
              <w:noProof/>
            </w:rPr>
          </w:pPr>
          <w:hyperlink w:anchor="_Toc59971050" w:history="1">
            <w:r w:rsidRPr="00CE31E8">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_Toc59971050 \h </w:instrText>
            </w:r>
            <w:r>
              <w:rPr>
                <w:noProof/>
                <w:webHidden/>
              </w:rPr>
            </w:r>
            <w:r>
              <w:rPr>
                <w:noProof/>
                <w:webHidden/>
              </w:rPr>
              <w:fldChar w:fldCharType="separate"/>
            </w:r>
            <w:r>
              <w:rPr>
                <w:noProof/>
                <w:webHidden/>
              </w:rPr>
              <w:t>55</w:t>
            </w:r>
            <w:r>
              <w:rPr>
                <w:noProof/>
                <w:webHidden/>
              </w:rPr>
              <w:fldChar w:fldCharType="end"/>
            </w:r>
          </w:hyperlink>
        </w:p>
        <w:p w14:paraId="0EF736A3" w14:textId="3F436DDB" w:rsidR="0067382B" w:rsidRDefault="0067382B">
          <w:pPr>
            <w:pStyle w:val="TOC1"/>
            <w:tabs>
              <w:tab w:val="right" w:leader="dot" w:pos="9350"/>
            </w:tabs>
            <w:rPr>
              <w:rFonts w:eastAsiaTheme="minorEastAsia"/>
              <w:noProof/>
            </w:rPr>
          </w:pPr>
          <w:hyperlink w:anchor="_Toc59971051" w:history="1">
            <w:r w:rsidRPr="00CE31E8">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_Toc59971051 \h </w:instrText>
            </w:r>
            <w:r>
              <w:rPr>
                <w:noProof/>
                <w:webHidden/>
              </w:rPr>
            </w:r>
            <w:r>
              <w:rPr>
                <w:noProof/>
                <w:webHidden/>
              </w:rPr>
              <w:fldChar w:fldCharType="separate"/>
            </w:r>
            <w:r>
              <w:rPr>
                <w:noProof/>
                <w:webHidden/>
              </w:rPr>
              <w:t>56</w:t>
            </w:r>
            <w:r>
              <w:rPr>
                <w:noProof/>
                <w:webHidden/>
              </w:rPr>
              <w:fldChar w:fldCharType="end"/>
            </w:r>
          </w:hyperlink>
        </w:p>
        <w:p w14:paraId="3CF7CF07" w14:textId="0C88D1C2" w:rsidR="0067382B" w:rsidRDefault="0067382B">
          <w:pPr>
            <w:pStyle w:val="TOC2"/>
            <w:tabs>
              <w:tab w:val="right" w:leader="dot" w:pos="9350"/>
            </w:tabs>
            <w:rPr>
              <w:rFonts w:eastAsiaTheme="minorEastAsia"/>
              <w:noProof/>
            </w:rPr>
          </w:pPr>
          <w:hyperlink w:anchor="_Toc59971052" w:history="1">
            <w:r w:rsidRPr="00CE31E8">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_Toc59971052 \h </w:instrText>
            </w:r>
            <w:r>
              <w:rPr>
                <w:noProof/>
                <w:webHidden/>
              </w:rPr>
            </w:r>
            <w:r>
              <w:rPr>
                <w:noProof/>
                <w:webHidden/>
              </w:rPr>
              <w:fldChar w:fldCharType="separate"/>
            </w:r>
            <w:r>
              <w:rPr>
                <w:noProof/>
                <w:webHidden/>
              </w:rPr>
              <w:t>56</w:t>
            </w:r>
            <w:r>
              <w:rPr>
                <w:noProof/>
                <w:webHidden/>
              </w:rPr>
              <w:fldChar w:fldCharType="end"/>
            </w:r>
          </w:hyperlink>
        </w:p>
        <w:p w14:paraId="09CE01C9" w14:textId="537E0299" w:rsidR="0067382B" w:rsidRDefault="0067382B">
          <w:pPr>
            <w:pStyle w:val="TOC2"/>
            <w:tabs>
              <w:tab w:val="right" w:leader="dot" w:pos="9350"/>
            </w:tabs>
            <w:rPr>
              <w:rFonts w:eastAsiaTheme="minorEastAsia"/>
              <w:noProof/>
            </w:rPr>
          </w:pPr>
          <w:hyperlink w:anchor="_Toc59971053" w:history="1">
            <w:r w:rsidRPr="00CE31E8">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_Toc59971053 \h </w:instrText>
            </w:r>
            <w:r>
              <w:rPr>
                <w:noProof/>
                <w:webHidden/>
              </w:rPr>
            </w:r>
            <w:r>
              <w:rPr>
                <w:noProof/>
                <w:webHidden/>
              </w:rPr>
              <w:fldChar w:fldCharType="separate"/>
            </w:r>
            <w:r>
              <w:rPr>
                <w:noProof/>
                <w:webHidden/>
              </w:rPr>
              <w:t>56</w:t>
            </w:r>
            <w:r>
              <w:rPr>
                <w:noProof/>
                <w:webHidden/>
              </w:rPr>
              <w:fldChar w:fldCharType="end"/>
            </w:r>
          </w:hyperlink>
        </w:p>
        <w:p w14:paraId="3F271F03" w14:textId="409905EC" w:rsidR="0067382B" w:rsidRDefault="0067382B">
          <w:pPr>
            <w:pStyle w:val="TOC2"/>
            <w:tabs>
              <w:tab w:val="right" w:leader="dot" w:pos="9350"/>
            </w:tabs>
            <w:rPr>
              <w:rFonts w:eastAsiaTheme="minorEastAsia"/>
              <w:noProof/>
            </w:rPr>
          </w:pPr>
          <w:hyperlink w:anchor="_Toc59971054" w:history="1">
            <w:r w:rsidRPr="00CE31E8">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_Toc59971054 \h </w:instrText>
            </w:r>
            <w:r>
              <w:rPr>
                <w:noProof/>
                <w:webHidden/>
              </w:rPr>
            </w:r>
            <w:r>
              <w:rPr>
                <w:noProof/>
                <w:webHidden/>
              </w:rPr>
              <w:fldChar w:fldCharType="separate"/>
            </w:r>
            <w:r>
              <w:rPr>
                <w:noProof/>
                <w:webHidden/>
              </w:rPr>
              <w:t>57</w:t>
            </w:r>
            <w:r>
              <w:rPr>
                <w:noProof/>
                <w:webHidden/>
              </w:rPr>
              <w:fldChar w:fldCharType="end"/>
            </w:r>
          </w:hyperlink>
        </w:p>
        <w:p w14:paraId="5ADD8942" w14:textId="033A2AAD" w:rsidR="0067382B" w:rsidRDefault="0067382B">
          <w:pPr>
            <w:pStyle w:val="TOC2"/>
            <w:tabs>
              <w:tab w:val="right" w:leader="dot" w:pos="9350"/>
            </w:tabs>
            <w:rPr>
              <w:rFonts w:eastAsiaTheme="minorEastAsia"/>
              <w:noProof/>
            </w:rPr>
          </w:pPr>
          <w:hyperlink w:anchor="_Toc59971055" w:history="1">
            <w:r w:rsidRPr="00CE31E8">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_Toc59971055 \h </w:instrText>
            </w:r>
            <w:r>
              <w:rPr>
                <w:noProof/>
                <w:webHidden/>
              </w:rPr>
            </w:r>
            <w:r>
              <w:rPr>
                <w:noProof/>
                <w:webHidden/>
              </w:rPr>
              <w:fldChar w:fldCharType="separate"/>
            </w:r>
            <w:r>
              <w:rPr>
                <w:noProof/>
                <w:webHidden/>
              </w:rPr>
              <w:t>57</w:t>
            </w:r>
            <w:r>
              <w:rPr>
                <w:noProof/>
                <w:webHidden/>
              </w:rPr>
              <w:fldChar w:fldCharType="end"/>
            </w:r>
          </w:hyperlink>
        </w:p>
        <w:p w14:paraId="7FE79AA4" w14:textId="588C92AC" w:rsidR="0067382B" w:rsidRDefault="0067382B">
          <w:pPr>
            <w:pStyle w:val="TOC1"/>
            <w:tabs>
              <w:tab w:val="right" w:leader="dot" w:pos="9350"/>
            </w:tabs>
            <w:rPr>
              <w:rFonts w:eastAsiaTheme="minorEastAsia"/>
              <w:noProof/>
            </w:rPr>
          </w:pPr>
          <w:hyperlink w:anchor="_Toc59971056" w:history="1">
            <w:r w:rsidRPr="00CE31E8">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_Toc59971056 \h </w:instrText>
            </w:r>
            <w:r>
              <w:rPr>
                <w:noProof/>
                <w:webHidden/>
              </w:rPr>
            </w:r>
            <w:r>
              <w:rPr>
                <w:noProof/>
                <w:webHidden/>
              </w:rPr>
              <w:fldChar w:fldCharType="separate"/>
            </w:r>
            <w:r>
              <w:rPr>
                <w:noProof/>
                <w:webHidden/>
              </w:rPr>
              <w:t>59</w:t>
            </w:r>
            <w:r>
              <w:rPr>
                <w:noProof/>
                <w:webHidden/>
              </w:rPr>
              <w:fldChar w:fldCharType="end"/>
            </w:r>
          </w:hyperlink>
        </w:p>
        <w:p w14:paraId="73247478" w14:textId="7FE36C3C" w:rsidR="0067382B" w:rsidRDefault="0067382B">
          <w:pPr>
            <w:pStyle w:val="TOC1"/>
            <w:tabs>
              <w:tab w:val="right" w:leader="dot" w:pos="9350"/>
            </w:tabs>
            <w:rPr>
              <w:rFonts w:eastAsiaTheme="minorEastAsia"/>
              <w:noProof/>
            </w:rPr>
          </w:pPr>
          <w:hyperlink w:anchor="_Toc59971057" w:history="1">
            <w:r w:rsidRPr="00CE31E8">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_Toc59971057 \h </w:instrText>
            </w:r>
            <w:r>
              <w:rPr>
                <w:noProof/>
                <w:webHidden/>
              </w:rPr>
            </w:r>
            <w:r>
              <w:rPr>
                <w:noProof/>
                <w:webHidden/>
              </w:rPr>
              <w:fldChar w:fldCharType="separate"/>
            </w:r>
            <w:r>
              <w:rPr>
                <w:noProof/>
                <w:webHidden/>
              </w:rPr>
              <w:t>63</w:t>
            </w:r>
            <w:r>
              <w:rPr>
                <w:noProof/>
                <w:webHidden/>
              </w:rPr>
              <w:fldChar w:fldCharType="end"/>
            </w:r>
          </w:hyperlink>
        </w:p>
        <w:p w14:paraId="58951934" w14:textId="570DEE7D" w:rsidR="0067382B" w:rsidRDefault="0067382B">
          <w:pPr>
            <w:pStyle w:val="TOC2"/>
            <w:tabs>
              <w:tab w:val="right" w:leader="dot" w:pos="9350"/>
            </w:tabs>
            <w:rPr>
              <w:rFonts w:eastAsiaTheme="minorEastAsia"/>
              <w:noProof/>
            </w:rPr>
          </w:pPr>
          <w:hyperlink w:anchor="_Toc59971058" w:history="1">
            <w:r w:rsidRPr="00CE31E8">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_Toc59971058 \h </w:instrText>
            </w:r>
            <w:r>
              <w:rPr>
                <w:noProof/>
                <w:webHidden/>
              </w:rPr>
            </w:r>
            <w:r>
              <w:rPr>
                <w:noProof/>
                <w:webHidden/>
              </w:rPr>
              <w:fldChar w:fldCharType="separate"/>
            </w:r>
            <w:r>
              <w:rPr>
                <w:noProof/>
                <w:webHidden/>
              </w:rPr>
              <w:t>63</w:t>
            </w:r>
            <w:r>
              <w:rPr>
                <w:noProof/>
                <w:webHidden/>
              </w:rPr>
              <w:fldChar w:fldCharType="end"/>
            </w:r>
          </w:hyperlink>
        </w:p>
        <w:p w14:paraId="6AF4B23C" w14:textId="277FBF93" w:rsidR="0067382B" w:rsidRDefault="0067382B">
          <w:pPr>
            <w:pStyle w:val="TOC2"/>
            <w:tabs>
              <w:tab w:val="right" w:leader="dot" w:pos="9350"/>
            </w:tabs>
            <w:rPr>
              <w:rFonts w:eastAsiaTheme="minorEastAsia"/>
              <w:noProof/>
            </w:rPr>
          </w:pPr>
          <w:hyperlink w:anchor="_Toc59971059" w:history="1">
            <w:r w:rsidRPr="00CE31E8">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_Toc59971059 \h </w:instrText>
            </w:r>
            <w:r>
              <w:rPr>
                <w:noProof/>
                <w:webHidden/>
              </w:rPr>
            </w:r>
            <w:r>
              <w:rPr>
                <w:noProof/>
                <w:webHidden/>
              </w:rPr>
              <w:fldChar w:fldCharType="separate"/>
            </w:r>
            <w:r>
              <w:rPr>
                <w:noProof/>
                <w:webHidden/>
              </w:rPr>
              <w:t>63</w:t>
            </w:r>
            <w:r>
              <w:rPr>
                <w:noProof/>
                <w:webHidden/>
              </w:rPr>
              <w:fldChar w:fldCharType="end"/>
            </w:r>
          </w:hyperlink>
        </w:p>
        <w:p w14:paraId="4866998A" w14:textId="5A289217" w:rsidR="0067382B" w:rsidRDefault="0067382B">
          <w:pPr>
            <w:pStyle w:val="TOC2"/>
            <w:tabs>
              <w:tab w:val="right" w:leader="dot" w:pos="9350"/>
            </w:tabs>
            <w:rPr>
              <w:rFonts w:eastAsiaTheme="minorEastAsia"/>
              <w:noProof/>
            </w:rPr>
          </w:pPr>
          <w:hyperlink w:anchor="_Toc59971060" w:history="1">
            <w:r w:rsidRPr="00CE31E8">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_Toc59971060 \h </w:instrText>
            </w:r>
            <w:r>
              <w:rPr>
                <w:noProof/>
                <w:webHidden/>
              </w:rPr>
            </w:r>
            <w:r>
              <w:rPr>
                <w:noProof/>
                <w:webHidden/>
              </w:rPr>
              <w:fldChar w:fldCharType="separate"/>
            </w:r>
            <w:r>
              <w:rPr>
                <w:noProof/>
                <w:webHidden/>
              </w:rPr>
              <w:t>66</w:t>
            </w:r>
            <w:r>
              <w:rPr>
                <w:noProof/>
                <w:webHidden/>
              </w:rPr>
              <w:fldChar w:fldCharType="end"/>
            </w:r>
          </w:hyperlink>
        </w:p>
        <w:p w14:paraId="231D12C9" w14:textId="1714F921" w:rsidR="0067382B" w:rsidRDefault="0067382B">
          <w:pPr>
            <w:pStyle w:val="TOC1"/>
            <w:tabs>
              <w:tab w:val="right" w:leader="dot" w:pos="9350"/>
            </w:tabs>
            <w:rPr>
              <w:rFonts w:eastAsiaTheme="minorEastAsia"/>
              <w:noProof/>
            </w:rPr>
          </w:pPr>
          <w:hyperlink w:anchor="_Toc59971061" w:history="1">
            <w:r w:rsidRPr="00CE31E8">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_Toc59971061 \h </w:instrText>
            </w:r>
            <w:r>
              <w:rPr>
                <w:noProof/>
                <w:webHidden/>
              </w:rPr>
            </w:r>
            <w:r>
              <w:rPr>
                <w:noProof/>
                <w:webHidden/>
              </w:rPr>
              <w:fldChar w:fldCharType="separate"/>
            </w:r>
            <w:r>
              <w:rPr>
                <w:noProof/>
                <w:webHidden/>
              </w:rPr>
              <w:t>76</w:t>
            </w:r>
            <w:r>
              <w:rPr>
                <w:noProof/>
                <w:webHidden/>
              </w:rPr>
              <w:fldChar w:fldCharType="end"/>
            </w:r>
          </w:hyperlink>
        </w:p>
        <w:p w14:paraId="2D665FB8" w14:textId="4C626976" w:rsidR="0067382B" w:rsidRDefault="0067382B">
          <w:pPr>
            <w:pStyle w:val="TOC2"/>
            <w:tabs>
              <w:tab w:val="right" w:leader="dot" w:pos="9350"/>
            </w:tabs>
            <w:rPr>
              <w:rFonts w:eastAsiaTheme="minorEastAsia"/>
              <w:noProof/>
            </w:rPr>
          </w:pPr>
          <w:hyperlink w:anchor="_Toc59971062" w:history="1">
            <w:r w:rsidRPr="00CE31E8">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_Toc59971062 \h </w:instrText>
            </w:r>
            <w:r>
              <w:rPr>
                <w:noProof/>
                <w:webHidden/>
              </w:rPr>
            </w:r>
            <w:r>
              <w:rPr>
                <w:noProof/>
                <w:webHidden/>
              </w:rPr>
              <w:fldChar w:fldCharType="separate"/>
            </w:r>
            <w:r>
              <w:rPr>
                <w:noProof/>
                <w:webHidden/>
              </w:rPr>
              <w:t>84</w:t>
            </w:r>
            <w:r>
              <w:rPr>
                <w:noProof/>
                <w:webHidden/>
              </w:rPr>
              <w:fldChar w:fldCharType="end"/>
            </w:r>
          </w:hyperlink>
        </w:p>
        <w:p w14:paraId="4B72E03F" w14:textId="1CDD70A8" w:rsidR="0067382B" w:rsidRDefault="0067382B">
          <w:pPr>
            <w:pStyle w:val="TOC2"/>
            <w:tabs>
              <w:tab w:val="right" w:leader="dot" w:pos="9350"/>
            </w:tabs>
            <w:rPr>
              <w:rFonts w:eastAsiaTheme="minorEastAsia"/>
              <w:noProof/>
            </w:rPr>
          </w:pPr>
          <w:hyperlink w:anchor="_Toc59971063" w:history="1">
            <w:r w:rsidRPr="00CE31E8">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_Toc59971063 \h </w:instrText>
            </w:r>
            <w:r>
              <w:rPr>
                <w:noProof/>
                <w:webHidden/>
              </w:rPr>
            </w:r>
            <w:r>
              <w:rPr>
                <w:noProof/>
                <w:webHidden/>
              </w:rPr>
              <w:fldChar w:fldCharType="separate"/>
            </w:r>
            <w:r>
              <w:rPr>
                <w:noProof/>
                <w:webHidden/>
              </w:rPr>
              <w:t>86</w:t>
            </w:r>
            <w:r>
              <w:rPr>
                <w:noProof/>
                <w:webHidden/>
              </w:rPr>
              <w:fldChar w:fldCharType="end"/>
            </w:r>
          </w:hyperlink>
        </w:p>
        <w:p w14:paraId="1111B8E4" w14:textId="61AF1267" w:rsidR="0067382B" w:rsidRDefault="0067382B">
          <w:pPr>
            <w:pStyle w:val="TOC2"/>
            <w:tabs>
              <w:tab w:val="right" w:leader="dot" w:pos="9350"/>
            </w:tabs>
            <w:rPr>
              <w:rFonts w:eastAsiaTheme="minorEastAsia"/>
              <w:noProof/>
            </w:rPr>
          </w:pPr>
          <w:hyperlink w:anchor="_Toc59971064" w:history="1">
            <w:r w:rsidRPr="00CE31E8">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_Toc59971064 \h </w:instrText>
            </w:r>
            <w:r>
              <w:rPr>
                <w:noProof/>
                <w:webHidden/>
              </w:rPr>
            </w:r>
            <w:r>
              <w:rPr>
                <w:noProof/>
                <w:webHidden/>
              </w:rPr>
              <w:fldChar w:fldCharType="separate"/>
            </w:r>
            <w:r>
              <w:rPr>
                <w:noProof/>
                <w:webHidden/>
              </w:rPr>
              <w:t>90</w:t>
            </w:r>
            <w:r>
              <w:rPr>
                <w:noProof/>
                <w:webHidden/>
              </w:rPr>
              <w:fldChar w:fldCharType="end"/>
            </w:r>
          </w:hyperlink>
        </w:p>
        <w:p w14:paraId="6FEEBACC" w14:textId="603621F8" w:rsidR="0067382B" w:rsidRDefault="0067382B">
          <w:pPr>
            <w:pStyle w:val="TOC1"/>
            <w:tabs>
              <w:tab w:val="right" w:leader="dot" w:pos="9350"/>
            </w:tabs>
            <w:rPr>
              <w:rFonts w:eastAsiaTheme="minorEastAsia"/>
              <w:noProof/>
            </w:rPr>
          </w:pPr>
          <w:hyperlink w:anchor="_Toc59971065" w:history="1">
            <w:r w:rsidRPr="00CE31E8">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_Toc59971065 \h </w:instrText>
            </w:r>
            <w:r>
              <w:rPr>
                <w:noProof/>
                <w:webHidden/>
              </w:rPr>
            </w:r>
            <w:r>
              <w:rPr>
                <w:noProof/>
                <w:webHidden/>
              </w:rPr>
              <w:fldChar w:fldCharType="separate"/>
            </w:r>
            <w:r>
              <w:rPr>
                <w:noProof/>
                <w:webHidden/>
              </w:rPr>
              <w:t>94</w:t>
            </w:r>
            <w:r>
              <w:rPr>
                <w:noProof/>
                <w:webHidden/>
              </w:rPr>
              <w:fldChar w:fldCharType="end"/>
            </w:r>
          </w:hyperlink>
        </w:p>
        <w:p w14:paraId="34811840" w14:textId="50F1FEBC" w:rsidR="0067382B" w:rsidRDefault="0067382B">
          <w:pPr>
            <w:pStyle w:val="TOC2"/>
            <w:tabs>
              <w:tab w:val="right" w:leader="dot" w:pos="9350"/>
            </w:tabs>
            <w:rPr>
              <w:rFonts w:eastAsiaTheme="minorEastAsia"/>
              <w:noProof/>
            </w:rPr>
          </w:pPr>
          <w:hyperlink w:anchor="_Toc59971066" w:history="1">
            <w:r w:rsidRPr="00CE31E8">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_Toc59971066 \h </w:instrText>
            </w:r>
            <w:r>
              <w:rPr>
                <w:noProof/>
                <w:webHidden/>
              </w:rPr>
            </w:r>
            <w:r>
              <w:rPr>
                <w:noProof/>
                <w:webHidden/>
              </w:rPr>
              <w:fldChar w:fldCharType="separate"/>
            </w:r>
            <w:r>
              <w:rPr>
                <w:noProof/>
                <w:webHidden/>
              </w:rPr>
              <w:t>95</w:t>
            </w:r>
            <w:r>
              <w:rPr>
                <w:noProof/>
                <w:webHidden/>
              </w:rPr>
              <w:fldChar w:fldCharType="end"/>
            </w:r>
          </w:hyperlink>
        </w:p>
        <w:p w14:paraId="578C17B4" w14:textId="73CD6CCE" w:rsidR="0067382B" w:rsidRDefault="0067382B">
          <w:pPr>
            <w:pStyle w:val="TOC2"/>
            <w:tabs>
              <w:tab w:val="right" w:leader="dot" w:pos="9350"/>
            </w:tabs>
            <w:rPr>
              <w:rFonts w:eastAsiaTheme="minorEastAsia"/>
              <w:noProof/>
            </w:rPr>
          </w:pPr>
          <w:hyperlink w:anchor="_Toc59971067" w:history="1">
            <w:r w:rsidRPr="00CE31E8">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_Toc59971067 \h </w:instrText>
            </w:r>
            <w:r>
              <w:rPr>
                <w:noProof/>
                <w:webHidden/>
              </w:rPr>
            </w:r>
            <w:r>
              <w:rPr>
                <w:noProof/>
                <w:webHidden/>
              </w:rPr>
              <w:fldChar w:fldCharType="separate"/>
            </w:r>
            <w:r>
              <w:rPr>
                <w:noProof/>
                <w:webHidden/>
              </w:rPr>
              <w:t>97</w:t>
            </w:r>
            <w:r>
              <w:rPr>
                <w:noProof/>
                <w:webHidden/>
              </w:rPr>
              <w:fldChar w:fldCharType="end"/>
            </w:r>
          </w:hyperlink>
        </w:p>
        <w:p w14:paraId="34764708" w14:textId="35A86A9F" w:rsidR="0067382B" w:rsidRDefault="0067382B">
          <w:pPr>
            <w:pStyle w:val="TOC1"/>
            <w:tabs>
              <w:tab w:val="right" w:leader="dot" w:pos="9350"/>
            </w:tabs>
            <w:rPr>
              <w:rFonts w:eastAsiaTheme="minorEastAsia"/>
              <w:noProof/>
            </w:rPr>
          </w:pPr>
          <w:hyperlink w:anchor="_Toc59971068" w:history="1">
            <w:r w:rsidRPr="00CE31E8">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_Toc59971068 \h </w:instrText>
            </w:r>
            <w:r>
              <w:rPr>
                <w:noProof/>
                <w:webHidden/>
              </w:rPr>
            </w:r>
            <w:r>
              <w:rPr>
                <w:noProof/>
                <w:webHidden/>
              </w:rPr>
              <w:fldChar w:fldCharType="separate"/>
            </w:r>
            <w:r>
              <w:rPr>
                <w:noProof/>
                <w:webHidden/>
              </w:rPr>
              <w:t>102</w:t>
            </w:r>
            <w:r>
              <w:rPr>
                <w:noProof/>
                <w:webHidden/>
              </w:rPr>
              <w:fldChar w:fldCharType="end"/>
            </w:r>
          </w:hyperlink>
        </w:p>
        <w:p w14:paraId="388FD44D" w14:textId="5EC47B0B" w:rsidR="0067382B" w:rsidRDefault="0067382B">
          <w:pPr>
            <w:pStyle w:val="TOC1"/>
            <w:tabs>
              <w:tab w:val="right" w:leader="dot" w:pos="9350"/>
            </w:tabs>
            <w:rPr>
              <w:rFonts w:eastAsiaTheme="minorEastAsia"/>
              <w:noProof/>
            </w:rPr>
          </w:pPr>
          <w:hyperlink w:anchor="_Toc59971069" w:history="1">
            <w:r w:rsidRPr="00CE31E8">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_Toc59971069 \h </w:instrText>
            </w:r>
            <w:r>
              <w:rPr>
                <w:noProof/>
                <w:webHidden/>
              </w:rPr>
            </w:r>
            <w:r>
              <w:rPr>
                <w:noProof/>
                <w:webHidden/>
              </w:rPr>
              <w:fldChar w:fldCharType="separate"/>
            </w:r>
            <w:r>
              <w:rPr>
                <w:noProof/>
                <w:webHidden/>
              </w:rPr>
              <w:t>106</w:t>
            </w:r>
            <w:r>
              <w:rPr>
                <w:noProof/>
                <w:webHidden/>
              </w:rPr>
              <w:fldChar w:fldCharType="end"/>
            </w:r>
          </w:hyperlink>
        </w:p>
        <w:p w14:paraId="00D05203" w14:textId="0064F867" w:rsidR="0067382B" w:rsidRDefault="0067382B">
          <w:pPr>
            <w:pStyle w:val="TOC2"/>
            <w:tabs>
              <w:tab w:val="right" w:leader="dot" w:pos="9350"/>
            </w:tabs>
            <w:rPr>
              <w:rFonts w:eastAsiaTheme="minorEastAsia"/>
              <w:noProof/>
            </w:rPr>
          </w:pPr>
          <w:hyperlink w:anchor="_Toc59971070" w:history="1">
            <w:r w:rsidRPr="00CE31E8">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_Toc59971070 \h </w:instrText>
            </w:r>
            <w:r>
              <w:rPr>
                <w:noProof/>
                <w:webHidden/>
              </w:rPr>
            </w:r>
            <w:r>
              <w:rPr>
                <w:noProof/>
                <w:webHidden/>
              </w:rPr>
              <w:fldChar w:fldCharType="separate"/>
            </w:r>
            <w:r>
              <w:rPr>
                <w:noProof/>
                <w:webHidden/>
              </w:rPr>
              <w:t>106</w:t>
            </w:r>
            <w:r>
              <w:rPr>
                <w:noProof/>
                <w:webHidden/>
              </w:rPr>
              <w:fldChar w:fldCharType="end"/>
            </w:r>
          </w:hyperlink>
        </w:p>
        <w:p w14:paraId="52E6EDDE" w14:textId="1EDE69E3" w:rsidR="0067382B" w:rsidRDefault="0067382B">
          <w:pPr>
            <w:pStyle w:val="TOC2"/>
            <w:tabs>
              <w:tab w:val="right" w:leader="dot" w:pos="9350"/>
            </w:tabs>
            <w:rPr>
              <w:rFonts w:eastAsiaTheme="minorEastAsia"/>
              <w:noProof/>
            </w:rPr>
          </w:pPr>
          <w:hyperlink w:anchor="_Toc59971071" w:history="1">
            <w:r w:rsidRPr="00CE31E8">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_Toc59971071 \h </w:instrText>
            </w:r>
            <w:r>
              <w:rPr>
                <w:noProof/>
                <w:webHidden/>
              </w:rPr>
            </w:r>
            <w:r>
              <w:rPr>
                <w:noProof/>
                <w:webHidden/>
              </w:rPr>
              <w:fldChar w:fldCharType="separate"/>
            </w:r>
            <w:r>
              <w:rPr>
                <w:noProof/>
                <w:webHidden/>
              </w:rPr>
              <w:t>107</w:t>
            </w:r>
            <w:r>
              <w:rPr>
                <w:noProof/>
                <w:webHidden/>
              </w:rPr>
              <w:fldChar w:fldCharType="end"/>
            </w:r>
          </w:hyperlink>
        </w:p>
        <w:p w14:paraId="00404102" w14:textId="3A67AEED" w:rsidR="0067382B" w:rsidRDefault="0067382B">
          <w:pPr>
            <w:pStyle w:val="TOC2"/>
            <w:tabs>
              <w:tab w:val="right" w:leader="dot" w:pos="9350"/>
            </w:tabs>
            <w:rPr>
              <w:rFonts w:eastAsiaTheme="minorEastAsia"/>
              <w:noProof/>
            </w:rPr>
          </w:pPr>
          <w:hyperlink w:anchor="_Toc59971072" w:history="1">
            <w:r w:rsidRPr="00CE31E8">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_Toc59971072 \h </w:instrText>
            </w:r>
            <w:r>
              <w:rPr>
                <w:noProof/>
                <w:webHidden/>
              </w:rPr>
            </w:r>
            <w:r>
              <w:rPr>
                <w:noProof/>
                <w:webHidden/>
              </w:rPr>
              <w:fldChar w:fldCharType="separate"/>
            </w:r>
            <w:r>
              <w:rPr>
                <w:noProof/>
                <w:webHidden/>
              </w:rPr>
              <w:t>107</w:t>
            </w:r>
            <w:r>
              <w:rPr>
                <w:noProof/>
                <w:webHidden/>
              </w:rPr>
              <w:fldChar w:fldCharType="end"/>
            </w:r>
          </w:hyperlink>
        </w:p>
        <w:p w14:paraId="3C0AA31F" w14:textId="28B29844" w:rsidR="0067382B" w:rsidRDefault="0067382B">
          <w:pPr>
            <w:pStyle w:val="TOC2"/>
            <w:tabs>
              <w:tab w:val="right" w:leader="dot" w:pos="9350"/>
            </w:tabs>
            <w:rPr>
              <w:rFonts w:eastAsiaTheme="minorEastAsia"/>
              <w:noProof/>
            </w:rPr>
          </w:pPr>
          <w:hyperlink w:anchor="_Toc59971073" w:history="1">
            <w:r w:rsidRPr="00CE31E8">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_Toc59971073 \h </w:instrText>
            </w:r>
            <w:r>
              <w:rPr>
                <w:noProof/>
                <w:webHidden/>
              </w:rPr>
            </w:r>
            <w:r>
              <w:rPr>
                <w:noProof/>
                <w:webHidden/>
              </w:rPr>
              <w:fldChar w:fldCharType="separate"/>
            </w:r>
            <w:r>
              <w:rPr>
                <w:noProof/>
                <w:webHidden/>
              </w:rPr>
              <w:t>109</w:t>
            </w:r>
            <w:r>
              <w:rPr>
                <w:noProof/>
                <w:webHidden/>
              </w:rPr>
              <w:fldChar w:fldCharType="end"/>
            </w:r>
          </w:hyperlink>
        </w:p>
        <w:p w14:paraId="7F20BB58" w14:textId="1A4DEF2B" w:rsidR="0067382B" w:rsidRDefault="0067382B">
          <w:pPr>
            <w:pStyle w:val="TOC2"/>
            <w:tabs>
              <w:tab w:val="right" w:leader="dot" w:pos="9350"/>
            </w:tabs>
            <w:rPr>
              <w:rFonts w:eastAsiaTheme="minorEastAsia"/>
              <w:noProof/>
            </w:rPr>
          </w:pPr>
          <w:hyperlink w:anchor="_Toc59971074" w:history="1">
            <w:r w:rsidRPr="00CE31E8">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_Toc59971074 \h </w:instrText>
            </w:r>
            <w:r>
              <w:rPr>
                <w:noProof/>
                <w:webHidden/>
              </w:rPr>
            </w:r>
            <w:r>
              <w:rPr>
                <w:noProof/>
                <w:webHidden/>
              </w:rPr>
              <w:fldChar w:fldCharType="separate"/>
            </w:r>
            <w:r>
              <w:rPr>
                <w:noProof/>
                <w:webHidden/>
              </w:rPr>
              <w:t>109</w:t>
            </w:r>
            <w:r>
              <w:rPr>
                <w:noProof/>
                <w:webHidden/>
              </w:rPr>
              <w:fldChar w:fldCharType="end"/>
            </w:r>
          </w:hyperlink>
        </w:p>
        <w:p w14:paraId="25C01A74" w14:textId="43D7B9FE" w:rsidR="0067382B" w:rsidRDefault="0067382B">
          <w:pPr>
            <w:pStyle w:val="TOC1"/>
            <w:tabs>
              <w:tab w:val="right" w:leader="dot" w:pos="9350"/>
            </w:tabs>
            <w:rPr>
              <w:rFonts w:eastAsiaTheme="minorEastAsia"/>
              <w:noProof/>
            </w:rPr>
          </w:pPr>
          <w:hyperlink w:anchor="_Toc59971075" w:history="1">
            <w:r w:rsidRPr="00CE31E8">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_Toc59971075 \h </w:instrText>
            </w:r>
            <w:r>
              <w:rPr>
                <w:noProof/>
                <w:webHidden/>
              </w:rPr>
            </w:r>
            <w:r>
              <w:rPr>
                <w:noProof/>
                <w:webHidden/>
              </w:rPr>
              <w:fldChar w:fldCharType="separate"/>
            </w:r>
            <w:r>
              <w:rPr>
                <w:noProof/>
                <w:webHidden/>
              </w:rPr>
              <w:t>112</w:t>
            </w:r>
            <w:r>
              <w:rPr>
                <w:noProof/>
                <w:webHidden/>
              </w:rPr>
              <w:fldChar w:fldCharType="end"/>
            </w:r>
          </w:hyperlink>
        </w:p>
        <w:p w14:paraId="55C394CE" w14:textId="08D01B54" w:rsidR="0067382B" w:rsidRDefault="0067382B">
          <w:pPr>
            <w:pStyle w:val="TOC2"/>
            <w:tabs>
              <w:tab w:val="right" w:leader="dot" w:pos="9350"/>
            </w:tabs>
            <w:rPr>
              <w:rFonts w:eastAsiaTheme="minorEastAsia"/>
              <w:noProof/>
            </w:rPr>
          </w:pPr>
          <w:hyperlink w:anchor="_Toc59971076" w:history="1">
            <w:r w:rsidRPr="00CE31E8">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_Toc59971076 \h </w:instrText>
            </w:r>
            <w:r>
              <w:rPr>
                <w:noProof/>
                <w:webHidden/>
              </w:rPr>
            </w:r>
            <w:r>
              <w:rPr>
                <w:noProof/>
                <w:webHidden/>
              </w:rPr>
              <w:fldChar w:fldCharType="separate"/>
            </w:r>
            <w:r>
              <w:rPr>
                <w:noProof/>
                <w:webHidden/>
              </w:rPr>
              <w:t>116</w:t>
            </w:r>
            <w:r>
              <w:rPr>
                <w:noProof/>
                <w:webHidden/>
              </w:rPr>
              <w:fldChar w:fldCharType="end"/>
            </w:r>
          </w:hyperlink>
        </w:p>
        <w:p w14:paraId="4B30734F" w14:textId="59EF21A3" w:rsidR="0067382B" w:rsidRDefault="0067382B">
          <w:pPr>
            <w:pStyle w:val="TOC1"/>
            <w:tabs>
              <w:tab w:val="right" w:leader="dot" w:pos="9350"/>
            </w:tabs>
            <w:rPr>
              <w:rFonts w:eastAsiaTheme="minorEastAsia"/>
              <w:noProof/>
            </w:rPr>
          </w:pPr>
          <w:hyperlink w:anchor="_Toc59971077" w:history="1">
            <w:r w:rsidRPr="00CE31E8">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_Toc59971077 \h </w:instrText>
            </w:r>
            <w:r>
              <w:rPr>
                <w:noProof/>
                <w:webHidden/>
              </w:rPr>
            </w:r>
            <w:r>
              <w:rPr>
                <w:noProof/>
                <w:webHidden/>
              </w:rPr>
              <w:fldChar w:fldCharType="separate"/>
            </w:r>
            <w:r>
              <w:rPr>
                <w:noProof/>
                <w:webHidden/>
              </w:rPr>
              <w:t>118</w:t>
            </w:r>
            <w:r>
              <w:rPr>
                <w:noProof/>
                <w:webHidden/>
              </w:rPr>
              <w:fldChar w:fldCharType="end"/>
            </w:r>
          </w:hyperlink>
        </w:p>
        <w:p w14:paraId="1CC47AB0" w14:textId="5A0D1FE5" w:rsidR="0067382B" w:rsidRDefault="0067382B">
          <w:pPr>
            <w:pStyle w:val="TOC1"/>
            <w:tabs>
              <w:tab w:val="right" w:leader="dot" w:pos="9350"/>
            </w:tabs>
            <w:rPr>
              <w:rFonts w:eastAsiaTheme="minorEastAsia"/>
              <w:noProof/>
            </w:rPr>
          </w:pPr>
          <w:hyperlink w:anchor="_Toc59971078" w:history="1">
            <w:r w:rsidRPr="00CE31E8">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_Toc59971078 \h </w:instrText>
            </w:r>
            <w:r>
              <w:rPr>
                <w:noProof/>
                <w:webHidden/>
              </w:rPr>
            </w:r>
            <w:r>
              <w:rPr>
                <w:noProof/>
                <w:webHidden/>
              </w:rPr>
              <w:fldChar w:fldCharType="separate"/>
            </w:r>
            <w:r>
              <w:rPr>
                <w:noProof/>
                <w:webHidden/>
              </w:rPr>
              <w:t>121</w:t>
            </w:r>
            <w:r>
              <w:rPr>
                <w:noProof/>
                <w:webHidden/>
              </w:rPr>
              <w:fldChar w:fldCharType="end"/>
            </w:r>
          </w:hyperlink>
        </w:p>
        <w:p w14:paraId="38A37560" w14:textId="38598B67" w:rsidR="0067382B" w:rsidRDefault="0067382B">
          <w:pPr>
            <w:pStyle w:val="TOC2"/>
            <w:tabs>
              <w:tab w:val="right" w:leader="dot" w:pos="9350"/>
            </w:tabs>
            <w:rPr>
              <w:rFonts w:eastAsiaTheme="minorEastAsia"/>
              <w:noProof/>
            </w:rPr>
          </w:pPr>
          <w:hyperlink w:anchor="_Toc59971079" w:history="1">
            <w:r w:rsidRPr="00CE31E8">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_Toc59971079 \h </w:instrText>
            </w:r>
            <w:r>
              <w:rPr>
                <w:noProof/>
                <w:webHidden/>
              </w:rPr>
            </w:r>
            <w:r>
              <w:rPr>
                <w:noProof/>
                <w:webHidden/>
              </w:rPr>
              <w:fldChar w:fldCharType="separate"/>
            </w:r>
            <w:r>
              <w:rPr>
                <w:noProof/>
                <w:webHidden/>
              </w:rPr>
              <w:t>123</w:t>
            </w:r>
            <w:r>
              <w:rPr>
                <w:noProof/>
                <w:webHidden/>
              </w:rPr>
              <w:fldChar w:fldCharType="end"/>
            </w:r>
          </w:hyperlink>
        </w:p>
        <w:p w14:paraId="71DAA9A1" w14:textId="230F966B" w:rsidR="0067382B" w:rsidRDefault="0067382B">
          <w:pPr>
            <w:pStyle w:val="TOC2"/>
            <w:tabs>
              <w:tab w:val="right" w:leader="dot" w:pos="9350"/>
            </w:tabs>
            <w:rPr>
              <w:rFonts w:eastAsiaTheme="minorEastAsia"/>
              <w:noProof/>
            </w:rPr>
          </w:pPr>
          <w:hyperlink w:anchor="_Toc59971080" w:history="1">
            <w:r w:rsidRPr="00CE31E8">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_Toc59971080 \h </w:instrText>
            </w:r>
            <w:r>
              <w:rPr>
                <w:noProof/>
                <w:webHidden/>
              </w:rPr>
            </w:r>
            <w:r>
              <w:rPr>
                <w:noProof/>
                <w:webHidden/>
              </w:rPr>
              <w:fldChar w:fldCharType="separate"/>
            </w:r>
            <w:r>
              <w:rPr>
                <w:noProof/>
                <w:webHidden/>
              </w:rPr>
              <w:t>124</w:t>
            </w:r>
            <w:r>
              <w:rPr>
                <w:noProof/>
                <w:webHidden/>
              </w:rPr>
              <w:fldChar w:fldCharType="end"/>
            </w:r>
          </w:hyperlink>
        </w:p>
        <w:p w14:paraId="6CAA89CF" w14:textId="37BBA969" w:rsidR="0067382B" w:rsidRDefault="0067382B">
          <w:pPr>
            <w:pStyle w:val="TOC1"/>
            <w:tabs>
              <w:tab w:val="right" w:leader="dot" w:pos="9350"/>
            </w:tabs>
            <w:rPr>
              <w:rFonts w:eastAsiaTheme="minorEastAsia"/>
              <w:noProof/>
            </w:rPr>
          </w:pPr>
          <w:hyperlink w:anchor="_Toc59971081" w:history="1">
            <w:r w:rsidRPr="00CE31E8">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_Toc59971081 \h </w:instrText>
            </w:r>
            <w:r>
              <w:rPr>
                <w:noProof/>
                <w:webHidden/>
              </w:rPr>
            </w:r>
            <w:r>
              <w:rPr>
                <w:noProof/>
                <w:webHidden/>
              </w:rPr>
              <w:fldChar w:fldCharType="separate"/>
            </w:r>
            <w:r>
              <w:rPr>
                <w:noProof/>
                <w:webHidden/>
              </w:rPr>
              <w:t>126</w:t>
            </w:r>
            <w:r>
              <w:rPr>
                <w:noProof/>
                <w:webHidden/>
              </w:rPr>
              <w:fldChar w:fldCharType="end"/>
            </w:r>
          </w:hyperlink>
        </w:p>
        <w:p w14:paraId="6575C202" w14:textId="27930023" w:rsidR="0067382B" w:rsidRDefault="0067382B">
          <w:pPr>
            <w:pStyle w:val="TOC2"/>
            <w:tabs>
              <w:tab w:val="right" w:leader="dot" w:pos="9350"/>
            </w:tabs>
            <w:rPr>
              <w:rFonts w:eastAsiaTheme="minorEastAsia"/>
              <w:noProof/>
            </w:rPr>
          </w:pPr>
          <w:hyperlink w:anchor="_Toc59971082" w:history="1">
            <w:r w:rsidRPr="00CE31E8">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_Toc59971082 \h </w:instrText>
            </w:r>
            <w:r>
              <w:rPr>
                <w:noProof/>
                <w:webHidden/>
              </w:rPr>
            </w:r>
            <w:r>
              <w:rPr>
                <w:noProof/>
                <w:webHidden/>
              </w:rPr>
              <w:fldChar w:fldCharType="separate"/>
            </w:r>
            <w:r>
              <w:rPr>
                <w:noProof/>
                <w:webHidden/>
              </w:rPr>
              <w:t>126</w:t>
            </w:r>
            <w:r>
              <w:rPr>
                <w:noProof/>
                <w:webHidden/>
              </w:rPr>
              <w:fldChar w:fldCharType="end"/>
            </w:r>
          </w:hyperlink>
        </w:p>
        <w:p w14:paraId="71A0B1A6" w14:textId="543EAB82" w:rsidR="0067382B" w:rsidRDefault="0067382B">
          <w:pPr>
            <w:pStyle w:val="TOC2"/>
            <w:tabs>
              <w:tab w:val="right" w:leader="dot" w:pos="9350"/>
            </w:tabs>
            <w:rPr>
              <w:rFonts w:eastAsiaTheme="minorEastAsia"/>
              <w:noProof/>
            </w:rPr>
          </w:pPr>
          <w:hyperlink w:anchor="_Toc59971083" w:history="1">
            <w:r w:rsidRPr="00CE31E8">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_Toc59971083 \h </w:instrText>
            </w:r>
            <w:r>
              <w:rPr>
                <w:noProof/>
                <w:webHidden/>
              </w:rPr>
            </w:r>
            <w:r>
              <w:rPr>
                <w:noProof/>
                <w:webHidden/>
              </w:rPr>
              <w:fldChar w:fldCharType="separate"/>
            </w:r>
            <w:r>
              <w:rPr>
                <w:noProof/>
                <w:webHidden/>
              </w:rPr>
              <w:t>128</w:t>
            </w:r>
            <w:r>
              <w:rPr>
                <w:noProof/>
                <w:webHidden/>
              </w:rPr>
              <w:fldChar w:fldCharType="end"/>
            </w:r>
          </w:hyperlink>
        </w:p>
        <w:p w14:paraId="3CCC0EDD" w14:textId="46C0B61D" w:rsidR="0067382B" w:rsidRDefault="0067382B">
          <w:pPr>
            <w:pStyle w:val="TOC2"/>
            <w:tabs>
              <w:tab w:val="right" w:leader="dot" w:pos="9350"/>
            </w:tabs>
            <w:rPr>
              <w:rFonts w:eastAsiaTheme="minorEastAsia"/>
              <w:noProof/>
            </w:rPr>
          </w:pPr>
          <w:hyperlink w:anchor="_Toc59971084" w:history="1">
            <w:r w:rsidRPr="00CE31E8">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_Toc59971084 \h </w:instrText>
            </w:r>
            <w:r>
              <w:rPr>
                <w:noProof/>
                <w:webHidden/>
              </w:rPr>
            </w:r>
            <w:r>
              <w:rPr>
                <w:noProof/>
                <w:webHidden/>
              </w:rPr>
              <w:fldChar w:fldCharType="separate"/>
            </w:r>
            <w:r>
              <w:rPr>
                <w:noProof/>
                <w:webHidden/>
              </w:rPr>
              <w:t>130</w:t>
            </w:r>
            <w:r>
              <w:rPr>
                <w:noProof/>
                <w:webHidden/>
              </w:rPr>
              <w:fldChar w:fldCharType="end"/>
            </w:r>
          </w:hyperlink>
        </w:p>
        <w:p w14:paraId="7B62FAF0" w14:textId="64220A36" w:rsidR="0067382B" w:rsidRDefault="0067382B">
          <w:pPr>
            <w:pStyle w:val="TOC1"/>
            <w:tabs>
              <w:tab w:val="right" w:leader="dot" w:pos="9350"/>
            </w:tabs>
            <w:rPr>
              <w:rFonts w:eastAsiaTheme="minorEastAsia"/>
              <w:noProof/>
            </w:rPr>
          </w:pPr>
          <w:hyperlink w:anchor="_Toc59971085" w:history="1">
            <w:r w:rsidRPr="00CE31E8">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_Toc59971085 \h </w:instrText>
            </w:r>
            <w:r>
              <w:rPr>
                <w:noProof/>
                <w:webHidden/>
              </w:rPr>
            </w:r>
            <w:r>
              <w:rPr>
                <w:noProof/>
                <w:webHidden/>
              </w:rPr>
              <w:fldChar w:fldCharType="separate"/>
            </w:r>
            <w:r>
              <w:rPr>
                <w:noProof/>
                <w:webHidden/>
              </w:rPr>
              <w:t>135</w:t>
            </w:r>
            <w:r>
              <w:rPr>
                <w:noProof/>
                <w:webHidden/>
              </w:rPr>
              <w:fldChar w:fldCharType="end"/>
            </w:r>
          </w:hyperlink>
        </w:p>
        <w:p w14:paraId="1F41D468" w14:textId="61300B3D" w:rsidR="0067382B" w:rsidRDefault="0067382B">
          <w:pPr>
            <w:pStyle w:val="TOC2"/>
            <w:tabs>
              <w:tab w:val="right" w:leader="dot" w:pos="9350"/>
            </w:tabs>
            <w:rPr>
              <w:rFonts w:eastAsiaTheme="minorEastAsia"/>
              <w:noProof/>
            </w:rPr>
          </w:pPr>
          <w:hyperlink w:anchor="_Toc59971086" w:history="1">
            <w:r w:rsidRPr="00CE31E8">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_Toc59971086 \h </w:instrText>
            </w:r>
            <w:r>
              <w:rPr>
                <w:noProof/>
                <w:webHidden/>
              </w:rPr>
            </w:r>
            <w:r>
              <w:rPr>
                <w:noProof/>
                <w:webHidden/>
              </w:rPr>
              <w:fldChar w:fldCharType="separate"/>
            </w:r>
            <w:r>
              <w:rPr>
                <w:noProof/>
                <w:webHidden/>
              </w:rPr>
              <w:t>135</w:t>
            </w:r>
            <w:r>
              <w:rPr>
                <w:noProof/>
                <w:webHidden/>
              </w:rPr>
              <w:fldChar w:fldCharType="end"/>
            </w:r>
          </w:hyperlink>
        </w:p>
        <w:p w14:paraId="3B7E6024" w14:textId="26CCF89C" w:rsidR="0067382B" w:rsidRDefault="0067382B">
          <w:pPr>
            <w:pStyle w:val="TOC2"/>
            <w:tabs>
              <w:tab w:val="right" w:leader="dot" w:pos="9350"/>
            </w:tabs>
            <w:rPr>
              <w:rFonts w:eastAsiaTheme="minorEastAsia"/>
              <w:noProof/>
            </w:rPr>
          </w:pPr>
          <w:hyperlink w:anchor="_Toc59971087" w:history="1">
            <w:r w:rsidRPr="00CE31E8">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_Toc59971087 \h </w:instrText>
            </w:r>
            <w:r>
              <w:rPr>
                <w:noProof/>
                <w:webHidden/>
              </w:rPr>
            </w:r>
            <w:r>
              <w:rPr>
                <w:noProof/>
                <w:webHidden/>
              </w:rPr>
              <w:fldChar w:fldCharType="separate"/>
            </w:r>
            <w:r>
              <w:rPr>
                <w:noProof/>
                <w:webHidden/>
              </w:rPr>
              <w:t>135</w:t>
            </w:r>
            <w:r>
              <w:rPr>
                <w:noProof/>
                <w:webHidden/>
              </w:rPr>
              <w:fldChar w:fldCharType="end"/>
            </w:r>
          </w:hyperlink>
        </w:p>
        <w:p w14:paraId="7A3B0E0E" w14:textId="183E98FE" w:rsidR="0067382B" w:rsidRDefault="0067382B">
          <w:pPr>
            <w:pStyle w:val="TOC2"/>
            <w:tabs>
              <w:tab w:val="right" w:leader="dot" w:pos="9350"/>
            </w:tabs>
            <w:rPr>
              <w:rFonts w:eastAsiaTheme="minorEastAsia"/>
              <w:noProof/>
            </w:rPr>
          </w:pPr>
          <w:hyperlink w:anchor="_Toc59971088" w:history="1">
            <w:r w:rsidRPr="00CE31E8">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_Toc59971088 \h </w:instrText>
            </w:r>
            <w:r>
              <w:rPr>
                <w:noProof/>
                <w:webHidden/>
              </w:rPr>
            </w:r>
            <w:r>
              <w:rPr>
                <w:noProof/>
                <w:webHidden/>
              </w:rPr>
              <w:fldChar w:fldCharType="separate"/>
            </w:r>
            <w:r>
              <w:rPr>
                <w:noProof/>
                <w:webHidden/>
              </w:rPr>
              <w:t>135</w:t>
            </w:r>
            <w:r>
              <w:rPr>
                <w:noProof/>
                <w:webHidden/>
              </w:rPr>
              <w:fldChar w:fldCharType="end"/>
            </w:r>
          </w:hyperlink>
        </w:p>
        <w:p w14:paraId="46972C24" w14:textId="1FB39416" w:rsidR="0067382B" w:rsidRDefault="0067382B">
          <w:pPr>
            <w:pStyle w:val="TOC2"/>
            <w:tabs>
              <w:tab w:val="right" w:leader="dot" w:pos="9350"/>
            </w:tabs>
            <w:rPr>
              <w:rFonts w:eastAsiaTheme="minorEastAsia"/>
              <w:noProof/>
            </w:rPr>
          </w:pPr>
          <w:hyperlink w:anchor="_Toc59971089" w:history="1">
            <w:r w:rsidRPr="00CE31E8">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_Toc59971089 \h </w:instrText>
            </w:r>
            <w:r>
              <w:rPr>
                <w:noProof/>
                <w:webHidden/>
              </w:rPr>
            </w:r>
            <w:r>
              <w:rPr>
                <w:noProof/>
                <w:webHidden/>
              </w:rPr>
              <w:fldChar w:fldCharType="separate"/>
            </w:r>
            <w:r>
              <w:rPr>
                <w:noProof/>
                <w:webHidden/>
              </w:rPr>
              <w:t>137</w:t>
            </w:r>
            <w:r>
              <w:rPr>
                <w:noProof/>
                <w:webHidden/>
              </w:rPr>
              <w:fldChar w:fldCharType="end"/>
            </w:r>
          </w:hyperlink>
        </w:p>
        <w:p w14:paraId="30854110" w14:textId="3A3DA34C" w:rsidR="0067382B" w:rsidRDefault="0067382B">
          <w:pPr>
            <w:pStyle w:val="TOC2"/>
            <w:tabs>
              <w:tab w:val="right" w:leader="dot" w:pos="9350"/>
            </w:tabs>
            <w:rPr>
              <w:rFonts w:eastAsiaTheme="minorEastAsia"/>
              <w:noProof/>
            </w:rPr>
          </w:pPr>
          <w:hyperlink w:anchor="_Toc59971090" w:history="1">
            <w:r w:rsidRPr="00CE31E8">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_Toc59971090 \h </w:instrText>
            </w:r>
            <w:r>
              <w:rPr>
                <w:noProof/>
                <w:webHidden/>
              </w:rPr>
            </w:r>
            <w:r>
              <w:rPr>
                <w:noProof/>
                <w:webHidden/>
              </w:rPr>
              <w:fldChar w:fldCharType="separate"/>
            </w:r>
            <w:r>
              <w:rPr>
                <w:noProof/>
                <w:webHidden/>
              </w:rPr>
              <w:t>137</w:t>
            </w:r>
            <w:r>
              <w:rPr>
                <w:noProof/>
                <w:webHidden/>
              </w:rPr>
              <w:fldChar w:fldCharType="end"/>
            </w:r>
          </w:hyperlink>
        </w:p>
        <w:p w14:paraId="031DD071" w14:textId="0A490B89" w:rsidR="0067382B" w:rsidRDefault="0067382B">
          <w:pPr>
            <w:pStyle w:val="TOC2"/>
            <w:tabs>
              <w:tab w:val="right" w:leader="dot" w:pos="9350"/>
            </w:tabs>
            <w:rPr>
              <w:rFonts w:eastAsiaTheme="minorEastAsia"/>
              <w:noProof/>
            </w:rPr>
          </w:pPr>
          <w:hyperlink w:anchor="_Toc59971091" w:history="1">
            <w:r w:rsidRPr="00CE31E8">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_Toc59971091 \h </w:instrText>
            </w:r>
            <w:r>
              <w:rPr>
                <w:noProof/>
                <w:webHidden/>
              </w:rPr>
            </w:r>
            <w:r>
              <w:rPr>
                <w:noProof/>
                <w:webHidden/>
              </w:rPr>
              <w:fldChar w:fldCharType="separate"/>
            </w:r>
            <w:r>
              <w:rPr>
                <w:noProof/>
                <w:webHidden/>
              </w:rPr>
              <w:t>137</w:t>
            </w:r>
            <w:r>
              <w:rPr>
                <w:noProof/>
                <w:webHidden/>
              </w:rPr>
              <w:fldChar w:fldCharType="end"/>
            </w:r>
          </w:hyperlink>
        </w:p>
        <w:p w14:paraId="29D2396C" w14:textId="329FF4A4" w:rsidR="0067382B" w:rsidRDefault="0067382B">
          <w:pPr>
            <w:pStyle w:val="TOC2"/>
            <w:tabs>
              <w:tab w:val="right" w:leader="dot" w:pos="9350"/>
            </w:tabs>
            <w:rPr>
              <w:rFonts w:eastAsiaTheme="minorEastAsia"/>
              <w:noProof/>
            </w:rPr>
          </w:pPr>
          <w:hyperlink w:anchor="_Toc59971092" w:history="1">
            <w:r w:rsidRPr="00CE31E8">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_Toc59971092 \h </w:instrText>
            </w:r>
            <w:r>
              <w:rPr>
                <w:noProof/>
                <w:webHidden/>
              </w:rPr>
            </w:r>
            <w:r>
              <w:rPr>
                <w:noProof/>
                <w:webHidden/>
              </w:rPr>
              <w:fldChar w:fldCharType="separate"/>
            </w:r>
            <w:r>
              <w:rPr>
                <w:noProof/>
                <w:webHidden/>
              </w:rPr>
              <w:t>137</w:t>
            </w:r>
            <w:r>
              <w:rPr>
                <w:noProof/>
                <w:webHidden/>
              </w:rPr>
              <w:fldChar w:fldCharType="end"/>
            </w:r>
          </w:hyperlink>
        </w:p>
        <w:p w14:paraId="00F1AAD3" w14:textId="24044B05" w:rsidR="0067382B" w:rsidRDefault="0067382B">
          <w:pPr>
            <w:pStyle w:val="TOC2"/>
            <w:tabs>
              <w:tab w:val="right" w:leader="dot" w:pos="9350"/>
            </w:tabs>
            <w:rPr>
              <w:rFonts w:eastAsiaTheme="minorEastAsia"/>
              <w:noProof/>
            </w:rPr>
          </w:pPr>
          <w:hyperlink w:anchor="_Toc59971093" w:history="1">
            <w:r w:rsidRPr="00CE31E8">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_Toc59971093 \h </w:instrText>
            </w:r>
            <w:r>
              <w:rPr>
                <w:noProof/>
                <w:webHidden/>
              </w:rPr>
            </w:r>
            <w:r>
              <w:rPr>
                <w:noProof/>
                <w:webHidden/>
              </w:rPr>
              <w:fldChar w:fldCharType="separate"/>
            </w:r>
            <w:r>
              <w:rPr>
                <w:noProof/>
                <w:webHidden/>
              </w:rPr>
              <w:t>138</w:t>
            </w:r>
            <w:r>
              <w:rPr>
                <w:noProof/>
                <w:webHidden/>
              </w:rPr>
              <w:fldChar w:fldCharType="end"/>
            </w:r>
          </w:hyperlink>
        </w:p>
        <w:p w14:paraId="523308D0" w14:textId="7F9AEEC1" w:rsidR="0067382B" w:rsidRDefault="0067382B">
          <w:pPr>
            <w:pStyle w:val="TOC2"/>
            <w:tabs>
              <w:tab w:val="right" w:leader="dot" w:pos="9350"/>
            </w:tabs>
            <w:rPr>
              <w:rFonts w:eastAsiaTheme="minorEastAsia"/>
              <w:noProof/>
            </w:rPr>
          </w:pPr>
          <w:hyperlink w:anchor="_Toc59971094" w:history="1">
            <w:r w:rsidRPr="00CE31E8">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_Toc59971094 \h </w:instrText>
            </w:r>
            <w:r>
              <w:rPr>
                <w:noProof/>
                <w:webHidden/>
              </w:rPr>
            </w:r>
            <w:r>
              <w:rPr>
                <w:noProof/>
                <w:webHidden/>
              </w:rPr>
              <w:fldChar w:fldCharType="separate"/>
            </w:r>
            <w:r>
              <w:rPr>
                <w:noProof/>
                <w:webHidden/>
              </w:rPr>
              <w:t>139</w:t>
            </w:r>
            <w:r>
              <w:rPr>
                <w:noProof/>
                <w:webHidden/>
              </w:rPr>
              <w:fldChar w:fldCharType="end"/>
            </w:r>
          </w:hyperlink>
        </w:p>
        <w:p w14:paraId="0AE5FB31" w14:textId="1CF13E78" w:rsidR="0067382B" w:rsidRDefault="0067382B">
          <w:pPr>
            <w:pStyle w:val="TOC2"/>
            <w:tabs>
              <w:tab w:val="right" w:leader="dot" w:pos="9350"/>
            </w:tabs>
            <w:rPr>
              <w:rFonts w:eastAsiaTheme="minorEastAsia"/>
              <w:noProof/>
            </w:rPr>
          </w:pPr>
          <w:hyperlink w:anchor="_Toc59971095" w:history="1">
            <w:r w:rsidRPr="00CE31E8">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_Toc59971095 \h </w:instrText>
            </w:r>
            <w:r>
              <w:rPr>
                <w:noProof/>
                <w:webHidden/>
              </w:rPr>
            </w:r>
            <w:r>
              <w:rPr>
                <w:noProof/>
                <w:webHidden/>
              </w:rPr>
              <w:fldChar w:fldCharType="separate"/>
            </w:r>
            <w:r>
              <w:rPr>
                <w:noProof/>
                <w:webHidden/>
              </w:rPr>
              <w:t>140</w:t>
            </w:r>
            <w:r>
              <w:rPr>
                <w:noProof/>
                <w:webHidden/>
              </w:rPr>
              <w:fldChar w:fldCharType="end"/>
            </w:r>
          </w:hyperlink>
        </w:p>
        <w:p w14:paraId="33E24DC2" w14:textId="23F54B07" w:rsidR="0067382B" w:rsidRDefault="0067382B">
          <w:pPr>
            <w:pStyle w:val="TOC2"/>
            <w:tabs>
              <w:tab w:val="right" w:leader="dot" w:pos="9350"/>
            </w:tabs>
            <w:rPr>
              <w:rFonts w:eastAsiaTheme="minorEastAsia"/>
              <w:noProof/>
            </w:rPr>
          </w:pPr>
          <w:hyperlink w:anchor="_Toc59971096" w:history="1">
            <w:r w:rsidRPr="00CE31E8">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_Toc59971096 \h </w:instrText>
            </w:r>
            <w:r>
              <w:rPr>
                <w:noProof/>
                <w:webHidden/>
              </w:rPr>
            </w:r>
            <w:r>
              <w:rPr>
                <w:noProof/>
                <w:webHidden/>
              </w:rPr>
              <w:fldChar w:fldCharType="separate"/>
            </w:r>
            <w:r>
              <w:rPr>
                <w:noProof/>
                <w:webHidden/>
              </w:rPr>
              <w:t>140</w:t>
            </w:r>
            <w:r>
              <w:rPr>
                <w:noProof/>
                <w:webHidden/>
              </w:rPr>
              <w:fldChar w:fldCharType="end"/>
            </w:r>
          </w:hyperlink>
        </w:p>
        <w:p w14:paraId="0BCDE5D8" w14:textId="6A749150" w:rsidR="0067382B" w:rsidRDefault="0067382B">
          <w:pPr>
            <w:pStyle w:val="TOC2"/>
            <w:tabs>
              <w:tab w:val="right" w:leader="dot" w:pos="9350"/>
            </w:tabs>
            <w:rPr>
              <w:rFonts w:eastAsiaTheme="minorEastAsia"/>
              <w:noProof/>
            </w:rPr>
          </w:pPr>
          <w:hyperlink w:anchor="_Toc59971097" w:history="1">
            <w:r w:rsidRPr="00CE31E8">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_Toc59971097 \h </w:instrText>
            </w:r>
            <w:r>
              <w:rPr>
                <w:noProof/>
                <w:webHidden/>
              </w:rPr>
            </w:r>
            <w:r>
              <w:rPr>
                <w:noProof/>
                <w:webHidden/>
              </w:rPr>
              <w:fldChar w:fldCharType="separate"/>
            </w:r>
            <w:r>
              <w:rPr>
                <w:noProof/>
                <w:webHidden/>
              </w:rPr>
              <w:t>140</w:t>
            </w:r>
            <w:r>
              <w:rPr>
                <w:noProof/>
                <w:webHidden/>
              </w:rPr>
              <w:fldChar w:fldCharType="end"/>
            </w:r>
          </w:hyperlink>
        </w:p>
        <w:p w14:paraId="74F74530" w14:textId="05E3E925" w:rsidR="0067382B" w:rsidRDefault="0067382B">
          <w:pPr>
            <w:pStyle w:val="TOC2"/>
            <w:tabs>
              <w:tab w:val="right" w:leader="dot" w:pos="9350"/>
            </w:tabs>
            <w:rPr>
              <w:rFonts w:eastAsiaTheme="minorEastAsia"/>
              <w:noProof/>
            </w:rPr>
          </w:pPr>
          <w:hyperlink w:anchor="_Toc59971098" w:history="1">
            <w:r w:rsidRPr="00CE31E8">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_Toc59971098 \h </w:instrText>
            </w:r>
            <w:r>
              <w:rPr>
                <w:noProof/>
                <w:webHidden/>
              </w:rPr>
            </w:r>
            <w:r>
              <w:rPr>
                <w:noProof/>
                <w:webHidden/>
              </w:rPr>
              <w:fldChar w:fldCharType="separate"/>
            </w:r>
            <w:r>
              <w:rPr>
                <w:noProof/>
                <w:webHidden/>
              </w:rPr>
              <w:t>140</w:t>
            </w:r>
            <w:r>
              <w:rPr>
                <w:noProof/>
                <w:webHidden/>
              </w:rPr>
              <w:fldChar w:fldCharType="end"/>
            </w:r>
          </w:hyperlink>
        </w:p>
        <w:p w14:paraId="4D264BB5" w14:textId="4CCC68F0" w:rsidR="0067382B" w:rsidRDefault="0067382B">
          <w:pPr>
            <w:pStyle w:val="TOC2"/>
            <w:tabs>
              <w:tab w:val="right" w:leader="dot" w:pos="9350"/>
            </w:tabs>
            <w:rPr>
              <w:rFonts w:eastAsiaTheme="minorEastAsia"/>
              <w:noProof/>
            </w:rPr>
          </w:pPr>
          <w:hyperlink w:anchor="_Toc59971099" w:history="1">
            <w:r w:rsidRPr="00CE31E8">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_Toc59971099 \h </w:instrText>
            </w:r>
            <w:r>
              <w:rPr>
                <w:noProof/>
                <w:webHidden/>
              </w:rPr>
            </w:r>
            <w:r>
              <w:rPr>
                <w:noProof/>
                <w:webHidden/>
              </w:rPr>
              <w:fldChar w:fldCharType="separate"/>
            </w:r>
            <w:r>
              <w:rPr>
                <w:noProof/>
                <w:webHidden/>
              </w:rPr>
              <w:t>140</w:t>
            </w:r>
            <w:r>
              <w:rPr>
                <w:noProof/>
                <w:webHidden/>
              </w:rPr>
              <w:fldChar w:fldCharType="end"/>
            </w:r>
          </w:hyperlink>
        </w:p>
        <w:p w14:paraId="51332F9A" w14:textId="45FC64E6" w:rsidR="0067382B" w:rsidRDefault="0067382B">
          <w:pPr>
            <w:pStyle w:val="TOC2"/>
            <w:tabs>
              <w:tab w:val="right" w:leader="dot" w:pos="9350"/>
            </w:tabs>
            <w:rPr>
              <w:rFonts w:eastAsiaTheme="minorEastAsia"/>
              <w:noProof/>
            </w:rPr>
          </w:pPr>
          <w:hyperlink w:anchor="_Toc59971100" w:history="1">
            <w:r w:rsidRPr="00CE31E8">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_Toc59971100 \h </w:instrText>
            </w:r>
            <w:r>
              <w:rPr>
                <w:noProof/>
                <w:webHidden/>
              </w:rPr>
            </w:r>
            <w:r>
              <w:rPr>
                <w:noProof/>
                <w:webHidden/>
              </w:rPr>
              <w:fldChar w:fldCharType="separate"/>
            </w:r>
            <w:r>
              <w:rPr>
                <w:noProof/>
                <w:webHidden/>
              </w:rPr>
              <w:t>141</w:t>
            </w:r>
            <w:r>
              <w:rPr>
                <w:noProof/>
                <w:webHidden/>
              </w:rPr>
              <w:fldChar w:fldCharType="end"/>
            </w:r>
          </w:hyperlink>
        </w:p>
        <w:p w14:paraId="33B60069" w14:textId="23DF72C2" w:rsidR="0067382B" w:rsidRDefault="0067382B">
          <w:pPr>
            <w:pStyle w:val="TOC3"/>
            <w:tabs>
              <w:tab w:val="right" w:leader="dot" w:pos="9350"/>
            </w:tabs>
            <w:rPr>
              <w:rFonts w:eastAsiaTheme="minorEastAsia"/>
              <w:noProof/>
            </w:rPr>
          </w:pPr>
          <w:hyperlink w:anchor="_Toc59971101" w:history="1">
            <w:r w:rsidRPr="00CE31E8">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_Toc59971101 \h </w:instrText>
            </w:r>
            <w:r>
              <w:rPr>
                <w:noProof/>
                <w:webHidden/>
              </w:rPr>
            </w:r>
            <w:r>
              <w:rPr>
                <w:noProof/>
                <w:webHidden/>
              </w:rPr>
              <w:fldChar w:fldCharType="separate"/>
            </w:r>
            <w:r>
              <w:rPr>
                <w:noProof/>
                <w:webHidden/>
              </w:rPr>
              <w:t>141</w:t>
            </w:r>
            <w:r>
              <w:rPr>
                <w:noProof/>
                <w:webHidden/>
              </w:rPr>
              <w:fldChar w:fldCharType="end"/>
            </w:r>
          </w:hyperlink>
        </w:p>
        <w:p w14:paraId="683A9156" w14:textId="0ECCB5D6" w:rsidR="0067382B" w:rsidRDefault="0067382B">
          <w:pPr>
            <w:pStyle w:val="TOC3"/>
            <w:tabs>
              <w:tab w:val="right" w:leader="dot" w:pos="9350"/>
            </w:tabs>
            <w:rPr>
              <w:rFonts w:eastAsiaTheme="minorEastAsia"/>
              <w:noProof/>
            </w:rPr>
          </w:pPr>
          <w:hyperlink w:anchor="_Toc59971102" w:history="1">
            <w:r w:rsidRPr="00CE31E8">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_Toc59971102 \h </w:instrText>
            </w:r>
            <w:r>
              <w:rPr>
                <w:noProof/>
                <w:webHidden/>
              </w:rPr>
            </w:r>
            <w:r>
              <w:rPr>
                <w:noProof/>
                <w:webHidden/>
              </w:rPr>
              <w:fldChar w:fldCharType="separate"/>
            </w:r>
            <w:r>
              <w:rPr>
                <w:noProof/>
                <w:webHidden/>
              </w:rPr>
              <w:t>142</w:t>
            </w:r>
            <w:r>
              <w:rPr>
                <w:noProof/>
                <w:webHidden/>
              </w:rPr>
              <w:fldChar w:fldCharType="end"/>
            </w:r>
          </w:hyperlink>
        </w:p>
        <w:p w14:paraId="29E67E3D" w14:textId="0933E555" w:rsidR="0067382B" w:rsidRDefault="0067382B">
          <w:pPr>
            <w:pStyle w:val="TOC3"/>
            <w:tabs>
              <w:tab w:val="right" w:leader="dot" w:pos="9350"/>
            </w:tabs>
            <w:rPr>
              <w:rFonts w:eastAsiaTheme="minorEastAsia"/>
              <w:noProof/>
            </w:rPr>
          </w:pPr>
          <w:hyperlink w:anchor="_Toc59971103" w:history="1">
            <w:r w:rsidRPr="00CE31E8">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_Toc59971103 \h </w:instrText>
            </w:r>
            <w:r>
              <w:rPr>
                <w:noProof/>
                <w:webHidden/>
              </w:rPr>
            </w:r>
            <w:r>
              <w:rPr>
                <w:noProof/>
                <w:webHidden/>
              </w:rPr>
              <w:fldChar w:fldCharType="separate"/>
            </w:r>
            <w:r>
              <w:rPr>
                <w:noProof/>
                <w:webHidden/>
              </w:rPr>
              <w:t>142</w:t>
            </w:r>
            <w:r>
              <w:rPr>
                <w:noProof/>
                <w:webHidden/>
              </w:rPr>
              <w:fldChar w:fldCharType="end"/>
            </w:r>
          </w:hyperlink>
        </w:p>
        <w:p w14:paraId="0A85B684" w14:textId="21B5AA3E" w:rsidR="0067382B" w:rsidRDefault="0067382B">
          <w:pPr>
            <w:pStyle w:val="TOC3"/>
            <w:tabs>
              <w:tab w:val="right" w:leader="dot" w:pos="9350"/>
            </w:tabs>
            <w:rPr>
              <w:rFonts w:eastAsiaTheme="minorEastAsia"/>
              <w:noProof/>
            </w:rPr>
          </w:pPr>
          <w:hyperlink w:anchor="_Toc59971104" w:history="1">
            <w:r w:rsidRPr="00CE31E8">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_Toc59971104 \h </w:instrText>
            </w:r>
            <w:r>
              <w:rPr>
                <w:noProof/>
                <w:webHidden/>
              </w:rPr>
            </w:r>
            <w:r>
              <w:rPr>
                <w:noProof/>
                <w:webHidden/>
              </w:rPr>
              <w:fldChar w:fldCharType="separate"/>
            </w:r>
            <w:r>
              <w:rPr>
                <w:noProof/>
                <w:webHidden/>
              </w:rPr>
              <w:t>142</w:t>
            </w:r>
            <w:r>
              <w:rPr>
                <w:noProof/>
                <w:webHidden/>
              </w:rPr>
              <w:fldChar w:fldCharType="end"/>
            </w:r>
          </w:hyperlink>
        </w:p>
        <w:p w14:paraId="46B79CF3" w14:textId="441BDA98" w:rsidR="0067382B" w:rsidRDefault="0067382B">
          <w:pPr>
            <w:pStyle w:val="TOC1"/>
            <w:tabs>
              <w:tab w:val="right" w:leader="dot" w:pos="9350"/>
            </w:tabs>
            <w:rPr>
              <w:rFonts w:eastAsiaTheme="minorEastAsia"/>
              <w:noProof/>
            </w:rPr>
          </w:pPr>
          <w:hyperlink w:anchor="_Toc59971105" w:history="1">
            <w:r w:rsidRPr="00CE31E8">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_Toc59971105 \h </w:instrText>
            </w:r>
            <w:r>
              <w:rPr>
                <w:noProof/>
                <w:webHidden/>
              </w:rPr>
            </w:r>
            <w:r>
              <w:rPr>
                <w:noProof/>
                <w:webHidden/>
              </w:rPr>
              <w:fldChar w:fldCharType="separate"/>
            </w:r>
            <w:r>
              <w:rPr>
                <w:noProof/>
                <w:webHidden/>
              </w:rPr>
              <w:t>143</w:t>
            </w:r>
            <w:r>
              <w:rPr>
                <w:noProof/>
                <w:webHidden/>
              </w:rPr>
              <w:fldChar w:fldCharType="end"/>
            </w:r>
          </w:hyperlink>
        </w:p>
        <w:p w14:paraId="0D0CFC8F" w14:textId="48D055EA" w:rsidR="0067382B" w:rsidRDefault="0067382B">
          <w:pPr>
            <w:pStyle w:val="TOC2"/>
            <w:tabs>
              <w:tab w:val="right" w:leader="dot" w:pos="9350"/>
            </w:tabs>
            <w:rPr>
              <w:rFonts w:eastAsiaTheme="minorEastAsia"/>
              <w:noProof/>
            </w:rPr>
          </w:pPr>
          <w:hyperlink w:anchor="_Toc59971106" w:history="1">
            <w:r w:rsidRPr="00CE31E8">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_Toc59971106 \h </w:instrText>
            </w:r>
            <w:r>
              <w:rPr>
                <w:noProof/>
                <w:webHidden/>
              </w:rPr>
            </w:r>
            <w:r>
              <w:rPr>
                <w:noProof/>
                <w:webHidden/>
              </w:rPr>
              <w:fldChar w:fldCharType="separate"/>
            </w:r>
            <w:r>
              <w:rPr>
                <w:noProof/>
                <w:webHidden/>
              </w:rPr>
              <w:t>144</w:t>
            </w:r>
            <w:r>
              <w:rPr>
                <w:noProof/>
                <w:webHidden/>
              </w:rPr>
              <w:fldChar w:fldCharType="end"/>
            </w:r>
          </w:hyperlink>
        </w:p>
        <w:p w14:paraId="4641AB1A" w14:textId="7FCFF1B0" w:rsidR="0067382B" w:rsidRDefault="0067382B">
          <w:pPr>
            <w:pStyle w:val="TOC2"/>
            <w:tabs>
              <w:tab w:val="right" w:leader="dot" w:pos="9350"/>
            </w:tabs>
            <w:rPr>
              <w:rFonts w:eastAsiaTheme="minorEastAsia"/>
              <w:noProof/>
            </w:rPr>
          </w:pPr>
          <w:hyperlink w:anchor="_Toc59971107" w:history="1">
            <w:r w:rsidRPr="00CE31E8">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_Toc59971107 \h </w:instrText>
            </w:r>
            <w:r>
              <w:rPr>
                <w:noProof/>
                <w:webHidden/>
              </w:rPr>
            </w:r>
            <w:r>
              <w:rPr>
                <w:noProof/>
                <w:webHidden/>
              </w:rPr>
              <w:fldChar w:fldCharType="separate"/>
            </w:r>
            <w:r>
              <w:rPr>
                <w:noProof/>
                <w:webHidden/>
              </w:rPr>
              <w:t>146</w:t>
            </w:r>
            <w:r>
              <w:rPr>
                <w:noProof/>
                <w:webHidden/>
              </w:rPr>
              <w:fldChar w:fldCharType="end"/>
            </w:r>
          </w:hyperlink>
        </w:p>
        <w:p w14:paraId="604DE447" w14:textId="23677B37" w:rsidR="0067382B" w:rsidRDefault="0067382B">
          <w:pPr>
            <w:pStyle w:val="TOC1"/>
            <w:tabs>
              <w:tab w:val="right" w:leader="dot" w:pos="9350"/>
            </w:tabs>
            <w:rPr>
              <w:rFonts w:eastAsiaTheme="minorEastAsia"/>
              <w:noProof/>
            </w:rPr>
          </w:pPr>
          <w:hyperlink w:anchor="_Toc59971108" w:history="1">
            <w:r w:rsidRPr="00CE31E8">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_Toc59971108 \h </w:instrText>
            </w:r>
            <w:r>
              <w:rPr>
                <w:noProof/>
                <w:webHidden/>
              </w:rPr>
            </w:r>
            <w:r>
              <w:rPr>
                <w:noProof/>
                <w:webHidden/>
              </w:rPr>
              <w:fldChar w:fldCharType="separate"/>
            </w:r>
            <w:r>
              <w:rPr>
                <w:noProof/>
                <w:webHidden/>
              </w:rPr>
              <w:t>149</w:t>
            </w:r>
            <w:r>
              <w:rPr>
                <w:noProof/>
                <w:webHidden/>
              </w:rPr>
              <w:fldChar w:fldCharType="end"/>
            </w:r>
          </w:hyperlink>
        </w:p>
        <w:p w14:paraId="273B5DD9" w14:textId="1ABB1432" w:rsidR="0067382B" w:rsidRDefault="0067382B">
          <w:pPr>
            <w:pStyle w:val="TOC1"/>
            <w:tabs>
              <w:tab w:val="right" w:leader="dot" w:pos="9350"/>
            </w:tabs>
            <w:rPr>
              <w:rFonts w:eastAsiaTheme="minorEastAsia"/>
              <w:noProof/>
            </w:rPr>
          </w:pPr>
          <w:hyperlink w:anchor="_Toc59971109" w:history="1">
            <w:r w:rsidRPr="00CE31E8">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_Toc59971109 \h </w:instrText>
            </w:r>
            <w:r>
              <w:rPr>
                <w:noProof/>
                <w:webHidden/>
              </w:rPr>
            </w:r>
            <w:r>
              <w:rPr>
                <w:noProof/>
                <w:webHidden/>
              </w:rPr>
              <w:fldChar w:fldCharType="separate"/>
            </w:r>
            <w:r>
              <w:rPr>
                <w:noProof/>
                <w:webHidden/>
              </w:rPr>
              <w:t>154</w:t>
            </w:r>
            <w:r>
              <w:rPr>
                <w:noProof/>
                <w:webHidden/>
              </w:rPr>
              <w:fldChar w:fldCharType="end"/>
            </w:r>
          </w:hyperlink>
        </w:p>
        <w:p w14:paraId="2B8C1072" w14:textId="1433A36B" w:rsidR="0067382B" w:rsidRDefault="0067382B">
          <w:pPr>
            <w:pStyle w:val="TOC2"/>
            <w:tabs>
              <w:tab w:val="right" w:leader="dot" w:pos="9350"/>
            </w:tabs>
            <w:rPr>
              <w:rFonts w:eastAsiaTheme="minorEastAsia"/>
              <w:noProof/>
            </w:rPr>
          </w:pPr>
          <w:hyperlink w:anchor="_Toc59971110" w:history="1">
            <w:r w:rsidRPr="00CE31E8">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_Toc59971110 \h </w:instrText>
            </w:r>
            <w:r>
              <w:rPr>
                <w:noProof/>
                <w:webHidden/>
              </w:rPr>
            </w:r>
            <w:r>
              <w:rPr>
                <w:noProof/>
                <w:webHidden/>
              </w:rPr>
              <w:fldChar w:fldCharType="separate"/>
            </w:r>
            <w:r>
              <w:rPr>
                <w:noProof/>
                <w:webHidden/>
              </w:rPr>
              <w:t>157</w:t>
            </w:r>
            <w:r>
              <w:rPr>
                <w:noProof/>
                <w:webHidden/>
              </w:rPr>
              <w:fldChar w:fldCharType="end"/>
            </w:r>
          </w:hyperlink>
        </w:p>
        <w:p w14:paraId="375FAB40" w14:textId="3F53B16D" w:rsidR="0067382B" w:rsidRDefault="0067382B">
          <w:pPr>
            <w:pStyle w:val="TOC1"/>
            <w:tabs>
              <w:tab w:val="right" w:leader="dot" w:pos="9350"/>
            </w:tabs>
            <w:rPr>
              <w:rFonts w:eastAsiaTheme="minorEastAsia"/>
              <w:noProof/>
            </w:rPr>
          </w:pPr>
          <w:hyperlink w:anchor="_Toc59971111" w:history="1">
            <w:r w:rsidRPr="00CE31E8">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_Toc59971111 \h </w:instrText>
            </w:r>
            <w:r>
              <w:rPr>
                <w:noProof/>
                <w:webHidden/>
              </w:rPr>
            </w:r>
            <w:r>
              <w:rPr>
                <w:noProof/>
                <w:webHidden/>
              </w:rPr>
              <w:fldChar w:fldCharType="separate"/>
            </w:r>
            <w:r>
              <w:rPr>
                <w:noProof/>
                <w:webHidden/>
              </w:rPr>
              <w:t>161</w:t>
            </w:r>
            <w:r>
              <w:rPr>
                <w:noProof/>
                <w:webHidden/>
              </w:rPr>
              <w:fldChar w:fldCharType="end"/>
            </w:r>
          </w:hyperlink>
        </w:p>
        <w:p w14:paraId="6C3974D0" w14:textId="33560D55" w:rsidR="0067382B" w:rsidRDefault="0067382B">
          <w:pPr>
            <w:pStyle w:val="TOC1"/>
            <w:tabs>
              <w:tab w:val="right" w:leader="dot" w:pos="9350"/>
            </w:tabs>
            <w:rPr>
              <w:rFonts w:eastAsiaTheme="minorEastAsia"/>
              <w:noProof/>
            </w:rPr>
          </w:pPr>
          <w:hyperlink w:anchor="_Toc59971112" w:history="1">
            <w:r w:rsidRPr="00CE31E8">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_Toc59971112 \h </w:instrText>
            </w:r>
            <w:r>
              <w:rPr>
                <w:noProof/>
                <w:webHidden/>
              </w:rPr>
            </w:r>
            <w:r>
              <w:rPr>
                <w:noProof/>
                <w:webHidden/>
              </w:rPr>
              <w:fldChar w:fldCharType="separate"/>
            </w:r>
            <w:r>
              <w:rPr>
                <w:noProof/>
                <w:webHidden/>
              </w:rPr>
              <w:t>165</w:t>
            </w:r>
            <w:r>
              <w:rPr>
                <w:noProof/>
                <w:webHidden/>
              </w:rPr>
              <w:fldChar w:fldCharType="end"/>
            </w:r>
          </w:hyperlink>
        </w:p>
        <w:p w14:paraId="73434319" w14:textId="5E889350" w:rsidR="0067382B" w:rsidRDefault="0067382B">
          <w:pPr>
            <w:pStyle w:val="TOC1"/>
            <w:tabs>
              <w:tab w:val="right" w:leader="dot" w:pos="9350"/>
            </w:tabs>
            <w:rPr>
              <w:rFonts w:eastAsiaTheme="minorEastAsia"/>
              <w:noProof/>
            </w:rPr>
          </w:pPr>
          <w:hyperlink w:anchor="_Toc59971113" w:history="1">
            <w:r w:rsidRPr="00CE31E8">
              <w:rPr>
                <w:rStyle w:val="Hyperlink"/>
                <w:rFonts w:ascii="Bookman Old Style" w:hAnsi="Bookman Old Style"/>
                <w:noProof/>
              </w:rPr>
              <w:t>Biographies of Those Referenced in This Work</w:t>
            </w:r>
            <w:r>
              <w:rPr>
                <w:noProof/>
                <w:webHidden/>
              </w:rPr>
              <w:tab/>
            </w:r>
            <w:r>
              <w:rPr>
                <w:noProof/>
                <w:webHidden/>
              </w:rPr>
              <w:fldChar w:fldCharType="begin"/>
            </w:r>
            <w:r>
              <w:rPr>
                <w:noProof/>
                <w:webHidden/>
              </w:rPr>
              <w:instrText xml:space="preserve"> PAGEREF _Toc59971113 \h </w:instrText>
            </w:r>
            <w:r>
              <w:rPr>
                <w:noProof/>
                <w:webHidden/>
              </w:rPr>
            </w:r>
            <w:r>
              <w:rPr>
                <w:noProof/>
                <w:webHidden/>
              </w:rPr>
              <w:fldChar w:fldCharType="separate"/>
            </w:r>
            <w:r>
              <w:rPr>
                <w:noProof/>
                <w:webHidden/>
              </w:rPr>
              <w:t>169</w:t>
            </w:r>
            <w:r>
              <w:rPr>
                <w:noProof/>
                <w:webHidden/>
              </w:rPr>
              <w:fldChar w:fldCharType="end"/>
            </w:r>
          </w:hyperlink>
        </w:p>
        <w:p w14:paraId="767219E1" w14:textId="48541B4A" w:rsidR="0067382B" w:rsidRDefault="0067382B">
          <w:pPr>
            <w:pStyle w:val="TOC2"/>
            <w:tabs>
              <w:tab w:val="right" w:leader="dot" w:pos="9350"/>
            </w:tabs>
            <w:rPr>
              <w:rFonts w:eastAsiaTheme="minorEastAsia"/>
              <w:noProof/>
            </w:rPr>
          </w:pPr>
          <w:hyperlink w:anchor="_Toc59971114" w:history="1">
            <w:r w:rsidRPr="00CE31E8">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_Toc59971114 \h </w:instrText>
            </w:r>
            <w:r>
              <w:rPr>
                <w:noProof/>
                <w:webHidden/>
              </w:rPr>
            </w:r>
            <w:r>
              <w:rPr>
                <w:noProof/>
                <w:webHidden/>
              </w:rPr>
              <w:fldChar w:fldCharType="separate"/>
            </w:r>
            <w:r>
              <w:rPr>
                <w:noProof/>
                <w:webHidden/>
              </w:rPr>
              <w:t>169</w:t>
            </w:r>
            <w:r>
              <w:rPr>
                <w:noProof/>
                <w:webHidden/>
              </w:rPr>
              <w:fldChar w:fldCharType="end"/>
            </w:r>
          </w:hyperlink>
        </w:p>
        <w:p w14:paraId="1257BA10" w14:textId="6421135E" w:rsidR="0067382B" w:rsidRDefault="0067382B">
          <w:pPr>
            <w:pStyle w:val="TOC2"/>
            <w:tabs>
              <w:tab w:val="right" w:leader="dot" w:pos="9350"/>
            </w:tabs>
            <w:rPr>
              <w:rFonts w:eastAsiaTheme="minorEastAsia"/>
              <w:noProof/>
            </w:rPr>
          </w:pPr>
          <w:hyperlink w:anchor="_Toc59971115" w:history="1">
            <w:r w:rsidRPr="00CE31E8">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_Toc59971115 \h </w:instrText>
            </w:r>
            <w:r>
              <w:rPr>
                <w:noProof/>
                <w:webHidden/>
              </w:rPr>
            </w:r>
            <w:r>
              <w:rPr>
                <w:noProof/>
                <w:webHidden/>
              </w:rPr>
              <w:fldChar w:fldCharType="separate"/>
            </w:r>
            <w:r>
              <w:rPr>
                <w:noProof/>
                <w:webHidden/>
              </w:rPr>
              <w:t>169</w:t>
            </w:r>
            <w:r>
              <w:rPr>
                <w:noProof/>
                <w:webHidden/>
              </w:rPr>
              <w:fldChar w:fldCharType="end"/>
            </w:r>
          </w:hyperlink>
        </w:p>
        <w:p w14:paraId="4A89ABE3" w14:textId="05234281" w:rsidR="0067382B" w:rsidRDefault="0067382B">
          <w:pPr>
            <w:pStyle w:val="TOC2"/>
            <w:tabs>
              <w:tab w:val="right" w:leader="dot" w:pos="9350"/>
            </w:tabs>
            <w:rPr>
              <w:rFonts w:eastAsiaTheme="minorEastAsia"/>
              <w:noProof/>
            </w:rPr>
          </w:pPr>
          <w:hyperlink w:anchor="_Toc59971116" w:history="1">
            <w:r w:rsidRPr="00CE31E8">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_Toc59971116 \h </w:instrText>
            </w:r>
            <w:r>
              <w:rPr>
                <w:noProof/>
                <w:webHidden/>
              </w:rPr>
            </w:r>
            <w:r>
              <w:rPr>
                <w:noProof/>
                <w:webHidden/>
              </w:rPr>
              <w:fldChar w:fldCharType="separate"/>
            </w:r>
            <w:r>
              <w:rPr>
                <w:noProof/>
                <w:webHidden/>
              </w:rPr>
              <w:t>169</w:t>
            </w:r>
            <w:r>
              <w:rPr>
                <w:noProof/>
                <w:webHidden/>
              </w:rPr>
              <w:fldChar w:fldCharType="end"/>
            </w:r>
          </w:hyperlink>
        </w:p>
        <w:p w14:paraId="1E940686" w14:textId="003091F8" w:rsidR="0067382B" w:rsidRDefault="0067382B">
          <w:pPr>
            <w:pStyle w:val="TOC2"/>
            <w:tabs>
              <w:tab w:val="right" w:leader="dot" w:pos="9350"/>
            </w:tabs>
            <w:rPr>
              <w:rFonts w:eastAsiaTheme="minorEastAsia"/>
              <w:noProof/>
            </w:rPr>
          </w:pPr>
          <w:hyperlink w:anchor="_Toc59971117" w:history="1">
            <w:r w:rsidRPr="00CE31E8">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_Toc59971117 \h </w:instrText>
            </w:r>
            <w:r>
              <w:rPr>
                <w:noProof/>
                <w:webHidden/>
              </w:rPr>
            </w:r>
            <w:r>
              <w:rPr>
                <w:noProof/>
                <w:webHidden/>
              </w:rPr>
              <w:fldChar w:fldCharType="separate"/>
            </w:r>
            <w:r>
              <w:rPr>
                <w:noProof/>
                <w:webHidden/>
              </w:rPr>
              <w:t>169</w:t>
            </w:r>
            <w:r>
              <w:rPr>
                <w:noProof/>
                <w:webHidden/>
              </w:rPr>
              <w:fldChar w:fldCharType="end"/>
            </w:r>
          </w:hyperlink>
        </w:p>
        <w:p w14:paraId="2FCAFB1A" w14:textId="51E77084" w:rsidR="0067382B" w:rsidRDefault="0067382B">
          <w:pPr>
            <w:pStyle w:val="TOC2"/>
            <w:tabs>
              <w:tab w:val="right" w:leader="dot" w:pos="9350"/>
            </w:tabs>
            <w:rPr>
              <w:rFonts w:eastAsiaTheme="minorEastAsia"/>
              <w:noProof/>
            </w:rPr>
          </w:pPr>
          <w:hyperlink w:anchor="_Toc59971118" w:history="1">
            <w:r w:rsidRPr="00CE31E8">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_Toc59971118 \h </w:instrText>
            </w:r>
            <w:r>
              <w:rPr>
                <w:noProof/>
                <w:webHidden/>
              </w:rPr>
            </w:r>
            <w:r>
              <w:rPr>
                <w:noProof/>
                <w:webHidden/>
              </w:rPr>
              <w:fldChar w:fldCharType="separate"/>
            </w:r>
            <w:r>
              <w:rPr>
                <w:noProof/>
                <w:webHidden/>
              </w:rPr>
              <w:t>170</w:t>
            </w:r>
            <w:r>
              <w:rPr>
                <w:noProof/>
                <w:webHidden/>
              </w:rPr>
              <w:fldChar w:fldCharType="end"/>
            </w:r>
          </w:hyperlink>
        </w:p>
        <w:p w14:paraId="190FE5AC" w14:textId="54B054FF" w:rsidR="0067382B" w:rsidRDefault="0067382B">
          <w:pPr>
            <w:pStyle w:val="TOC2"/>
            <w:tabs>
              <w:tab w:val="right" w:leader="dot" w:pos="9350"/>
            </w:tabs>
            <w:rPr>
              <w:rFonts w:eastAsiaTheme="minorEastAsia"/>
              <w:noProof/>
            </w:rPr>
          </w:pPr>
          <w:hyperlink w:anchor="_Toc59971119" w:history="1">
            <w:r w:rsidRPr="00CE31E8">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_Toc59971119 \h </w:instrText>
            </w:r>
            <w:r>
              <w:rPr>
                <w:noProof/>
                <w:webHidden/>
              </w:rPr>
            </w:r>
            <w:r>
              <w:rPr>
                <w:noProof/>
                <w:webHidden/>
              </w:rPr>
              <w:fldChar w:fldCharType="separate"/>
            </w:r>
            <w:r>
              <w:rPr>
                <w:noProof/>
                <w:webHidden/>
              </w:rPr>
              <w:t>170</w:t>
            </w:r>
            <w:r>
              <w:rPr>
                <w:noProof/>
                <w:webHidden/>
              </w:rPr>
              <w:fldChar w:fldCharType="end"/>
            </w:r>
          </w:hyperlink>
        </w:p>
        <w:p w14:paraId="11EAA711" w14:textId="29254F07" w:rsidR="0067382B" w:rsidRDefault="0067382B">
          <w:pPr>
            <w:pStyle w:val="TOC2"/>
            <w:tabs>
              <w:tab w:val="right" w:leader="dot" w:pos="9350"/>
            </w:tabs>
            <w:rPr>
              <w:rFonts w:eastAsiaTheme="minorEastAsia"/>
              <w:noProof/>
            </w:rPr>
          </w:pPr>
          <w:hyperlink w:anchor="_Toc59971120" w:history="1">
            <w:r w:rsidRPr="00CE31E8">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_Toc59971120 \h </w:instrText>
            </w:r>
            <w:r>
              <w:rPr>
                <w:noProof/>
                <w:webHidden/>
              </w:rPr>
            </w:r>
            <w:r>
              <w:rPr>
                <w:noProof/>
                <w:webHidden/>
              </w:rPr>
              <w:fldChar w:fldCharType="separate"/>
            </w:r>
            <w:r>
              <w:rPr>
                <w:noProof/>
                <w:webHidden/>
              </w:rPr>
              <w:t>170</w:t>
            </w:r>
            <w:r>
              <w:rPr>
                <w:noProof/>
                <w:webHidden/>
              </w:rPr>
              <w:fldChar w:fldCharType="end"/>
            </w:r>
          </w:hyperlink>
        </w:p>
        <w:p w14:paraId="7217F7C3" w14:textId="2A4B5EE7" w:rsidR="0067382B" w:rsidRDefault="0067382B">
          <w:pPr>
            <w:pStyle w:val="TOC2"/>
            <w:tabs>
              <w:tab w:val="right" w:leader="dot" w:pos="9350"/>
            </w:tabs>
            <w:rPr>
              <w:rFonts w:eastAsiaTheme="minorEastAsia"/>
              <w:noProof/>
            </w:rPr>
          </w:pPr>
          <w:hyperlink w:anchor="_Toc59971121" w:history="1">
            <w:r w:rsidRPr="00CE31E8">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_Toc59971121 \h </w:instrText>
            </w:r>
            <w:r>
              <w:rPr>
                <w:noProof/>
                <w:webHidden/>
              </w:rPr>
            </w:r>
            <w:r>
              <w:rPr>
                <w:noProof/>
                <w:webHidden/>
              </w:rPr>
              <w:fldChar w:fldCharType="separate"/>
            </w:r>
            <w:r>
              <w:rPr>
                <w:noProof/>
                <w:webHidden/>
              </w:rPr>
              <w:t>170</w:t>
            </w:r>
            <w:r>
              <w:rPr>
                <w:noProof/>
                <w:webHidden/>
              </w:rPr>
              <w:fldChar w:fldCharType="end"/>
            </w:r>
          </w:hyperlink>
        </w:p>
        <w:p w14:paraId="1C88E3B6" w14:textId="1919D963" w:rsidR="0067382B" w:rsidRDefault="0067382B">
          <w:pPr>
            <w:pStyle w:val="TOC1"/>
            <w:tabs>
              <w:tab w:val="right" w:leader="dot" w:pos="9350"/>
            </w:tabs>
            <w:rPr>
              <w:rFonts w:eastAsiaTheme="minorEastAsia"/>
              <w:noProof/>
            </w:rPr>
          </w:pPr>
          <w:hyperlink w:anchor="_Toc59971122" w:history="1">
            <w:r w:rsidRPr="00CE31E8">
              <w:rPr>
                <w:rStyle w:val="Hyperlink"/>
                <w:rFonts w:ascii="Bookman Old Style" w:hAnsi="Bookman Old Style"/>
                <w:noProof/>
              </w:rPr>
              <w:t>Additional Biographical Information</w:t>
            </w:r>
            <w:r>
              <w:rPr>
                <w:noProof/>
                <w:webHidden/>
              </w:rPr>
              <w:tab/>
            </w:r>
            <w:r>
              <w:rPr>
                <w:noProof/>
                <w:webHidden/>
              </w:rPr>
              <w:fldChar w:fldCharType="begin"/>
            </w:r>
            <w:r>
              <w:rPr>
                <w:noProof/>
                <w:webHidden/>
              </w:rPr>
              <w:instrText xml:space="preserve"> PAGEREF _Toc59971122 \h </w:instrText>
            </w:r>
            <w:r>
              <w:rPr>
                <w:noProof/>
                <w:webHidden/>
              </w:rPr>
            </w:r>
            <w:r>
              <w:rPr>
                <w:noProof/>
                <w:webHidden/>
              </w:rPr>
              <w:fldChar w:fldCharType="separate"/>
            </w:r>
            <w:r>
              <w:rPr>
                <w:noProof/>
                <w:webHidden/>
              </w:rPr>
              <w:t>172</w:t>
            </w:r>
            <w:r>
              <w:rPr>
                <w:noProof/>
                <w:webHidden/>
              </w:rPr>
              <w:fldChar w:fldCharType="end"/>
            </w:r>
          </w:hyperlink>
        </w:p>
        <w:p w14:paraId="4A9477F0" w14:textId="48BD7669" w:rsidR="0067382B" w:rsidRDefault="0067382B">
          <w:pPr>
            <w:pStyle w:val="TOC1"/>
            <w:tabs>
              <w:tab w:val="right" w:leader="dot" w:pos="9350"/>
            </w:tabs>
            <w:rPr>
              <w:rFonts w:eastAsiaTheme="minorEastAsia"/>
              <w:noProof/>
            </w:rPr>
          </w:pPr>
          <w:hyperlink w:anchor="_Toc59971123" w:history="1">
            <w:r w:rsidRPr="00CE31E8">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_Toc59971123 \h </w:instrText>
            </w:r>
            <w:r>
              <w:rPr>
                <w:noProof/>
                <w:webHidden/>
              </w:rPr>
            </w:r>
            <w:r>
              <w:rPr>
                <w:noProof/>
                <w:webHidden/>
              </w:rPr>
              <w:fldChar w:fldCharType="separate"/>
            </w:r>
            <w:r>
              <w:rPr>
                <w:noProof/>
                <w:webHidden/>
              </w:rPr>
              <w:t>173</w:t>
            </w:r>
            <w:r>
              <w:rPr>
                <w:noProof/>
                <w:webHidden/>
              </w:rPr>
              <w:fldChar w:fldCharType="end"/>
            </w:r>
          </w:hyperlink>
        </w:p>
        <w:p w14:paraId="3CC9FC38" w14:textId="409212E9" w:rsidR="0067382B" w:rsidRDefault="0067382B">
          <w:pPr>
            <w:pStyle w:val="TOC1"/>
            <w:tabs>
              <w:tab w:val="right" w:leader="dot" w:pos="9350"/>
            </w:tabs>
            <w:rPr>
              <w:rFonts w:eastAsiaTheme="minorEastAsia"/>
              <w:noProof/>
            </w:rPr>
          </w:pPr>
          <w:hyperlink w:anchor="_Toc59971124" w:history="1">
            <w:r w:rsidRPr="00CE31E8">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_Toc59971124 \h </w:instrText>
            </w:r>
            <w:r>
              <w:rPr>
                <w:noProof/>
                <w:webHidden/>
              </w:rPr>
            </w:r>
            <w:r>
              <w:rPr>
                <w:noProof/>
                <w:webHidden/>
              </w:rPr>
              <w:fldChar w:fldCharType="separate"/>
            </w:r>
            <w:r>
              <w:rPr>
                <w:noProof/>
                <w:webHidden/>
              </w:rPr>
              <w:t>175</w:t>
            </w:r>
            <w:r>
              <w:rPr>
                <w:noProof/>
                <w:webHidden/>
              </w:rPr>
              <w:fldChar w:fldCharType="end"/>
            </w:r>
          </w:hyperlink>
        </w:p>
        <w:p w14:paraId="0D68C958" w14:textId="2BDDB581"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0" w:name="_Toc59971016"/>
      <w:r w:rsidRPr="002F5DC5">
        <w:rPr>
          <w:rFonts w:ascii="Bookman Old Style" w:hAnsi="Bookman Old Style"/>
        </w:rPr>
        <w:lastRenderedPageBreak/>
        <w:t>Dedication</w:t>
      </w:r>
      <w:r w:rsidR="00190ECF" w:rsidRPr="002F5DC5">
        <w:rPr>
          <w:rFonts w:ascii="Bookman Old Style" w:hAnsi="Bookman Old Style"/>
        </w:rPr>
        <w:t>.</w:t>
      </w:r>
      <w:bookmarkEnd w:id="0"/>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14B9704D" w:rsidR="00B456D4" w:rsidRDefault="00B456D4" w:rsidP="00B456D4">
      <w:pPr>
        <w:pStyle w:val="Heading1"/>
        <w:rPr>
          <w:rFonts w:ascii="Bookman Old Style" w:hAnsi="Bookman Old Style"/>
        </w:rPr>
      </w:pPr>
      <w:bookmarkStart w:id="1" w:name="_Toc59971017"/>
      <w:r>
        <w:rPr>
          <w:rFonts w:ascii="Bookman Old Style" w:hAnsi="Bookman Old Style"/>
        </w:rPr>
        <w:t>Foreword (2020).</w:t>
      </w:r>
      <w:bookmarkEnd w:id="1"/>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495954F5"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would be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E9008F"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flesh out the quotations and references made throughout the work. Hanson uses abbreviations common during that time period that carry little meaning for us today. In addition, he often refers to individuals only by a last name leaving us 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4AB3B712"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2020. 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3A34A860"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counter-argument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77777777" w:rsidR="00210409" w:rsidRPr="00210409" w:rsidRDefault="00210409" w:rsidP="00210409">
      <w:pPr>
        <w:ind w:firstLine="720"/>
        <w:rPr>
          <w:rFonts w:ascii="Bookman Old Style" w:hAnsi="Bookman Old Style"/>
        </w:rPr>
      </w:pPr>
      <w:r w:rsidRPr="00210409">
        <w:rPr>
          <w:rFonts w:ascii="Bookman Old Style" w:hAnsi="Bookman Old Style"/>
        </w:rPr>
        <w:lastRenderedPageBreak/>
        <w:t>I hope the end result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334657CC" w:rsidR="00F24BEA" w:rsidRPr="00210409" w:rsidRDefault="00210409" w:rsidP="00210409">
      <w:pPr>
        <w:rPr>
          <w:rFonts w:ascii="Bookman Old Style" w:hAnsi="Bookman Old Style"/>
        </w:rPr>
      </w:pPr>
      <w:r w:rsidRPr="00210409">
        <w:rPr>
          <w:rFonts w:ascii="Bookman Old Style" w:hAnsi="Bookman Old Style"/>
        </w:rPr>
        <w:t>December 23</w:t>
      </w:r>
      <w:r w:rsidRPr="00210409">
        <w:rPr>
          <w:rFonts w:ascii="Bookman Old Style" w:hAnsi="Bookman Old Style"/>
          <w:vertAlign w:val="superscript"/>
        </w:rPr>
        <w:t>rd</w:t>
      </w:r>
      <w:r w:rsidRPr="00210409">
        <w:rPr>
          <w:rFonts w:ascii="Bookman Old Style" w:hAnsi="Bookman Old Style"/>
        </w:rPr>
        <w:t>, 2020</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2" w:name="_Toc59971018"/>
      <w:r w:rsidRPr="002F5DC5">
        <w:rPr>
          <w:rFonts w:ascii="Bookman Old Style" w:hAnsi="Bookman Old Style"/>
        </w:rPr>
        <w:lastRenderedPageBreak/>
        <w:t>Foreword (1899).</w:t>
      </w:r>
      <w:bookmarkEnd w:id="2"/>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00D14BCD"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e in their truthfulness, inas</w:t>
      </w:r>
      <w:r w:rsidRPr="002F5DC5">
        <w:rPr>
          <w:rFonts w:ascii="Bookman Old Style" w:hAnsi="Bookman Old Style"/>
        </w:rPr>
        <w:t xml:space="preserve">much as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3" w:name="_Toc59971019"/>
      <w:r w:rsidRPr="002F5DC5">
        <w:rPr>
          <w:rFonts w:ascii="Bookman Old Style" w:hAnsi="Bookman Old Style"/>
        </w:rPr>
        <w:lastRenderedPageBreak/>
        <w:t>Introduction.</w:t>
      </w:r>
      <w:bookmarkEnd w:id="3"/>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de by the Rev. Thomas Allin,</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2"/>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4" w:name="_Toc59971020"/>
      <w:r w:rsidRPr="002F5DC5">
        <w:rPr>
          <w:rFonts w:ascii="Bookman Old Style" w:hAnsi="Bookman Old Style"/>
        </w:rPr>
        <w:lastRenderedPageBreak/>
        <w:t>The Earliest Creeds.</w:t>
      </w:r>
      <w:bookmarkEnd w:id="4"/>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5" w:name="_Toc59971021"/>
      <w:r w:rsidRPr="002F5DC5">
        <w:rPr>
          <w:rFonts w:ascii="Bookman Old Style" w:hAnsi="Bookman Old Style"/>
        </w:rPr>
        <w:t>Teaching of the Twelve Apostles.</w:t>
      </w:r>
      <w:bookmarkEnd w:id="5"/>
    </w:p>
    <w:p w14:paraId="687D5B29" w14:textId="56EB5978"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2F5DC5">
        <w:rPr>
          <w:rFonts w:ascii="Bookman Old Style" w:hAnsi="Bookman Old Style"/>
        </w:rPr>
        <w:t>Philotheos Bryenn</w:t>
      </w:r>
      <w:r w:rsidR="00657085" w:rsidRPr="002F5DC5">
        <w:rPr>
          <w:rFonts w:ascii="Bookman Old Style" w:hAnsi="Bookman Old Style"/>
        </w:rPr>
        <w:t>ios,</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in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3"/>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64B3397A" w14:textId="58E01F87" w:rsidR="0040099B" w:rsidRPr="002F5DC5" w:rsidRDefault="0040099B" w:rsidP="0040099B">
      <w:pPr>
        <w:pStyle w:val="Heading2"/>
        <w:rPr>
          <w:rFonts w:ascii="Bookman Old Style" w:hAnsi="Bookman Old Style"/>
        </w:rPr>
      </w:pPr>
      <w:bookmarkStart w:id="6" w:name="_Toc59971022"/>
      <w:r w:rsidRPr="002F5DC5">
        <w:rPr>
          <w:rFonts w:ascii="Bookman Old Style" w:hAnsi="Bookman Old Style"/>
        </w:rPr>
        <w:t>The Apostles’ Creed.</w:t>
      </w:r>
      <w:r w:rsidR="007E65C8" w:rsidRPr="002F5DC5">
        <w:rPr>
          <w:rStyle w:val="FootnoteReference"/>
          <w:rFonts w:ascii="Bookman Old Style" w:hAnsi="Bookman Old Style"/>
        </w:rPr>
        <w:footnoteReference w:id="28"/>
      </w:r>
      <w:bookmarkEnd w:id="6"/>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7749D9C6"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he compilation of the original creed — as late as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lastRenderedPageBreak/>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7777777"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 xml:space="preserve">a pseudo-Universalism.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w:t>
      </w:r>
      <w:r w:rsidR="00091D96" w:rsidRPr="002F5DC5">
        <w:rPr>
          <w:rFonts w:ascii="Bookman Old Style" w:hAnsi="Bookman Old Style"/>
        </w:rPr>
        <w:lastRenderedPageBreak/>
        <w:t xml:space="preserve">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7" w:name="_Toc59971023"/>
      <w:r w:rsidRPr="002F5DC5">
        <w:rPr>
          <w:rFonts w:ascii="Bookman Old Style" w:hAnsi="Bookman Old Style"/>
        </w:rPr>
        <w:t>Nicene Creed.</w:t>
      </w:r>
      <w:r w:rsidR="001340E3" w:rsidRPr="002F5DC5">
        <w:rPr>
          <w:rStyle w:val="FootnoteReference"/>
          <w:rFonts w:ascii="Bookman Old Style" w:hAnsi="Bookman Old Style"/>
        </w:rPr>
        <w:footnoteReference w:id="40"/>
      </w:r>
      <w:bookmarkEnd w:id="7"/>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(ae</w:t>
      </w:r>
      <w:r w:rsidRPr="002F5DC5">
        <w:rPr>
          <w:rFonts w:ascii="Bookman Old Style" w:hAnsi="Bookman Old Style"/>
        </w:rPr>
        <w:t>on) t</w:t>
      </w:r>
      <w:r w:rsidR="00456846" w:rsidRPr="002F5DC5">
        <w:rPr>
          <w:rFonts w:ascii="Bookman Old Style" w:hAnsi="Bookman Old Style"/>
        </w:rPr>
        <w:t>o come."</w:t>
      </w:r>
      <w:r w:rsidR="001340E3" w:rsidRPr="002F5DC5">
        <w:rPr>
          <w:rStyle w:val="FootnoteReference"/>
          <w:rFonts w:ascii="Bookman Old Style" w:hAnsi="Bookman Old Style"/>
        </w:rPr>
        <w:footnoteReference w:id="4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lastRenderedPageBreak/>
        <w:t>It is historical</w:t>
      </w:r>
      <w:r w:rsidRPr="002F5DC5">
        <w:rPr>
          <w:rStyle w:val="FootnoteReference"/>
          <w:rFonts w:ascii="Bookman Old Style" w:hAnsi="Bookman Old Style"/>
        </w:rPr>
        <w:footnoteReference w:id="4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AD 346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44"/>
      </w:r>
      <w:r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w:t>
      </w:r>
      <w:r w:rsidRPr="002F5DC5">
        <w:rPr>
          <w:rFonts w:ascii="Bookman Old Style" w:hAnsi="Bookman Old Style"/>
          <w:i/>
        </w:rPr>
        <w:lastRenderedPageBreak/>
        <w:t>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5"/>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Nicene </w:t>
      </w:r>
      <w:r w:rsidR="000628B5" w:rsidRPr="002F5DC5">
        <w:rPr>
          <w:rFonts w:ascii="Bookman Old Style" w:hAnsi="Bookman Old Style"/>
        </w:rPr>
        <w:t>Creed</w:t>
      </w:r>
      <w:r w:rsidRPr="002F5DC5">
        <w:rPr>
          <w:rFonts w:ascii="Bookman Old Style" w:hAnsi="Bookman Old Style"/>
        </w:rPr>
        <w:t>, but was added in the Constantinopolitan. The literal rendering of the Greek is “the life of the age about to come.”</w:t>
      </w:r>
      <w:r w:rsidRPr="002F5DC5">
        <w:rPr>
          <w:rStyle w:val="FootnoteReference"/>
          <w:rFonts w:ascii="Bookman Old Style" w:hAnsi="Bookman Old Style"/>
        </w:rPr>
        <w:footnoteReference w:id="46"/>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creeds, "I believe in the aeonia</w:t>
      </w:r>
      <w:r w:rsidR="00F834B3" w:rsidRPr="002F5DC5">
        <w:rPr>
          <w:rFonts w:ascii="Bookman Old Style" w:hAnsi="Bookman Old Style"/>
        </w:rPr>
        <w:t xml:space="preserve">n life;" later, they </w:t>
      </w:r>
      <w:r w:rsidRPr="002F5DC5">
        <w:rPr>
          <w:rFonts w:ascii="Bookman Old Style" w:hAnsi="Bookman Old Style"/>
        </w:rPr>
        <w:t>modified the phrase "aeon</w:t>
      </w:r>
      <w:r w:rsidR="00F834B3" w:rsidRPr="002F5DC5">
        <w:rPr>
          <w:rFonts w:ascii="Bookman Old Style" w:hAnsi="Bookman Old Style"/>
        </w:rPr>
        <w:t>ian life," to "the life of the coming aeon,</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2F5DC5">
        <w:rPr>
          <w:rFonts w:ascii="Bookman Old Style" w:hAnsi="Bookman Old Style"/>
        </w:rPr>
        <w:t>aeonian punishmen</w:t>
      </w:r>
      <w:r w:rsidR="00F834B3" w:rsidRPr="002F5DC5">
        <w:rPr>
          <w:rFonts w:ascii="Bookman Old Style" w:hAnsi="Bookman Old Style"/>
        </w:rPr>
        <w:t xml:space="preserve">t, and in aeonian life beyond. </w:t>
      </w:r>
      <w:r w:rsidRPr="002F5DC5">
        <w:rPr>
          <w:rFonts w:ascii="Bookman Old Style" w:hAnsi="Bookman Old Style"/>
        </w:rPr>
        <w:t>How, then, could ae</w:t>
      </w:r>
      <w:r w:rsidR="00F834B3" w:rsidRPr="002F5DC5">
        <w:rPr>
          <w:rFonts w:ascii="Bookman Old Style" w:hAnsi="Bookman Old Style"/>
        </w:rPr>
        <w:t>onian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37797EAF"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tion as taught by C</w:t>
      </w:r>
      <w:r w:rsidR="003B0386" w:rsidRPr="002F5DC5">
        <w:rPr>
          <w:rFonts w:ascii="Bookman Old Style" w:hAnsi="Bookman Old Style"/>
        </w:rPr>
        <w:t xml:space="preserve">lement, Origen, the Gregories, </w:t>
      </w:r>
      <w:r w:rsidR="00055768" w:rsidRPr="002F5DC5">
        <w:rPr>
          <w:rFonts w:ascii="Bookman Old Style" w:hAnsi="Bookman Old Style"/>
        </w:rPr>
        <w:t>Basil the Great,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w:t>
      </w:r>
      <w:r w:rsidR="003B0386" w:rsidRPr="002F5DC5">
        <w:rPr>
          <w:rFonts w:ascii="Bookman Old Style" w:hAnsi="Bookman Old Style"/>
        </w:rPr>
        <w:t>AD</w:t>
      </w:r>
      <w:r w:rsidR="009A321E" w:rsidRPr="002F5DC5">
        <w:rPr>
          <w:rFonts w:ascii="Bookman Old Style" w:hAnsi="Bookman Old Style"/>
        </w:rPr>
        <w:t xml:space="preserve"> 325)</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3B0386" w:rsidRPr="002F5DC5">
        <w:rPr>
          <w:rFonts w:ascii="Bookman Old Style" w:hAnsi="Bookman Old Style"/>
        </w:rPr>
        <w:t>AD</w:t>
      </w:r>
      <w:r w:rsidR="00055768"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AD 45</w:t>
      </w:r>
      <w:r w:rsidR="009A321E" w:rsidRPr="002F5DC5">
        <w:rPr>
          <w:rFonts w:ascii="Bookman Old Style" w:hAnsi="Bookman Old Style"/>
        </w:rPr>
        <w:t>1)</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47"/>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pecially from Clem</w:t>
      </w:r>
      <w:r w:rsidR="003B0386" w:rsidRPr="002F5DC5">
        <w:rPr>
          <w:rFonts w:ascii="Bookman Old Style" w:hAnsi="Bookman Old Style"/>
        </w:rPr>
        <w:t xml:space="preserve">ent of Alexandria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4"/>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t>
      </w:r>
      <w:r w:rsidR="003B0386" w:rsidRPr="002F5DC5">
        <w:rPr>
          <w:rFonts w:ascii="Bookman Old Style" w:hAnsi="Bookman Old Style"/>
        </w:rPr>
        <w:lastRenderedPageBreak/>
        <w:t xml:space="preserve">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8"/>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8" w:name="_Toc59971024"/>
      <w:r w:rsidRPr="008D7A39">
        <w:rPr>
          <w:rFonts w:ascii="Bookman Old Style" w:hAnsi="Bookman Old Style"/>
        </w:rPr>
        <w:lastRenderedPageBreak/>
        <w:t>2. Early Christianity a Cheerful Religion.</w:t>
      </w:r>
      <w:bookmarkEnd w:id="8"/>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2"/>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53"/>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ness. Haweis</w:t>
      </w:r>
      <w:r w:rsidR="00CA0B55" w:rsidRPr="002F5DC5">
        <w:rPr>
          <w:rStyle w:val="FootnoteReference"/>
          <w:rFonts w:ascii="Bookman Old Style" w:hAnsi="Bookman Old Style"/>
        </w:rPr>
        <w:footnoteReference w:id="56"/>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7"/>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e Pressens</w:t>
      </w:r>
      <w:r w:rsidR="00E02D82" w:rsidRPr="002F5DC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9"/>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ry the heathen Pliny,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Arnobius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“Christianity," says Milman,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e, gloomy, characterized, says 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8"/>
      </w:r>
    </w:p>
    <w:p w14:paraId="0D68C99C" w14:textId="77777777" w:rsidR="00091D96" w:rsidRPr="002F5DC5" w:rsidRDefault="00091D96" w:rsidP="001D1B82">
      <w:pPr>
        <w:pStyle w:val="Heading2"/>
        <w:rPr>
          <w:rFonts w:ascii="Bookman Old Style" w:hAnsi="Bookman Old Style"/>
        </w:rPr>
      </w:pPr>
      <w:bookmarkStart w:id="9" w:name="_Toc59971025"/>
      <w:r w:rsidRPr="002F5DC5">
        <w:rPr>
          <w:rFonts w:ascii="Bookman Old Style" w:hAnsi="Bookman Old Style"/>
        </w:rPr>
        <w:lastRenderedPageBreak/>
        <w:t>An Impressive Thought.</w:t>
      </w:r>
      <w:bookmarkEnd w:id="9"/>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Allin,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0" w:name="_Toc59971026"/>
      <w:r w:rsidRPr="002F5DC5">
        <w:rPr>
          <w:rFonts w:ascii="Bookman Old Style" w:hAnsi="Bookman Old Style"/>
        </w:rPr>
        <w:lastRenderedPageBreak/>
        <w:t>Testimony of the Catacombs.</w:t>
      </w:r>
      <w:bookmarkEnd w:id="10"/>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0"/>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1"/>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 :</w:t>
      </w:r>
      <w:r w:rsidR="00C9708A" w:rsidRPr="002F5DC5">
        <w:rPr>
          <w:rStyle w:val="FootnoteReference"/>
          <w:rFonts w:ascii="Bookman Old Style" w:hAnsi="Bookman Old Style"/>
        </w:rPr>
        <w:footnoteReference w:id="7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9A321E" w:rsidRPr="002F5DC5">
        <w:rPr>
          <w:rFonts w:ascii="Bookman Old Style" w:hAnsi="Bookman Old Style"/>
        </w:rPr>
        <w:t>ry</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3"/>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4"/>
      </w:r>
      <w:r w:rsidRPr="002F5DC5">
        <w:rPr>
          <w:rFonts w:ascii="Bookman Old Style" w:hAnsi="Bookman Old Style"/>
        </w:rPr>
        <w:t xml:space="preserve"> "Mayest thou live in t</w:t>
      </w:r>
      <w:r w:rsidR="00A24A03" w:rsidRPr="002F5DC5">
        <w:rPr>
          <w:rFonts w:ascii="Bookman Old Style" w:hAnsi="Bookman Old Style"/>
        </w:rPr>
        <w:t>he Lord, and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5"/>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76"/>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that which Sophocles expresses in the Oedipis,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0"/>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1"/>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2"/>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3"/>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5"/>
      </w:r>
    </w:p>
    <w:p w14:paraId="0D68C9BA" w14:textId="6D752F44" w:rsidR="00091D96" w:rsidRPr="002F5DC5" w:rsidRDefault="0040099B" w:rsidP="00281C07">
      <w:pPr>
        <w:pStyle w:val="Heading1"/>
        <w:rPr>
          <w:rFonts w:ascii="Bookman Old Style" w:hAnsi="Bookman Old Style"/>
        </w:rPr>
      </w:pPr>
      <w:bookmarkStart w:id="11" w:name="_Toc59971027"/>
      <w:r w:rsidRPr="002F5DC5">
        <w:rPr>
          <w:rFonts w:ascii="Bookman Old Style" w:hAnsi="Bookman Old Style"/>
        </w:rPr>
        <w:lastRenderedPageBreak/>
        <w:t>3. Origin of Endless Punishment.</w:t>
      </w:r>
      <w:bookmarkEnd w:id="11"/>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2" w:name="_Toc59971028"/>
      <w:r w:rsidRPr="002F5DC5">
        <w:rPr>
          <w:rFonts w:ascii="Bookman Old Style" w:hAnsi="Bookman Old Style"/>
        </w:rPr>
        <w:t>Meaning of Scriptural Terms.</w:t>
      </w:r>
      <w:bookmarkEnd w:id="12"/>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The language of Josephus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r class, and a deep hatred and aeonian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7"/>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aionios,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2F5DC5">
        <w:rPr>
          <w:rFonts w:ascii="Bookman Old Style" w:hAnsi="Bookman Old Style"/>
        </w:rPr>
        <w:t>aeonian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0"/>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Wi</w:t>
      </w:r>
      <w:r w:rsidR="009A321E" w:rsidRPr="002F5DC5">
        <w:rPr>
          <w:rFonts w:ascii="Bookman Old Style" w:hAnsi="Bookman Old Style"/>
        </w:rPr>
        <w:t xml:space="preserve">ndet's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1"/>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00FC6659" w:rsidRPr="002F5DC5">
        <w:rPr>
          <w:rFonts w:ascii="Bookman Old Style" w:hAnsi="Bookman Old Style"/>
        </w:rPr>
        <w:t>endless punishment (</w:t>
      </w:r>
      <w:r w:rsidR="00FC6659" w:rsidRPr="002F5DC5">
        <w:rPr>
          <w:rFonts w:ascii="Bookman Old Style" w:hAnsi="Bookman Old Style"/>
          <w:i/>
        </w:rPr>
        <w:t>aidios, timoria</w:t>
      </w:r>
      <w:r w:rsidR="00FC6659" w:rsidRPr="002F5DC5">
        <w:rPr>
          <w:rFonts w:ascii="Bookman Old Style" w:hAnsi="Bookman Old Style"/>
        </w:rPr>
        <w:t xml:space="preserve"> and </w:t>
      </w:r>
      <w:r w:rsidR="00FC6659"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4"/>
      </w:r>
    </w:p>
    <w:p w14:paraId="0D68C9C5" w14:textId="77777777" w:rsidR="00091D96" w:rsidRPr="002F5DC5" w:rsidRDefault="009A321E" w:rsidP="00FC6659">
      <w:pPr>
        <w:pStyle w:val="Heading2"/>
        <w:rPr>
          <w:rFonts w:ascii="Bookman Old Style" w:hAnsi="Bookman Old Style"/>
        </w:rPr>
      </w:pPr>
      <w:bookmarkStart w:id="13" w:name="_Toc59971029"/>
      <w:r w:rsidRPr="002F5DC5">
        <w:rPr>
          <w:rFonts w:ascii="Bookman Old Style" w:hAnsi="Bookman Old Style"/>
        </w:rPr>
        <w:lastRenderedPageBreak/>
        <w:t>Whence Came the Doctrine</w:t>
      </w:r>
      <w:r w:rsidR="00091D96" w:rsidRPr="002F5DC5">
        <w:rPr>
          <w:rFonts w:ascii="Bookman Old Style" w:hAnsi="Bookman Old Style"/>
        </w:rPr>
        <w:t>?</w:t>
      </w:r>
      <w:bookmarkEnd w:id="13"/>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5"/>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0"/>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1"/>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Numa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r w:rsidRPr="002F5DC5">
        <w:rPr>
          <w:rFonts w:ascii="Bookman Old Style" w:hAnsi="Bookman Old Style"/>
        </w:rPr>
        <w:t>Co</w:t>
      </w:r>
      <w:r w:rsidR="00DC0350" w:rsidRPr="002F5DC5">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Milman and Neander think</w:t>
      </w:r>
      <w:r w:rsidR="00DC0350" w:rsidRPr="002F5DC5">
        <w:rPr>
          <w:rStyle w:val="FootnoteReference"/>
          <w:rFonts w:ascii="Bookman Old Style" w:hAnsi="Bookman Old Style"/>
        </w:rPr>
        <w:footnoteReference w:id="109"/>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0"/>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2"/>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etaining the opinions of their Pagan ancestors;" and Tytler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3"/>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suffered from it more or</w:t>
      </w:r>
      <w:r w:rsidR="00B86AE9" w:rsidRPr="002F5DC5">
        <w:rPr>
          <w:rFonts w:ascii="Bookman Old Style" w:hAnsi="Bookman Old Style"/>
        </w:rPr>
        <w:t xml:space="preserve"> less ever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4"/>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7"/>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8"/>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4" w:name="_Toc59971030"/>
      <w:r w:rsidRPr="002F5DC5">
        <w:rPr>
          <w:rFonts w:ascii="Bookman Old Style" w:hAnsi="Bookman Old Style"/>
        </w:rPr>
        <w:lastRenderedPageBreak/>
        <w:t>4. Doctrines of “Mitigation” and of “Reserve.”</w:t>
      </w:r>
      <w:bookmarkEnd w:id="14"/>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5" w:name="_Toc59971031"/>
      <w:r w:rsidRPr="002F5DC5">
        <w:rPr>
          <w:rFonts w:ascii="Bookman Old Style" w:hAnsi="Bookman Old Style"/>
        </w:rPr>
        <w:t>Mitigation</w:t>
      </w:r>
      <w:bookmarkEnd w:id="15"/>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6" w:name="_Toc59971032"/>
      <w:r w:rsidRPr="002F5DC5">
        <w:rPr>
          <w:rFonts w:ascii="Bookman Old Style" w:hAnsi="Bookman Old Style"/>
        </w:rPr>
        <w:t>Reserve</w:t>
      </w:r>
      <w:bookmarkEnd w:id="16"/>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0"/>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2"/>
      </w:r>
      <w:r w:rsidR="00FB0446" w:rsidRPr="002F5DC5">
        <w:rPr>
          <w:rFonts w:ascii="Bookman Old Style" w:hAnsi="Bookman Old Style"/>
        </w:rPr>
        <w:t xml:space="preserve"> Gieseler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3"/>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5"/>
      </w:r>
      <w:r w:rsidRPr="002F5DC5">
        <w:rPr>
          <w:rFonts w:ascii="Bookman Old Style" w:hAnsi="Bookman Old Style"/>
        </w:rPr>
        <w:t xml:space="preserve"> Giesele</w:t>
      </w:r>
      <w:r w:rsidR="00526CC2" w:rsidRPr="002F5DC5">
        <w:rPr>
          <w:rFonts w:ascii="Bookman Old Style" w:hAnsi="Bookman Old Style"/>
        </w:rPr>
        <w:t xml:space="preserve">r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r w:rsidR="00526CC2"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6"/>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7"/>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8"/>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 Chr</w:t>
      </w:r>
      <w:r w:rsidR="00526CC2" w:rsidRPr="002F5DC5">
        <w:rPr>
          <w:rFonts w:ascii="Bookman Old Style" w:hAnsi="Bookman Old Style"/>
        </w:rPr>
        <w:t xml:space="preserve">ysostom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Synes</w:t>
      </w:r>
      <w:r w:rsidRPr="002F5DC5">
        <w:rPr>
          <w:rFonts w:ascii="Bookman Old Style" w:hAnsi="Bookman Old Style"/>
        </w:rPr>
        <w:t>ius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9"/>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7" w:name="_Toc59971033"/>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7"/>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ys Huidekoper;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0"/>
      </w:r>
      <w:r w:rsidR="0049273A" w:rsidRPr="002F5DC5">
        <w:rPr>
          <w:rFonts w:ascii="Bookman Old Style" w:hAnsi="Bookman Old Style"/>
        </w:rPr>
        <w:t xml:space="preserve"> Dietelmaier declares</w:t>
      </w:r>
      <w:r w:rsidR="0049273A" w:rsidRPr="002F5DC5">
        <w:rPr>
          <w:rStyle w:val="FootnoteReference"/>
          <w:rFonts w:ascii="Bookman Old Style" w:hAnsi="Bookman Old Style"/>
        </w:rPr>
        <w:footnoteReference w:id="131"/>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tem probation. Allin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time of the Lord's passion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shut up in aeonian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aeonian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5"/>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6"/>
      </w:r>
      <w:r w:rsidR="0077208A" w:rsidRPr="002F5DC5">
        <w:rPr>
          <w:rFonts w:ascii="Bookman Old Style" w:hAnsi="Bookman Old Style"/>
        </w:rPr>
        <w:t xml:space="preserve"> </w:t>
      </w:r>
      <w:r w:rsidRPr="002F5DC5">
        <w:rPr>
          <w:rFonts w:ascii="Bookman Old Style" w:hAnsi="Bookman Old Style"/>
        </w:rPr>
        <w:t>Says Uhlhorn</w:t>
      </w:r>
      <w:r w:rsidR="0077208A" w:rsidRPr="002F5DC5">
        <w:rPr>
          <w:rStyle w:val="FootnoteReference"/>
          <w:rFonts w:ascii="Bookman Old Style" w:hAnsi="Bookman Old Style"/>
        </w:rPr>
        <w:footnoteReference w:id="13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8"/>
      </w:r>
    </w:p>
    <w:p w14:paraId="0D68C9E5" w14:textId="77777777" w:rsidR="00091D96" w:rsidRPr="002F5DC5" w:rsidRDefault="00091D96" w:rsidP="0077208A">
      <w:pPr>
        <w:pStyle w:val="Heading2"/>
        <w:rPr>
          <w:rFonts w:ascii="Bookman Old Style" w:hAnsi="Bookman Old Style"/>
        </w:rPr>
      </w:pPr>
      <w:bookmarkStart w:id="18" w:name="_Toc59971034"/>
      <w:r w:rsidRPr="002F5DC5">
        <w:rPr>
          <w:rFonts w:ascii="Bookman Old Style" w:hAnsi="Bookman Old Style"/>
        </w:rPr>
        <w:t>Prayers for the Dead.</w:t>
      </w:r>
      <w:bookmarkEnd w:id="18"/>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3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r w:rsidR="00091D96" w:rsidRPr="002F5DC5">
        <w:rPr>
          <w:rFonts w:ascii="Bookman Old Style" w:hAnsi="Bookman Old Style"/>
        </w:rPr>
        <w:t>Uhlhorn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19" w:name="_Toc59971035"/>
      <w:r w:rsidRPr="002F5DC5">
        <w:rPr>
          <w:rFonts w:ascii="Bookman Old Style" w:hAnsi="Bookman Old Style"/>
        </w:rPr>
        <w:t>Important Thoughts.</w:t>
      </w:r>
      <w:bookmarkEnd w:id="19"/>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Note.—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 Bigg has constructed, and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0" w:name="_Toc59971036"/>
      <w:r w:rsidRPr="002F5DC5">
        <w:rPr>
          <w:rFonts w:ascii="Bookman Old Style" w:hAnsi="Bookman Old Style"/>
        </w:rPr>
        <w:lastRenderedPageBreak/>
        <w:t>6. The Apostles’ Immediate Successors.</w:t>
      </w:r>
      <w:bookmarkEnd w:id="20"/>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from former associatio</w:t>
      </w:r>
      <w:r w:rsidR="00D90996" w:rsidRPr="002F5DC5">
        <w:rPr>
          <w:rFonts w:ascii="Bookman Old Style" w:hAnsi="Bookman Old Style"/>
        </w:rPr>
        <w:t xml:space="preserve">ns, and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r w:rsidRPr="002F5DC5">
        <w:rPr>
          <w:rFonts w:ascii="Bookman Old Style" w:hAnsi="Bookman Old Style"/>
        </w:rPr>
        <w:t>more or less impu</w:t>
      </w:r>
      <w:r w:rsidR="00D90996" w:rsidRPr="002F5DC5">
        <w:rPr>
          <w:rFonts w:ascii="Bookman Old Style" w:hAnsi="Bookman Old Style"/>
        </w:rPr>
        <w:t xml:space="preserve">re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1" w:name="_Toc59971037"/>
      <w:r w:rsidRPr="002F5DC5">
        <w:rPr>
          <w:rFonts w:ascii="Bookman Old Style" w:hAnsi="Bookman Old Style"/>
        </w:rPr>
        <w:t>Clement of Rome.</w:t>
      </w:r>
      <w:bookmarkEnd w:id="21"/>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the salvation of all men," and Allin</w:t>
      </w:r>
      <w:r w:rsidR="00D90996" w:rsidRPr="002F5DC5">
        <w:rPr>
          <w:rStyle w:val="FootnoteReference"/>
          <w:rFonts w:ascii="Bookman Old Style" w:hAnsi="Bookman Old Style"/>
        </w:rPr>
        <w:footnoteReference w:id="146"/>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r w:rsidRPr="002F5DC5">
        <w:rPr>
          <w:rFonts w:ascii="Bookman Old Style" w:hAnsi="Bookman Old Style"/>
        </w:rPr>
        <w:t>Allin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2" w:name="_Toc59971038"/>
      <w:r w:rsidRPr="002F5DC5">
        <w:rPr>
          <w:rFonts w:ascii="Bookman Old Style" w:hAnsi="Bookman Old Style"/>
        </w:rPr>
        <w:t>Polycarp.</w:t>
      </w:r>
      <w:bookmarkEnd w:id="22"/>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3" w:name="_Toc59971039"/>
      <w:r w:rsidRPr="002F5DC5">
        <w:rPr>
          <w:rFonts w:ascii="Bookman Old Style" w:hAnsi="Bookman Old Style"/>
        </w:rPr>
        <w:lastRenderedPageBreak/>
        <w:t>Tatian.</w:t>
      </w:r>
      <w:bookmarkEnd w:id="23"/>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4" w:name="_Toc59971040"/>
      <w:r w:rsidRPr="002F5DC5">
        <w:rPr>
          <w:rFonts w:ascii="Bookman Old Style" w:hAnsi="Bookman Old Style"/>
        </w:rPr>
        <w:t>Epistle of Barnabas.</w:t>
      </w:r>
      <w:bookmarkEnd w:id="24"/>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5" w:name="_Toc59971041"/>
      <w:r w:rsidRPr="002F5DC5">
        <w:rPr>
          <w:rFonts w:ascii="Bookman Old Style" w:hAnsi="Bookman Old Style"/>
        </w:rPr>
        <w:t>Shepherd of Hermas.</w:t>
      </w:r>
      <w:bookmarkEnd w:id="25"/>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Eusebius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Rothe, </w:t>
      </w:r>
      <w:r w:rsidRPr="002F5DC5">
        <w:rPr>
          <w:rFonts w:ascii="Bookman Old Style" w:hAnsi="Bookman Old Style"/>
        </w:rPr>
        <w:t xml:space="preserve">Hefele, and the editors of </w:t>
      </w:r>
      <w:r w:rsidRPr="002F5DC5">
        <w:rPr>
          <w:rFonts w:ascii="Bookman Old Style" w:hAnsi="Bookman Old Style"/>
          <w:i/>
        </w:rPr>
        <w:t>Bib. Max. Patrum</w:t>
      </w:r>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9"/>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0"/>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6" w:name="_Toc59971042"/>
      <w:r w:rsidRPr="002F5DC5">
        <w:rPr>
          <w:rFonts w:ascii="Bookman Old Style" w:hAnsi="Bookman Old Style"/>
        </w:rPr>
        <w:t>Ignatius.</w:t>
      </w:r>
      <w:bookmarkEnd w:id="26"/>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7" w:name="_Toc59971043"/>
      <w:r w:rsidRPr="002F5DC5">
        <w:rPr>
          <w:rFonts w:ascii="Bookman Old Style" w:hAnsi="Bookman Old Style"/>
        </w:rPr>
        <w:t>Justin Martyr.</w:t>
      </w:r>
      <w:bookmarkEnd w:id="27"/>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Phoedra).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Oracles,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6"/>
      </w:r>
    </w:p>
    <w:p w14:paraId="1FB1C77E" w14:textId="7ABB3F00" w:rsidR="001E31CD" w:rsidRPr="002F5DC5" w:rsidRDefault="001E31CD" w:rsidP="001E31CD">
      <w:pPr>
        <w:pStyle w:val="Heading3"/>
        <w:rPr>
          <w:rFonts w:ascii="Bookman Old Style" w:hAnsi="Bookman Old Style"/>
        </w:rPr>
      </w:pPr>
      <w:bookmarkStart w:id="28" w:name="_Toc59971044"/>
      <w:r w:rsidRPr="002F5DC5">
        <w:rPr>
          <w:rFonts w:ascii="Bookman Old Style" w:hAnsi="Bookman Old Style"/>
        </w:rPr>
        <w:t>The Epistle to Diognetus.</w:t>
      </w:r>
      <w:bookmarkEnd w:id="28"/>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Diognetus's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29" w:name="_Toc59971045"/>
      <w:r w:rsidRPr="002F5DC5">
        <w:rPr>
          <w:rFonts w:ascii="Bookman Old Style" w:hAnsi="Bookman Old Style"/>
        </w:rPr>
        <w:t>Irenaeus.</w:t>
      </w:r>
      <w:bookmarkEnd w:id="29"/>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does not give any color to the idea that lrenae</w:t>
      </w:r>
      <w:r w:rsidRPr="002F5DC5">
        <w:rPr>
          <w:rFonts w:ascii="Bookman Old Style" w:hAnsi="Bookman Old Style"/>
        </w:rPr>
        <w:t xml:space="preserve">us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r w:rsidRPr="002F5DC5">
        <w:rPr>
          <w:rFonts w:ascii="Bookman Old Style" w:hAnsi="Bookman Old Style"/>
          <w:i/>
        </w:rPr>
        <w:t>aionios</w:t>
      </w:r>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0" w:name="_Toc59971046"/>
      <w:r w:rsidRPr="002F5DC5">
        <w:rPr>
          <w:rFonts w:ascii="Bookman Old Style" w:hAnsi="Bookman Old Style"/>
        </w:rPr>
        <w:t>Quadratus.</w:t>
      </w:r>
      <w:bookmarkEnd w:id="30"/>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1" w:name="_Toc59971047"/>
      <w:r w:rsidRPr="002F5DC5">
        <w:rPr>
          <w:rFonts w:ascii="Bookman Old Style" w:hAnsi="Bookman Old Style"/>
        </w:rPr>
        <w:t>Pseudo-Clementine Homilies.</w:t>
      </w:r>
      <w:bookmarkEnd w:id="31"/>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2" w:name="_Toc59971048"/>
      <w:r w:rsidRPr="002F5DC5">
        <w:rPr>
          <w:rFonts w:ascii="Bookman Old Style" w:hAnsi="Bookman Old Style"/>
        </w:rPr>
        <w:t>Athenagoras.</w:t>
      </w:r>
      <w:bookmarkEnd w:id="32"/>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Pantaenus,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Pantaenus,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3" w:name="_Toc59971049"/>
      <w:r w:rsidRPr="002F5DC5">
        <w:rPr>
          <w:rFonts w:ascii="Bookman Old Style" w:hAnsi="Bookman Old Style"/>
        </w:rPr>
        <w:t>Theophilus.</w:t>
      </w:r>
      <w:bookmarkEnd w:id="33"/>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r w:rsidR="00091D96" w:rsidRPr="002F5DC5">
        <w:rPr>
          <w:rFonts w:ascii="Bookman Old Style" w:hAnsi="Bookman Old Style"/>
        </w:rPr>
        <w:t>in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4" w:name="_Toc59971050"/>
      <w:r w:rsidRPr="002F5DC5">
        <w:rPr>
          <w:rFonts w:ascii="Bookman Old Style" w:hAnsi="Bookman Old Style"/>
        </w:rPr>
        <w:t>Conclusion.</w:t>
      </w:r>
      <w:bookmarkEnd w:id="34"/>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5" w:name="_Toc59971051"/>
      <w:r w:rsidRPr="002F5DC5">
        <w:rPr>
          <w:rFonts w:ascii="Bookman Old Style" w:hAnsi="Bookman Old Style"/>
        </w:rPr>
        <w:lastRenderedPageBreak/>
        <w:t>7. Three Gnostic Sects.</w:t>
      </w:r>
      <w:bookmarkEnd w:id="35"/>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6" w:name="_Toc59971052"/>
      <w:r w:rsidRPr="002F5DC5">
        <w:rPr>
          <w:rFonts w:ascii="Bookman Old Style" w:hAnsi="Bookman Old Style"/>
        </w:rPr>
        <w:t>Basilidians</w:t>
      </w:r>
      <w:r w:rsidR="00BC7E06" w:rsidRPr="002F5DC5">
        <w:rPr>
          <w:rFonts w:ascii="Bookman Old Style" w:hAnsi="Bookman Old Style"/>
        </w:rPr>
        <w:t>.</w:t>
      </w:r>
      <w:bookmarkEnd w:id="36"/>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6"/>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7" w:name="_Toc59971053"/>
      <w:r w:rsidRPr="002F5DC5">
        <w:rPr>
          <w:rFonts w:ascii="Bookman Old Style" w:hAnsi="Bookman Old Style"/>
        </w:rPr>
        <w:t>Carpocratians.</w:t>
      </w:r>
      <w:bookmarkEnd w:id="37"/>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The Carpocratians were followers of Carpocrates,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8" w:name="_Toc59971054"/>
      <w:r w:rsidRPr="002F5DC5">
        <w:rPr>
          <w:rFonts w:ascii="Bookman Old Style" w:hAnsi="Bookman Old Style"/>
        </w:rPr>
        <w:t>Valentinians.</w:t>
      </w:r>
      <w:bookmarkEnd w:id="38"/>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39" w:name="_Toc59971055"/>
      <w:r w:rsidRPr="002F5DC5">
        <w:rPr>
          <w:rFonts w:ascii="Bookman Old Style" w:hAnsi="Bookman Old Style"/>
        </w:rPr>
        <w:t>Conclusions.</w:t>
      </w:r>
      <w:bookmarkEnd w:id="39"/>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bnt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1"/>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ith the spirit of Christianity.” Briefly, sophia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0" w:name="_Toc59971056"/>
      <w:r w:rsidRPr="002F5DC5">
        <w:rPr>
          <w:rFonts w:ascii="Bookman Old Style" w:hAnsi="Bookman Old Style"/>
        </w:rPr>
        <w:lastRenderedPageBreak/>
        <w:t>8. The Sibylline Oracles.</w:t>
      </w:r>
      <w:bookmarkEnd w:id="40"/>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5"/>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r w:rsidR="00255D50" w:rsidRPr="002F5DC5">
        <w:rPr>
          <w:rFonts w:ascii="Bookman Old Style" w:hAnsi="Bookman Old Style"/>
        </w:rPr>
        <w:t xml:space="preserve">Celano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"Oracles." Says Musardus,</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h was an error of Origen." And Opsopoeus adds</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Sibyl's Homeric hexameters was made in 1713 by Sir John Floyer.</w:t>
      </w:r>
      <w:r w:rsidR="005D4BFF" w:rsidRPr="002F5DC5">
        <w:rPr>
          <w:rStyle w:val="FootnoteReference"/>
          <w:rFonts w:ascii="Bookman Old Style" w:hAnsi="Bookman Old Style"/>
        </w:rPr>
        <w:footnoteReference w:id="17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 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0"/>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2F5DC5">
        <w:rPr>
          <w:rFonts w:ascii="Bookman Old Style" w:hAnsi="Bookman Old Style"/>
        </w:rPr>
        <w:lastRenderedPageBreak/>
        <w:t xml:space="preserve">Lactantius cited fifty passages from the Sibyl in </w:t>
      </w:r>
      <w:r w:rsidR="005D4BFF" w:rsidRPr="002F5DC5">
        <w:rPr>
          <w:rFonts w:ascii="Bookman Old Style" w:hAnsi="Bookman Old Style"/>
        </w:rPr>
        <w:t xml:space="preserve">his evidences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"Oracles." The "Edinburgh Review" (July,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1" w:name="_Toc59971057"/>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1"/>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2" w:name="_Toc59971058"/>
      <w:r w:rsidRPr="002F5DC5">
        <w:rPr>
          <w:rFonts w:ascii="Bookman Old Style" w:hAnsi="Bookman Old Style"/>
        </w:rPr>
        <w:t>Pantaenus.</w:t>
      </w:r>
      <w:bookmarkEnd w:id="42"/>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2F5DC5">
        <w:rPr>
          <w:rFonts w:ascii="Bookman Old Style" w:hAnsi="Bookman Old Style"/>
        </w:rPr>
        <w:t>Pantaenus, but we Iearn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2"/>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time of Panta</w:t>
      </w:r>
      <w:r w:rsidRPr="002F5DC5">
        <w:rPr>
          <w:rFonts w:ascii="Bookman Old Style" w:hAnsi="Bookman Old Style"/>
        </w:rPr>
        <w:t>enus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3"/>
      </w:r>
    </w:p>
    <w:p w14:paraId="0D68CA34" w14:textId="10199540" w:rsidR="00091D96" w:rsidRPr="002F5DC5" w:rsidRDefault="00DB5010" w:rsidP="00DB5010">
      <w:pPr>
        <w:ind w:firstLine="720"/>
        <w:rPr>
          <w:rFonts w:ascii="Bookman Old Style" w:hAnsi="Bookman Old Style"/>
        </w:rPr>
      </w:pPr>
      <w:r w:rsidRPr="002F5DC5">
        <w:rPr>
          <w:rFonts w:ascii="Bookman Old Style" w:hAnsi="Bookman Old Style"/>
        </w:rPr>
        <w:t xml:space="preserve">Pantaenus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for of Pantaenus, Clement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AD 189 Pantae</w:t>
      </w:r>
      <w:r w:rsidR="00091D96" w:rsidRPr="002F5DC5">
        <w:rPr>
          <w:rFonts w:ascii="Bookman Old Style" w:hAnsi="Bookman Old Style"/>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r w:rsidRPr="002F5DC5">
        <w:rPr>
          <w:rFonts w:ascii="Bookman Old Style" w:hAnsi="Bookman Old Style"/>
        </w:rPr>
        <w:t>Pantaenus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3" w:name="_Toc59971059"/>
      <w:r w:rsidRPr="002F5DC5">
        <w:rPr>
          <w:rFonts w:ascii="Bookman Old Style" w:hAnsi="Bookman Old Style"/>
        </w:rPr>
        <w:t>The Alexandrine School.</w:t>
      </w:r>
      <w:bookmarkEnd w:id="43"/>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y their great predecessor, Panta</w:t>
      </w:r>
      <w:r w:rsidRPr="002F5DC5">
        <w:rPr>
          <w:rFonts w:ascii="Bookman Old Style" w:hAnsi="Bookman Old Style"/>
        </w:rPr>
        <w:t xml:space="preserve">enus,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4"/>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Abulpharag</w:t>
      </w:r>
      <w:r w:rsidRPr="002F5DC5">
        <w:rPr>
          <w:rFonts w:ascii="Bookman Old Style" w:hAnsi="Bookman Old Style"/>
        </w:rPr>
        <w:t>ius relates that John the Grammarian,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Athanasius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6"/>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r w:rsidRPr="002F5DC5">
        <w:rPr>
          <w:rFonts w:ascii="Bookman Old Style" w:hAnsi="Bookman Old Style"/>
        </w:rPr>
        <w:t>railer,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r w:rsidR="006B1CA3" w:rsidRPr="002F5DC5">
        <w:rPr>
          <w:rFonts w:ascii="Bookman Old Style" w:hAnsi="Bookman Old Style"/>
          <w:i/>
        </w:rPr>
        <w:t>miseriun Aristotelem</w:t>
      </w:r>
      <w:r w:rsidR="006B1CA3" w:rsidRPr="002F5DC5">
        <w:rPr>
          <w:rFonts w:ascii="Bookman Old Style" w:hAnsi="Bookman Old Style"/>
        </w:rPr>
        <w:t>!’ Such arguments as Tertullian's I</w:t>
      </w:r>
      <w:r w:rsidRPr="002F5DC5">
        <w:rPr>
          <w:rFonts w:ascii="Bookman Old Style" w:hAnsi="Bookman Old Style"/>
        </w:rPr>
        <w:t>t is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7"/>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4" w:name="_Toc59971060"/>
      <w:r w:rsidRPr="002F5DC5">
        <w:rPr>
          <w:rFonts w:ascii="Bookman Old Style" w:hAnsi="Bookman Old Style"/>
        </w:rPr>
        <w:t>Clement of Alexandria.</w:t>
      </w:r>
      <w:bookmarkEnd w:id="44"/>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ius Clemens, Clemens Alexandrin</w:t>
      </w:r>
      <w:r w:rsidRPr="002F5DC5">
        <w:rPr>
          <w:rFonts w:ascii="Bookman Old Style" w:hAnsi="Bookman Old Style"/>
        </w:rPr>
        <w:t xml:space="preserve">us,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Pantaenus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fled, and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8"/>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scholars that Clement's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89"/>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Pantaenus,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 xml:space="preserve">race.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1"/>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2"/>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For all things are ordered both universally and in particular by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r w:rsidR="00BC003A" w:rsidRPr="002F5DC5">
        <w:rPr>
          <w:rFonts w:ascii="Bookman Old Style" w:hAnsi="Bookman Old Style"/>
          <w:i/>
        </w:rPr>
        <w:t>pade</w:t>
      </w:r>
      <w:r w:rsidRPr="002F5DC5">
        <w:rPr>
          <w:rFonts w:ascii="Bookman Old Style" w:hAnsi="Bookman Old Style"/>
          <w:i/>
        </w:rPr>
        <w:t>iai</w:t>
      </w:r>
      <w:r w:rsidRPr="002F5DC5">
        <w:rPr>
          <w:rFonts w:ascii="Bookman Old Style" w:hAnsi="Bookman Old Style"/>
        </w:rPr>
        <w:t xml:space="preserve">) </w:t>
      </w:r>
      <w:r w:rsidR="00BC003A" w:rsidRPr="002F5DC5">
        <w:rPr>
          <w:rFonts w:ascii="Bookman Old Style" w:hAnsi="Bookman Old Style"/>
        </w:rPr>
        <w:t>which are called chastisements (</w:t>
      </w:r>
      <w:r w:rsidRPr="002F5DC5">
        <w:rPr>
          <w:rFonts w:ascii="Bookman Old Style" w:hAnsi="Bookman Old Style"/>
          <w:i/>
        </w:rPr>
        <w:t>kolaseis</w:t>
      </w:r>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(timoriaita),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3"/>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4"/>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5"/>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6"/>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7"/>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r w:rsidRPr="002F5DC5">
        <w:rPr>
          <w:rFonts w:ascii="Bookman Old Style" w:hAnsi="Bookman Old Style"/>
          <w:i/>
        </w:rPr>
        <w:t>paidenomenos</w:t>
      </w:r>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8"/>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final state of perfe</w:t>
      </w:r>
      <w:r w:rsidR="00F53824" w:rsidRPr="002F5DC5">
        <w:rPr>
          <w:rFonts w:ascii="Bookman Old Style" w:hAnsi="Bookman Old Style"/>
        </w:rPr>
        <w:t>ction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r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0"/>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2"/>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3"/>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Paed.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6"/>
      </w:r>
    </w:p>
    <w:p w14:paraId="0D68CA62" w14:textId="77777777" w:rsidR="00091D96" w:rsidRPr="002F5DC5" w:rsidRDefault="00F4797A" w:rsidP="00F4797A">
      <w:pPr>
        <w:ind w:firstLine="720"/>
        <w:rPr>
          <w:rFonts w:ascii="Bookman Old Style" w:hAnsi="Bookman Old Style"/>
        </w:rPr>
      </w:pPr>
      <w:r w:rsidRPr="002F5DC5">
        <w:rPr>
          <w:rFonts w:ascii="Bookman Old Style" w:hAnsi="Bookman Old Style"/>
        </w:rPr>
        <w:t>Daille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07"/>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Farrar gives Clement's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Lamson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9"/>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Pantaenus, and, as seems apparent, </w:t>
      </w:r>
      <w:r w:rsidRPr="002F5DC5">
        <w:rPr>
          <w:rFonts w:ascii="Bookman Old Style" w:hAnsi="Bookman Old Style"/>
        </w:rPr>
        <w:t>by Anathegoras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fact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5" w:name="_Toc59971061"/>
      <w:r w:rsidRPr="002F5DC5">
        <w:rPr>
          <w:rFonts w:ascii="Bookman Old Style" w:hAnsi="Bookman Old Style"/>
        </w:rPr>
        <w:lastRenderedPageBreak/>
        <w:t>10. Origen</w:t>
      </w:r>
      <w:r w:rsidR="00091D96" w:rsidRPr="002F5DC5">
        <w:rPr>
          <w:rFonts w:ascii="Bookman Old Style" w:hAnsi="Bookman Old Style"/>
        </w:rPr>
        <w:t>.</w:t>
      </w:r>
      <w:bookmarkEnd w:id="45"/>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Origen Adama</w:t>
      </w:r>
      <w:r w:rsidR="00D71C14" w:rsidRPr="002F5DC5">
        <w:rPr>
          <w:rFonts w:ascii="Bookman Old Style" w:hAnsi="Bookman Old Style"/>
        </w:rPr>
        <w:t xml:space="preserve">ntius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0"/>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6"/>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dicated his name Ad</w:t>
      </w:r>
      <w:r w:rsidR="00986F4A" w:rsidRPr="002F5DC5">
        <w:rPr>
          <w:rFonts w:ascii="Bookman Old Style" w:hAnsi="Bookman Old Style"/>
        </w:rPr>
        <w:t>amantius, man of steel or ada</w:t>
      </w:r>
      <w:r w:rsidRPr="002F5DC5">
        <w:rPr>
          <w:rFonts w:ascii="Bookman Old Style" w:hAnsi="Bookman Old Style"/>
        </w:rPr>
        <w:t>mant. Says De P</w:t>
      </w:r>
      <w:r w:rsidR="00986F4A" w:rsidRPr="002F5DC5">
        <w:rPr>
          <w:rFonts w:ascii="Bookman Old Style" w:hAnsi="Bookman Old Style"/>
        </w:rPr>
        <w:t>ressense: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7"/>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are his eulogists. Gieseler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s, another pupil, so that from Pantae</w:t>
      </w:r>
      <w:r w:rsidRPr="002F5DC5">
        <w:rPr>
          <w:rFonts w:ascii="Bookman Old Style" w:hAnsi="Bookman Old Style"/>
        </w:rPr>
        <w:t>nus,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rigen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313) and the Nicean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8"/>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9"/>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Migne's collection; </w:t>
      </w:r>
      <w:r w:rsidRPr="002F5DC5">
        <w:rPr>
          <w:rFonts w:ascii="Bookman Old Style" w:hAnsi="Bookman Old Style"/>
        </w:rPr>
        <w:t>hi</w:t>
      </w:r>
      <w:r w:rsidR="00CE2A68" w:rsidRPr="002F5DC5">
        <w:rPr>
          <w:rFonts w:ascii="Bookman Old Style" w:hAnsi="Bookman Old Style"/>
        </w:rPr>
        <w:t>s "Contra Celsum,"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1"/>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"Tetrapla,"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"Octapla.</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3"/>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6" w:name="_Toc59971062"/>
      <w:r w:rsidRPr="002F5DC5">
        <w:rPr>
          <w:rFonts w:ascii="Bookman Old Style" w:hAnsi="Bookman Old Style"/>
        </w:rPr>
        <w:lastRenderedPageBreak/>
        <w:t>Quotation of Origen's Language.</w:t>
      </w:r>
      <w:bookmarkEnd w:id="46"/>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“aionios”</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"When thou h</w:t>
      </w:r>
      <w:r w:rsidR="006E10F7" w:rsidRPr="002F5DC5">
        <w:rPr>
          <w:rFonts w:ascii="Bookman Old Style" w:hAnsi="Bookman Old Style"/>
        </w:rPr>
        <w:t>earest of the wrath of God, be</w:t>
      </w:r>
      <w:r w:rsidRPr="002F5DC5">
        <w:rPr>
          <w:rFonts w:ascii="Bookman Old Style" w:hAnsi="Bookman Old Style"/>
        </w:rP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7"/>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age (undoubtedly aion in the origi- </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8"/>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9"/>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r w:rsidRPr="002F5DC5">
        <w:rPr>
          <w:rFonts w:ascii="Bookman Old Style" w:hAnsi="Bookman Old Style"/>
        </w:rPr>
        <w:lastRenderedPageBreak/>
        <w:t>Huet</w:t>
      </w:r>
      <w:r w:rsidR="00091D96" w:rsidRPr="002F5DC5">
        <w:rPr>
          <w:rFonts w:ascii="Bookman Old Style" w:hAnsi="Bookman Old Style"/>
        </w:rPr>
        <w:t xml:space="preserve"> quotes Leontius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0"/>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1"/>
      </w:r>
    </w:p>
    <w:p w14:paraId="0D68CA8F" w14:textId="77777777" w:rsidR="00091D96" w:rsidRPr="002F5DC5" w:rsidRDefault="00091D96" w:rsidP="0047774A">
      <w:pPr>
        <w:pStyle w:val="Heading2"/>
        <w:rPr>
          <w:rFonts w:ascii="Bookman Old Style" w:hAnsi="Bookman Old Style"/>
        </w:rPr>
      </w:pPr>
      <w:bookmarkStart w:id="47" w:name="_Toc59971063"/>
      <w:r w:rsidRPr="002F5DC5">
        <w:rPr>
          <w:rFonts w:ascii="Bookman Old Style" w:hAnsi="Bookman Old Style"/>
        </w:rPr>
        <w:t>Origen on the Purifying Fire.</w:t>
      </w:r>
      <w:bookmarkEnd w:id="47"/>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4"/>
      </w:r>
    </w:p>
    <w:p w14:paraId="0D68CA92" w14:textId="77777777" w:rsidR="00091D96" w:rsidRPr="002F5DC5" w:rsidRDefault="00091D96" w:rsidP="006D4EE5">
      <w:pPr>
        <w:ind w:firstLine="720"/>
        <w:rPr>
          <w:rFonts w:ascii="Bookman Old Style" w:hAnsi="Bookman Old Style"/>
        </w:rPr>
      </w:pPr>
      <w:r w:rsidRPr="002F5DC5">
        <w:rPr>
          <w:rFonts w:ascii="Bookman Old Style" w:hAnsi="Bookman Old Style"/>
        </w:rPr>
        <w:t>Thus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5"/>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of Ennom,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6"/>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7"/>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8"/>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1"/>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2"/>
      </w:r>
    </w:p>
    <w:p w14:paraId="0D68CA9D" w14:textId="77777777" w:rsidR="00091D96" w:rsidRPr="002F5DC5" w:rsidRDefault="00091D96" w:rsidP="0047774A">
      <w:pPr>
        <w:pStyle w:val="Heading2"/>
        <w:rPr>
          <w:rFonts w:ascii="Bookman Old Style" w:hAnsi="Bookman Old Style"/>
        </w:rPr>
      </w:pPr>
      <w:bookmarkStart w:id="48" w:name="_Toc59971064"/>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8"/>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49" w:name="_Toc59971065"/>
      <w:r w:rsidRPr="002F5DC5">
        <w:rPr>
          <w:rFonts w:ascii="Bookman Old Style" w:hAnsi="Bookman Old Style"/>
        </w:rPr>
        <w:lastRenderedPageBreak/>
        <w:t>11. Origen (Continued)</w:t>
      </w:r>
      <w:r w:rsidR="00091D96" w:rsidRPr="002F5DC5">
        <w:rPr>
          <w:rFonts w:ascii="Bookman Old Style" w:hAnsi="Bookman Old Style"/>
        </w:rPr>
        <w:t>.</w:t>
      </w:r>
      <w:bookmarkEnd w:id="49"/>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0"/>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1"/>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0" w:name="_Toc59971066"/>
      <w:r w:rsidRPr="002F5DC5">
        <w:rPr>
          <w:rFonts w:ascii="Bookman Old Style" w:hAnsi="Bookman Old Style"/>
        </w:rPr>
        <w:t>Origen's Theology Generally Accepted.</w:t>
      </w:r>
      <w:bookmarkEnd w:id="50"/>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1" w:name="_Toc59971067"/>
      <w:r w:rsidRPr="002F5DC5">
        <w:rPr>
          <w:rFonts w:ascii="Bookman Old Style" w:hAnsi="Bookman Old Style"/>
        </w:rPr>
        <w:t>Ancient Universalist Schools.</w:t>
      </w:r>
      <w:bookmarkEnd w:id="51"/>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8"/>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2" w:name="_Toc59971068"/>
      <w:r w:rsidRPr="002F5DC5">
        <w:rPr>
          <w:rFonts w:ascii="Bookman Old Style" w:hAnsi="Bookman Old Style"/>
        </w:rPr>
        <w:lastRenderedPageBreak/>
        <w:t>12. The Eulogists of Origen.</w:t>
      </w:r>
      <w:bookmarkEnd w:id="52"/>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9"/>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0"/>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1"/>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2"/>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3"/>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4"/>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5"/>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3" w:name="_Toc59971069"/>
      <w:r w:rsidRPr="002F5DC5">
        <w:rPr>
          <w:rFonts w:ascii="Bookman Old Style" w:hAnsi="Bookman Old Style"/>
        </w:rPr>
        <w:lastRenderedPageBreak/>
        <w:t>13. A Third Century Group.</w:t>
      </w:r>
      <w:bookmarkEnd w:id="53"/>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7"/>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4" w:name="_Toc59971070"/>
      <w:r w:rsidRPr="002F5DC5">
        <w:rPr>
          <w:rFonts w:ascii="Bookman Old Style" w:hAnsi="Bookman Old Style"/>
        </w:rPr>
        <w:t>Hippolytus.</w:t>
      </w:r>
      <w:bookmarkEnd w:id="54"/>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8"/>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(greek</w:t>
      </w:r>
      <w:r w:rsidRPr="002F5DC5">
        <w:rPr>
          <w:rFonts w:ascii="Bookman Old Style" w:hAnsi="Bookman Old Style"/>
        </w:rPr>
        <w:t>)</w:t>
      </w:r>
      <w:r w:rsidR="00556C34" w:rsidRPr="002F5DC5">
        <w:rPr>
          <w:rStyle w:val="FootnoteReference"/>
          <w:rFonts w:ascii="Bookman Old Style" w:hAnsi="Bookman Old Style"/>
        </w:rPr>
        <w:footnoteReference w:id="269"/>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0"/>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5" w:name="_Toc59971071"/>
      <w:r w:rsidRPr="002F5DC5">
        <w:rPr>
          <w:rFonts w:ascii="Bookman Old Style" w:hAnsi="Bookman Old Style"/>
        </w:rPr>
        <w:t>Theophilus.</w:t>
      </w:r>
      <w:bookmarkEnd w:id="55"/>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1"/>
      </w:r>
    </w:p>
    <w:p w14:paraId="0D68CADC" w14:textId="77777777" w:rsidR="00091D96" w:rsidRPr="002F5DC5" w:rsidRDefault="00091D96" w:rsidP="00556C34">
      <w:pPr>
        <w:pStyle w:val="Heading2"/>
        <w:rPr>
          <w:rFonts w:ascii="Bookman Old Style" w:hAnsi="Bookman Old Style"/>
        </w:rPr>
      </w:pPr>
      <w:bookmarkStart w:id="56" w:name="_Toc59971072"/>
      <w:r w:rsidRPr="002F5DC5">
        <w:rPr>
          <w:rFonts w:ascii="Bookman Old Style" w:hAnsi="Bookman Old Style"/>
        </w:rPr>
        <w:t>Tertullian.</w:t>
      </w:r>
      <w:bookmarkEnd w:id="56"/>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7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5"/>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6"/>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7" w:name="_Toc59971073"/>
      <w:r w:rsidRPr="002F5DC5">
        <w:rPr>
          <w:rFonts w:ascii="Bookman Old Style" w:hAnsi="Bookman Old Style"/>
        </w:rPr>
        <w:t>Ambrose of Alexandria.</w:t>
      </w:r>
      <w:bookmarkEnd w:id="57"/>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7"/>
      </w:r>
    </w:p>
    <w:p w14:paraId="0D68CAE4" w14:textId="77777777" w:rsidR="00091D96" w:rsidRPr="002F5DC5" w:rsidRDefault="006A618F" w:rsidP="006A618F">
      <w:pPr>
        <w:pStyle w:val="Heading2"/>
        <w:rPr>
          <w:rFonts w:ascii="Bookman Old Style" w:hAnsi="Bookman Old Style"/>
        </w:rPr>
      </w:pPr>
      <w:bookmarkStart w:id="58" w:name="_Toc59971074"/>
      <w:r w:rsidRPr="002F5DC5">
        <w:rPr>
          <w:rFonts w:ascii="Bookman Old Style" w:hAnsi="Bookman Old Style"/>
        </w:rPr>
        <w:t>The Manicha</w:t>
      </w:r>
      <w:r w:rsidR="00091D96" w:rsidRPr="002F5DC5">
        <w:rPr>
          <w:rFonts w:ascii="Bookman Old Style" w:hAnsi="Bookman Old Style"/>
        </w:rPr>
        <w:t>eans.</w:t>
      </w:r>
      <w:bookmarkEnd w:id="58"/>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9"/>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0"/>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1"/>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2"/>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59" w:name="_Toc59971075"/>
      <w:r w:rsidRPr="002F5DC5">
        <w:rPr>
          <w:rFonts w:ascii="Bookman Old Style" w:hAnsi="Bookman Old Style"/>
        </w:rPr>
        <w:lastRenderedPageBreak/>
        <w:t>14. Minor Authorities.</w:t>
      </w:r>
      <w:bookmarkEnd w:id="59"/>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4"/>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6"/>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7"/>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0"/>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0" w:name="_Toc59971076"/>
      <w:r w:rsidRPr="002F5DC5">
        <w:rPr>
          <w:rFonts w:ascii="Bookman Old Style" w:hAnsi="Bookman Old Style"/>
        </w:rPr>
        <w:t>Epiphanius.</w:t>
      </w:r>
      <w:bookmarkEnd w:id="60"/>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1" w:name="_Toc59971077"/>
      <w:r w:rsidRPr="002F5DC5">
        <w:rPr>
          <w:rFonts w:ascii="Bookman Old Style" w:hAnsi="Bookman Old Style"/>
        </w:rPr>
        <w:lastRenderedPageBreak/>
        <w:t>15. Gregory Nazianzen.</w:t>
      </w:r>
      <w:bookmarkEnd w:id="61"/>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6"/>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2" w:name="_Toc59971078"/>
      <w:r w:rsidRPr="002F5DC5">
        <w:rPr>
          <w:rFonts w:ascii="Bookman Old Style" w:hAnsi="Bookman Old Style"/>
        </w:rPr>
        <w:lastRenderedPageBreak/>
        <w:t>16. Theodore of Mopsuestia and the Nestorians.</w:t>
      </w:r>
      <w:bookmarkEnd w:id="62"/>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1"/>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3"/>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4"/>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7"/>
      </w:r>
    </w:p>
    <w:p w14:paraId="0D68CB13" w14:textId="77777777" w:rsidR="00091D96" w:rsidRPr="002F5DC5" w:rsidRDefault="00091D96" w:rsidP="004C5AAD">
      <w:pPr>
        <w:pStyle w:val="Heading2"/>
        <w:rPr>
          <w:rFonts w:ascii="Bookman Old Style" w:hAnsi="Bookman Old Style"/>
        </w:rPr>
      </w:pPr>
      <w:bookmarkStart w:id="63" w:name="_Toc59971079"/>
      <w:r w:rsidRPr="002F5DC5">
        <w:rPr>
          <w:rFonts w:ascii="Bookman Old Style" w:hAnsi="Bookman Old Style"/>
        </w:rPr>
        <w:t>The Nestorians.</w:t>
      </w:r>
      <w:bookmarkEnd w:id="63"/>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8"/>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09"/>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4" w:name="_Toc59971080"/>
      <w:r w:rsidRPr="002F5DC5">
        <w:rPr>
          <w:rFonts w:ascii="Bookman Old Style" w:hAnsi="Bookman Old Style"/>
        </w:rPr>
        <w:t>In</w:t>
      </w:r>
      <w:r w:rsidR="004C5AAD" w:rsidRPr="002F5DC5">
        <w:rPr>
          <w:rFonts w:ascii="Bookman Old Style" w:hAnsi="Bookman Old Style"/>
        </w:rPr>
        <w:t>structive Facts.</w:t>
      </w:r>
      <w:bookmarkEnd w:id="64"/>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0"/>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5" w:name="_Toc59971081"/>
      <w:r w:rsidRPr="002F5DC5">
        <w:rPr>
          <w:rFonts w:ascii="Bookman Old Style" w:hAnsi="Bookman Old Style"/>
        </w:rPr>
        <w:lastRenderedPageBreak/>
        <w:t>17. A Notable Family.</w:t>
      </w:r>
      <w:bookmarkEnd w:id="65"/>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6" w:name="_Toc59971082"/>
      <w:r w:rsidRPr="002F5DC5">
        <w:rPr>
          <w:rFonts w:ascii="Bookman Old Style" w:hAnsi="Bookman Old Style"/>
        </w:rPr>
        <w:t>"Macrina the Blessed."</w:t>
      </w:r>
      <w:bookmarkEnd w:id="66"/>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7" w:name="_Toc59971083"/>
      <w:r w:rsidRPr="002F5DC5">
        <w:rPr>
          <w:rFonts w:ascii="Bookman Old Style" w:hAnsi="Bookman Old Style"/>
        </w:rPr>
        <w:t>Basil the Great.</w:t>
      </w:r>
      <w:bookmarkEnd w:id="67"/>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8" w:name="_Toc59971084"/>
      <w:r w:rsidRPr="002F5DC5">
        <w:rPr>
          <w:rFonts w:ascii="Bookman Old Style" w:hAnsi="Bookman Old Style"/>
        </w:rPr>
        <w:t>Gregory Nys</w:t>
      </w:r>
      <w:r w:rsidR="00C07A79" w:rsidRPr="002F5DC5">
        <w:rPr>
          <w:rFonts w:ascii="Bookman Old Style" w:hAnsi="Bookman Old Style"/>
        </w:rPr>
        <w:t>sen.</w:t>
      </w:r>
      <w:bookmarkEnd w:id="68"/>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29"/>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2"/>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3"/>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5"/>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69" w:name="_Toc59971085"/>
      <w:r w:rsidRPr="002F5DC5">
        <w:rPr>
          <w:rFonts w:ascii="Bookman Old Style" w:hAnsi="Bookman Old Style"/>
        </w:rPr>
        <w:lastRenderedPageBreak/>
        <w:t>18. Additional Authorities</w:t>
      </w:r>
      <w:r w:rsidR="00091D96" w:rsidRPr="002F5DC5">
        <w:rPr>
          <w:rFonts w:ascii="Bookman Old Style" w:hAnsi="Bookman Old Style"/>
        </w:rPr>
        <w:t>.</w:t>
      </w:r>
      <w:bookmarkEnd w:id="69"/>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0" w:name="_Toc59971086"/>
      <w:r w:rsidRPr="002F5DC5">
        <w:rPr>
          <w:rFonts w:ascii="Bookman Old Style" w:hAnsi="Bookman Old Style"/>
        </w:rPr>
        <w:t>Marcellus of Ancyra.</w:t>
      </w:r>
      <w:bookmarkEnd w:id="70"/>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1" w:name="_Toc59971087"/>
      <w:r w:rsidRPr="002F5DC5">
        <w:rPr>
          <w:rFonts w:ascii="Bookman Old Style" w:hAnsi="Bookman Old Style"/>
        </w:rPr>
        <w:t>Titus of Bostra.</w:t>
      </w:r>
      <w:bookmarkEnd w:id="71"/>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2" w:name="_Toc59971088"/>
      <w:r w:rsidRPr="002F5DC5">
        <w:rPr>
          <w:rFonts w:ascii="Bookman Old Style" w:hAnsi="Bookman Old Style"/>
        </w:rPr>
        <w:t>Ambrose of Milan.</w:t>
      </w:r>
      <w:bookmarkEnd w:id="72"/>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8"/>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9"/>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0"/>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1"/>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5"/>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6"/>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3" w:name="_Toc59971089"/>
      <w:r w:rsidRPr="002F5DC5">
        <w:rPr>
          <w:rFonts w:ascii="Bookman Old Style" w:hAnsi="Bookman Old Style"/>
        </w:rPr>
        <w:t>Serapion.</w:t>
      </w:r>
      <w:bookmarkEnd w:id="73"/>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4" w:name="_Toc59971090"/>
      <w:r w:rsidRPr="002F5DC5">
        <w:rPr>
          <w:rFonts w:ascii="Bookman Old Style" w:hAnsi="Bookman Old Style"/>
        </w:rPr>
        <w:t>Macarius Magnes.</w:t>
      </w:r>
      <w:bookmarkEnd w:id="74"/>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5" w:name="_Toc59971091"/>
      <w:r w:rsidRPr="002F5DC5">
        <w:rPr>
          <w:rFonts w:ascii="Bookman Old Style" w:hAnsi="Bookman Old Style"/>
        </w:rPr>
        <w:t>Marius Victorinus.</w:t>
      </w:r>
      <w:bookmarkEnd w:id="75"/>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49"/>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6" w:name="_Toc59971092"/>
      <w:r w:rsidRPr="002F5DC5">
        <w:rPr>
          <w:rFonts w:ascii="Bookman Old Style" w:hAnsi="Bookman Old Style"/>
        </w:rPr>
        <w:t>Hilary, Bishop of Poictiers.</w:t>
      </w:r>
      <w:bookmarkEnd w:id="76"/>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7" w:name="_Toc59971093"/>
      <w:r w:rsidRPr="002F5DC5">
        <w:rPr>
          <w:rFonts w:ascii="Bookman Old Style" w:hAnsi="Bookman Old Style"/>
        </w:rPr>
        <w:t>John Cassian.</w:t>
      </w:r>
      <w:bookmarkEnd w:id="77"/>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1"/>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Diodorus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8" w:name="_Toc59971094"/>
      <w:r w:rsidRPr="002F5DC5">
        <w:rPr>
          <w:rFonts w:ascii="Bookman Old Style" w:hAnsi="Bookman Old Style"/>
        </w:rPr>
        <w:lastRenderedPageBreak/>
        <w:t>Theodoret, the Blessed.</w:t>
      </w:r>
      <w:bookmarkEnd w:id="78"/>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79" w:name="_Toc59971095"/>
      <w:r w:rsidRPr="002F5DC5">
        <w:rPr>
          <w:rFonts w:ascii="Bookman Old Style" w:hAnsi="Bookman Old Style"/>
        </w:rPr>
        <w:t>Evagrius Ponticus.</w:t>
      </w:r>
      <w:bookmarkEnd w:id="79"/>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0" w:name="_Toc59971096"/>
      <w:r w:rsidRPr="002F5DC5">
        <w:rPr>
          <w:rFonts w:ascii="Bookman Old Style" w:hAnsi="Bookman Old Style"/>
        </w:rPr>
        <w:t>Cyril of Alexandria.</w:t>
      </w:r>
      <w:bookmarkEnd w:id="80"/>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3"/>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1" w:name="_Toc59971097"/>
      <w:r w:rsidRPr="002F5DC5">
        <w:rPr>
          <w:rFonts w:ascii="Bookman Old Style" w:hAnsi="Bookman Old Style"/>
        </w:rPr>
        <w:t>Rufinus.</w:t>
      </w:r>
      <w:bookmarkEnd w:id="81"/>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5"/>
      </w:r>
    </w:p>
    <w:p w14:paraId="6DD8401B" w14:textId="62CE97C2" w:rsidR="00085E7D" w:rsidRPr="002F5DC5" w:rsidRDefault="00085E7D" w:rsidP="00085E7D">
      <w:pPr>
        <w:pStyle w:val="Heading2"/>
        <w:rPr>
          <w:rFonts w:ascii="Bookman Old Style" w:hAnsi="Bookman Old Style"/>
        </w:rPr>
      </w:pPr>
      <w:bookmarkStart w:id="82" w:name="_Toc59971098"/>
      <w:r w:rsidRPr="002F5DC5">
        <w:rPr>
          <w:rFonts w:ascii="Bookman Old Style" w:hAnsi="Bookman Old Style"/>
        </w:rPr>
        <w:t>Domitian, Bishop of Galatia.</w:t>
      </w:r>
      <w:bookmarkEnd w:id="82"/>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3" w:name="_Toc59971099"/>
      <w:r w:rsidRPr="002F5DC5">
        <w:rPr>
          <w:rFonts w:ascii="Bookman Old Style" w:hAnsi="Bookman Old Style"/>
        </w:rPr>
        <w:t>Diodore, Bishop of Tarsus.</w:t>
      </w:r>
      <w:bookmarkEnd w:id="83"/>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7"/>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58"/>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59"/>
      </w:r>
    </w:p>
    <w:p w14:paraId="742967E3" w14:textId="4D5E4284" w:rsidR="003134B6" w:rsidRPr="002F5DC5" w:rsidRDefault="003134B6" w:rsidP="003134B6">
      <w:pPr>
        <w:pStyle w:val="Heading2"/>
        <w:rPr>
          <w:rFonts w:ascii="Bookman Old Style" w:hAnsi="Bookman Old Style"/>
        </w:rPr>
      </w:pPr>
      <w:bookmarkStart w:id="84" w:name="_Toc59971100"/>
      <w:r w:rsidRPr="002F5DC5">
        <w:rPr>
          <w:rFonts w:ascii="Bookman Old Style" w:hAnsi="Bookman Old Style"/>
        </w:rPr>
        <w:t>Later Additional Authorities.</w:t>
      </w:r>
      <w:bookmarkEnd w:id="84"/>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5" w:name="_Toc59971101"/>
      <w:r w:rsidRPr="002F5DC5">
        <w:rPr>
          <w:rFonts w:ascii="Bookman Old Style" w:hAnsi="Bookman Old Style"/>
        </w:rPr>
        <w:t>Macarius.</w:t>
      </w:r>
      <w:bookmarkEnd w:id="85"/>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6" w:name="_Toc59971102"/>
      <w:r w:rsidRPr="002F5DC5">
        <w:rPr>
          <w:rFonts w:ascii="Bookman Old Style" w:hAnsi="Bookman Old Style"/>
        </w:rPr>
        <w:lastRenderedPageBreak/>
        <w:t>Peter Chrysologus.</w:t>
      </w:r>
      <w:bookmarkEnd w:id="86"/>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7" w:name="_Toc59971103"/>
      <w:r w:rsidRPr="002F5DC5">
        <w:rPr>
          <w:rFonts w:ascii="Bookman Old Style" w:hAnsi="Bookman Old Style"/>
        </w:rPr>
        <w:t>Stephan Bar-Sudaili.</w:t>
      </w:r>
      <w:bookmarkEnd w:id="87"/>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8" w:name="_Toc59971104"/>
      <w:r w:rsidRPr="002F5DC5">
        <w:rPr>
          <w:rFonts w:ascii="Bookman Old Style" w:hAnsi="Bookman Old Style"/>
        </w:rPr>
        <w:t>Maximus, the Confessor.</w:t>
      </w:r>
      <w:bookmarkEnd w:id="88"/>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89" w:name="_Toc59971105"/>
      <w:r w:rsidRPr="002F5DC5">
        <w:rPr>
          <w:rFonts w:ascii="Bookman Old Style" w:hAnsi="Bookman Old Style"/>
        </w:rPr>
        <w:lastRenderedPageBreak/>
        <w:t>19. The Deterioration of Christian Thought.</w:t>
      </w:r>
      <w:bookmarkEnd w:id="89"/>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1"/>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0" w:name="_Toc59971106"/>
      <w:r w:rsidRPr="002F5DC5">
        <w:rPr>
          <w:rFonts w:ascii="Bookman Old Style" w:hAnsi="Bookman Old Style"/>
        </w:rPr>
        <w:t>Jerome.</w:t>
      </w:r>
      <w:bookmarkEnd w:id="90"/>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6"/>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67"/>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8"/>
      </w:r>
    </w:p>
    <w:p w14:paraId="0D0CDF5C" w14:textId="683B32B1" w:rsidR="003134B6" w:rsidRPr="002F5DC5" w:rsidRDefault="003134B6" w:rsidP="003134B6">
      <w:pPr>
        <w:pStyle w:val="Heading2"/>
        <w:rPr>
          <w:rFonts w:ascii="Bookman Old Style" w:hAnsi="Bookman Old Style"/>
        </w:rPr>
      </w:pPr>
      <w:bookmarkStart w:id="91" w:name="_Toc59971107"/>
      <w:r w:rsidRPr="002F5DC5">
        <w:rPr>
          <w:rFonts w:ascii="Bookman Old Style" w:hAnsi="Bookman Old Style"/>
        </w:rPr>
        <w:t>John Chrysostom.</w:t>
      </w:r>
      <w:bookmarkEnd w:id="91"/>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1"/>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2" w:name="_Toc59971108"/>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2"/>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1"/>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5"/>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6"/>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3" w:name="_Toc59971109"/>
      <w:r w:rsidRPr="002F5DC5">
        <w:rPr>
          <w:rFonts w:ascii="Bookman Old Style" w:hAnsi="Bookman Old Style"/>
        </w:rPr>
        <w:lastRenderedPageBreak/>
        <w:t>21. Unsuccessful Attempts to Suppress Universalism.</w:t>
      </w:r>
      <w:bookmarkEnd w:id="93"/>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4"/>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6"/>
      </w:r>
    </w:p>
    <w:p w14:paraId="0D68CBAB" w14:textId="77777777" w:rsidR="00091D96" w:rsidRPr="002F5DC5" w:rsidRDefault="00091D96" w:rsidP="00FC41E0">
      <w:pPr>
        <w:pStyle w:val="Heading2"/>
        <w:rPr>
          <w:rFonts w:ascii="Bookman Old Style" w:hAnsi="Bookman Old Style"/>
        </w:rPr>
      </w:pPr>
      <w:bookmarkStart w:id="94" w:name="_Toc59971110"/>
      <w:r w:rsidRPr="002F5DC5">
        <w:rPr>
          <w:rFonts w:ascii="Bookman Old Style" w:hAnsi="Bookman Old Style"/>
        </w:rPr>
        <w:t>Significant Facts and Conclusions.</w:t>
      </w:r>
      <w:bookmarkEnd w:id="94"/>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7"/>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8"/>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5" w:name="_Toc59971111"/>
      <w:r w:rsidRPr="002F5DC5">
        <w:rPr>
          <w:rFonts w:ascii="Bookman Old Style" w:hAnsi="Bookman Old Style"/>
        </w:rPr>
        <w:lastRenderedPageBreak/>
        <w:t>22. The Eclipse of Universalism.</w:t>
      </w:r>
      <w:bookmarkEnd w:id="95"/>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1"/>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3"/>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4"/>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6" w:name="_Toc59971112"/>
      <w:r w:rsidRPr="002F5DC5">
        <w:rPr>
          <w:rFonts w:ascii="Bookman Old Style" w:hAnsi="Bookman Old Style"/>
        </w:rPr>
        <w:lastRenderedPageBreak/>
        <w:t>23. Summary of Conclusions.</w:t>
      </w:r>
      <w:bookmarkEnd w:id="96"/>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7777777"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eschatology, but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 </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leased all who were in</w:t>
      </w:r>
      <w:r w:rsidR="00207D93" w:rsidRPr="002F5DC5">
        <w:rPr>
          <w:rFonts w:ascii="Bookman Old Style" w:hAnsi="Bookman Old Style"/>
        </w:rPr>
        <w:t xml:space="preserve"> ward.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the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77777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implicity, goodness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reared, and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born, </w:t>
      </w:r>
      <w:r w:rsidRPr="002F5DC5">
        <w:rPr>
          <w:rFonts w:ascii="Bookman Old Style" w:hAnsi="Bookman Old Style"/>
        </w:rPr>
        <w:t>and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7777777"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Pr="002F5DC5">
        <w:rPr>
          <w:rFonts w:ascii="Bookman Old Style" w:hAnsi="Bookman Old Style"/>
        </w:rPr>
        <w:t>sin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77777777"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 God with cru</w:t>
      </w:r>
      <w:r w:rsidR="00207D93" w:rsidRPr="002F5DC5">
        <w:rPr>
          <w:rFonts w:ascii="Bookman Old Style" w:hAnsi="Bookman Old Style"/>
        </w:rPr>
        <w:t xml:space="preserve">elty, because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77777777"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77777777" w:rsidR="00F73648" w:rsidRPr="002F5DC5" w:rsidRDefault="00F73648" w:rsidP="00F73648">
      <w:pPr>
        <w:pStyle w:val="Heading1"/>
        <w:rPr>
          <w:rFonts w:ascii="Bookman Old Style" w:hAnsi="Bookman Old Style"/>
        </w:rPr>
      </w:pPr>
      <w:bookmarkStart w:id="97" w:name="_Toc59971113"/>
      <w:r w:rsidRPr="002F5DC5">
        <w:rPr>
          <w:rFonts w:ascii="Bookman Old Style" w:hAnsi="Bookman Old Style"/>
        </w:rPr>
        <w:lastRenderedPageBreak/>
        <w:t>Biographies of Those Referenced in This Work</w:t>
      </w:r>
      <w:bookmarkEnd w:id="97"/>
    </w:p>
    <w:p w14:paraId="07CB7169" w14:textId="196A256A" w:rsidR="00F73648" w:rsidRPr="002F5DC5" w:rsidRDefault="00F73648" w:rsidP="00F73648">
      <w:pPr>
        <w:pStyle w:val="Heading2"/>
        <w:rPr>
          <w:rFonts w:ascii="Bookman Old Style" w:hAnsi="Bookman Old Style"/>
        </w:rPr>
      </w:pPr>
      <w:bookmarkStart w:id="98" w:name="_Toc59971114"/>
      <w:r w:rsidRPr="002F5DC5">
        <w:rPr>
          <w:rFonts w:ascii="Bookman Old Style" w:hAnsi="Bookman Old Style"/>
        </w:rPr>
        <w:t>Ballou, Hosea</w:t>
      </w:r>
      <w:bookmarkEnd w:id="98"/>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99" w:name="_Toc59971115"/>
      <w:r w:rsidRPr="002F5DC5">
        <w:rPr>
          <w:rFonts w:ascii="Bookman Old Style" w:hAnsi="Bookman Old Style"/>
        </w:rPr>
        <w:t>Beecher, Edward</w:t>
      </w:r>
      <w:bookmarkEnd w:id="99"/>
    </w:p>
    <w:p w14:paraId="4CD7DB86" w14:textId="0DCBF962" w:rsidR="00EC2CCF" w:rsidRPr="002F5DC5"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61245BCA" w14:textId="3AB3337F" w:rsidR="00F73648" w:rsidRPr="002F5DC5" w:rsidRDefault="00F73648" w:rsidP="00F73648">
      <w:pPr>
        <w:pStyle w:val="Heading2"/>
        <w:rPr>
          <w:rFonts w:ascii="Bookman Old Style" w:hAnsi="Bookman Old Style"/>
        </w:rPr>
      </w:pPr>
      <w:bookmarkStart w:id="100" w:name="_Toc59971116"/>
      <w:r w:rsidRPr="002F5DC5">
        <w:rPr>
          <w:rFonts w:ascii="Bookman Old Style" w:hAnsi="Bookman Old Style"/>
        </w:rPr>
        <w:t>Cantwell, J.S.</w:t>
      </w:r>
      <w:bookmarkEnd w:id="100"/>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1" w:name="_Toc59971117"/>
      <w:r w:rsidRPr="002F5DC5">
        <w:rPr>
          <w:rFonts w:ascii="Bookman Old Style" w:hAnsi="Bookman Old Style"/>
        </w:rPr>
        <w:t>Chambre, A. St. John</w:t>
      </w:r>
      <w:bookmarkEnd w:id="101"/>
    </w:p>
    <w:p w14:paraId="6286C9D4" w14:textId="61DAA649" w:rsidR="00F73648" w:rsidRPr="002F5DC5"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1C2A37D5" w14:textId="64CFDDF6" w:rsidR="002E14E1" w:rsidRPr="002F5DC5" w:rsidRDefault="002E14E1" w:rsidP="002E14E1">
      <w:pPr>
        <w:pStyle w:val="Heading2"/>
        <w:rPr>
          <w:rFonts w:ascii="Bookman Old Style" w:hAnsi="Bookman Old Style"/>
        </w:rPr>
      </w:pPr>
      <w:bookmarkStart w:id="102" w:name="_Toc59971118"/>
      <w:r w:rsidRPr="002F5DC5">
        <w:rPr>
          <w:rFonts w:ascii="Bookman Old Style" w:hAnsi="Bookman Old Style"/>
        </w:rPr>
        <w:lastRenderedPageBreak/>
        <w:t>Farrar, Frederick W.</w:t>
      </w:r>
      <w:bookmarkEnd w:id="102"/>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3" w:name="_Toc59971119"/>
      <w:r w:rsidRPr="002F5DC5">
        <w:rPr>
          <w:rFonts w:ascii="Bookman Old Style" w:hAnsi="Bookman Old Style"/>
        </w:rPr>
        <w:t>Hagenbach, Karl</w:t>
      </w:r>
      <w:bookmarkEnd w:id="103"/>
    </w:p>
    <w:p w14:paraId="0CDF0308" w14:textId="6175CBEE" w:rsidR="0048014E" w:rsidRPr="002F5DC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26D6B288" w14:textId="4B61CD71" w:rsidR="00937100" w:rsidRPr="002F5DC5" w:rsidRDefault="00937100" w:rsidP="00937100">
      <w:pPr>
        <w:pStyle w:val="Heading2"/>
        <w:rPr>
          <w:rFonts w:ascii="Bookman Old Style" w:hAnsi="Bookman Old Style"/>
        </w:rPr>
      </w:pPr>
      <w:bookmarkStart w:id="104" w:name="_Toc59971120"/>
      <w:r w:rsidRPr="002F5DC5">
        <w:rPr>
          <w:rFonts w:ascii="Bookman Old Style" w:hAnsi="Bookman Old Style"/>
        </w:rPr>
        <w:t>Sawyer, Thomas Jefferson</w:t>
      </w:r>
      <w:bookmarkEnd w:id="104"/>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5" w:name="_Toc59971121"/>
      <w:r w:rsidRPr="002F5DC5">
        <w:rPr>
          <w:rFonts w:ascii="Bookman Old Style" w:hAnsi="Bookman Old Style"/>
        </w:rPr>
        <w:t>Thayer, Thomas Baldwin</w:t>
      </w:r>
      <w:bookmarkEnd w:id="105"/>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w:t>
      </w:r>
      <w:r w:rsidRPr="002F5DC5">
        <w:rPr>
          <w:rFonts w:ascii="Bookman Old Style" w:hAnsi="Bookman Old Style"/>
        </w:rPr>
        <w:lastRenderedPageBreak/>
        <w:t xml:space="preserve">(1904).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CBADF56" w14:textId="332DDA7E" w:rsidR="00B126CC" w:rsidRPr="002F5DC5" w:rsidRDefault="00B126CC" w:rsidP="00F73648">
      <w:pPr>
        <w:rPr>
          <w:rFonts w:ascii="Bookman Old Style" w:hAnsi="Bookman Old Style"/>
        </w:rPr>
      </w:pPr>
      <w:r w:rsidRPr="002F5DC5">
        <w:rPr>
          <w:rFonts w:ascii="Bookman Old Style" w:hAnsi="Bookman Old Style"/>
        </w:rPr>
        <w:br w:type="page"/>
      </w:r>
    </w:p>
    <w:p w14:paraId="7BFA92E2" w14:textId="5D3DF3B2" w:rsidR="00B126CC" w:rsidRPr="002F5DC5" w:rsidRDefault="00B126CC" w:rsidP="00B126CC">
      <w:pPr>
        <w:pStyle w:val="Heading1"/>
        <w:rPr>
          <w:rFonts w:ascii="Bookman Old Style" w:hAnsi="Bookman Old Style"/>
        </w:rPr>
      </w:pPr>
      <w:bookmarkStart w:id="106" w:name="_Toc59971122"/>
      <w:r w:rsidRPr="002F5DC5">
        <w:rPr>
          <w:rFonts w:ascii="Bookman Old Style" w:hAnsi="Bookman Old Style"/>
        </w:rPr>
        <w:lastRenderedPageBreak/>
        <w:t>Additional Biographical Information</w:t>
      </w:r>
      <w:bookmarkEnd w:id="106"/>
    </w:p>
    <w:p w14:paraId="055AF09C" w14:textId="0A770F20" w:rsidR="00B126CC" w:rsidRPr="002F5DC5" w:rsidRDefault="00B126CC" w:rsidP="00B126CC">
      <w:pPr>
        <w:rPr>
          <w:rFonts w:ascii="Bookman Old Style" w:hAnsi="Bookman Old Style"/>
        </w:rPr>
      </w:pPr>
      <w:r w:rsidRPr="002F5DC5">
        <w:rPr>
          <w:rFonts w:ascii="Bookman Old Style" w:hAnsi="Bookman Old Style"/>
        </w:rPr>
        <w:tab/>
        <w:t>This section provides additional biographical information about individuals referenced throughout this text.</w:t>
      </w:r>
    </w:p>
    <w:p w14:paraId="148BE90A" w14:textId="179BBB42" w:rsidR="00B126CC" w:rsidRPr="002F5DC5" w:rsidRDefault="00B126CC" w:rsidP="00B126CC">
      <w:pPr>
        <w:pStyle w:val="ListParagraph"/>
        <w:numPr>
          <w:ilvl w:val="0"/>
          <w:numId w:val="11"/>
        </w:numPr>
        <w:rPr>
          <w:rFonts w:ascii="Bookman Old Style" w:hAnsi="Bookman Old Style"/>
        </w:rPr>
      </w:pPr>
      <w:r w:rsidRPr="002F5DC5">
        <w:rPr>
          <w:rFonts w:ascii="Bookman Old Style" w:hAnsi="Bookman Old Style"/>
        </w:rPr>
        <w:t>Philotheos Bryennios - An Eastern Orthodox theologian who discovered several important early church works, including the Teaching of the Twelve Apostles.</w:t>
      </w:r>
    </w:p>
    <w:p w14:paraId="654CFEDD" w14:textId="5884763E" w:rsidR="00B126CC" w:rsidRPr="002F5DC5" w:rsidRDefault="005C36DC" w:rsidP="00B126CC">
      <w:pPr>
        <w:pStyle w:val="ListParagraph"/>
        <w:numPr>
          <w:ilvl w:val="1"/>
          <w:numId w:val="11"/>
        </w:numPr>
        <w:rPr>
          <w:rFonts w:ascii="Bookman Old Style" w:hAnsi="Bookman Old Style"/>
        </w:rPr>
      </w:pPr>
      <w:hyperlink r:id="rId9" w:history="1">
        <w:r w:rsidR="00B126CC" w:rsidRPr="002F5DC5">
          <w:rPr>
            <w:rStyle w:val="Hyperlink"/>
            <w:rFonts w:ascii="Bookman Old Style" w:hAnsi="Bookman Old Style"/>
          </w:rPr>
          <w:t>https://www.britannica.com/biography/Philotheos-Bryennios</w:t>
        </w:r>
      </w:hyperlink>
    </w:p>
    <w:p w14:paraId="52F54E9D" w14:textId="180DC15B" w:rsidR="00B126CC" w:rsidRPr="002F5DC5" w:rsidRDefault="00B126CC" w:rsidP="00B126CC">
      <w:pPr>
        <w:pStyle w:val="ListParagraph"/>
        <w:numPr>
          <w:ilvl w:val="0"/>
          <w:numId w:val="11"/>
        </w:numPr>
        <w:rPr>
          <w:rFonts w:ascii="Bookman Old Style" w:hAnsi="Bookman Old Style"/>
        </w:rPr>
      </w:pPr>
      <w:r w:rsidRPr="002F5DC5">
        <w:rPr>
          <w:rFonts w:ascii="Bookman Old Style" w:hAnsi="Bookman Old Style"/>
        </w:rPr>
        <w:t>John Chrysostom - A church father who was particularly famous for his sermons.</w:t>
      </w:r>
    </w:p>
    <w:p w14:paraId="62BF8F55" w14:textId="1D33B998" w:rsidR="00B126CC" w:rsidRPr="002F5DC5" w:rsidRDefault="005C36DC" w:rsidP="00B126CC">
      <w:pPr>
        <w:pStyle w:val="ListParagraph"/>
        <w:numPr>
          <w:ilvl w:val="1"/>
          <w:numId w:val="11"/>
        </w:numPr>
        <w:rPr>
          <w:rFonts w:ascii="Bookman Old Style" w:hAnsi="Bookman Old Style"/>
        </w:rPr>
      </w:pPr>
      <w:hyperlink r:id="rId10" w:history="1">
        <w:r w:rsidR="00B126CC" w:rsidRPr="002F5DC5">
          <w:rPr>
            <w:rStyle w:val="Hyperlink"/>
            <w:rFonts w:ascii="Bookman Old Style" w:hAnsi="Bookman Old Style"/>
          </w:rPr>
          <w:t>https://www.britannica.com/biography/Saint-John-Chrysostom</w:t>
        </w:r>
      </w:hyperlink>
    </w:p>
    <w:p w14:paraId="69F30FFF" w14:textId="441D6F8F" w:rsidR="00B126CC" w:rsidRPr="002F5DC5" w:rsidRDefault="005C36DC" w:rsidP="00B126CC">
      <w:pPr>
        <w:pStyle w:val="ListParagraph"/>
        <w:numPr>
          <w:ilvl w:val="1"/>
          <w:numId w:val="11"/>
        </w:numPr>
        <w:rPr>
          <w:rFonts w:ascii="Bookman Old Style" w:hAnsi="Bookman Old Style"/>
        </w:rPr>
      </w:pPr>
      <w:hyperlink r:id="rId11" w:history="1">
        <w:r w:rsidR="00B126CC" w:rsidRPr="002F5DC5">
          <w:rPr>
            <w:rStyle w:val="Hyperlink"/>
            <w:rFonts w:ascii="Bookman Old Style" w:hAnsi="Bookman Old Style"/>
          </w:rPr>
          <w:t>https://www.britannica.com/biography/Saint-John-Chrysostom</w:t>
        </w:r>
      </w:hyperlink>
    </w:p>
    <w:p w14:paraId="384D9F49" w14:textId="7B67B523" w:rsidR="00D80E3A" w:rsidRPr="002F5DC5" w:rsidRDefault="00D80E3A" w:rsidP="00D80E3A">
      <w:pPr>
        <w:pStyle w:val="ListParagraph"/>
        <w:numPr>
          <w:ilvl w:val="0"/>
          <w:numId w:val="11"/>
        </w:numPr>
        <w:rPr>
          <w:rFonts w:ascii="Bookman Old Style" w:hAnsi="Bookman Old Style"/>
        </w:rPr>
      </w:pPr>
      <w:r w:rsidRPr="002F5DC5">
        <w:rPr>
          <w:rFonts w:ascii="Bookman Old Style" w:hAnsi="Bookman Old Style"/>
        </w:rPr>
        <w:t>Roswell D. Hitchcock – Author of Hitchcock’s Bible Names Dictionary.</w:t>
      </w:r>
    </w:p>
    <w:p w14:paraId="20A46185" w14:textId="5ABAC325" w:rsidR="00B126CC" w:rsidRPr="002F5DC5" w:rsidRDefault="005C36DC" w:rsidP="00F73648">
      <w:pPr>
        <w:pStyle w:val="ListParagraph"/>
        <w:numPr>
          <w:ilvl w:val="1"/>
          <w:numId w:val="11"/>
        </w:numPr>
        <w:rPr>
          <w:rFonts w:ascii="Bookman Old Style" w:hAnsi="Bookman Old Style"/>
        </w:rPr>
      </w:pPr>
      <w:hyperlink r:id="rId12" w:history="1">
        <w:r w:rsidR="00D80E3A" w:rsidRPr="002F5DC5">
          <w:rPr>
            <w:rStyle w:val="Hyperlink"/>
            <w:rFonts w:ascii="Bookman Old Style" w:hAnsi="Bookman Old Style"/>
          </w:rPr>
          <w:t>https://www.ccel.org/ccel/hitchcock</w:t>
        </w:r>
      </w:hyperlink>
      <w:r w:rsidR="00B126CC" w:rsidRPr="002F5DC5">
        <w:rPr>
          <w:rFonts w:ascii="Bookman Old Style" w:hAnsi="Bookman Old Style"/>
        </w:rPr>
        <w:br w:type="page"/>
      </w:r>
    </w:p>
    <w:p w14:paraId="0D68CBE3" w14:textId="4BC35BC5" w:rsidR="00A87C57" w:rsidRPr="002F5DC5" w:rsidRDefault="00A87C57" w:rsidP="00A87C57">
      <w:pPr>
        <w:pStyle w:val="Heading1"/>
        <w:rPr>
          <w:rFonts w:ascii="Bookman Old Style" w:hAnsi="Bookman Old Style"/>
        </w:rPr>
      </w:pPr>
      <w:bookmarkStart w:id="107" w:name="_Toc59971123"/>
      <w:r w:rsidRPr="002F5DC5">
        <w:rPr>
          <w:rFonts w:ascii="Bookman Old Style" w:hAnsi="Bookman Old Style"/>
        </w:rPr>
        <w:lastRenderedPageBreak/>
        <w:t>Bibliography</w:t>
      </w:r>
      <w:bookmarkEnd w:id="107"/>
    </w:p>
    <w:p w14:paraId="0D68CBE4" w14:textId="77777777" w:rsidR="00A87C57" w:rsidRPr="002F5DC5" w:rsidRDefault="00A87C57" w:rsidP="00A87C57">
      <w:pPr>
        <w:rPr>
          <w:rFonts w:ascii="Bookman Old Style" w:hAnsi="Bookman Old Style"/>
        </w:rPr>
      </w:pPr>
      <w:r w:rsidRPr="002F5DC5">
        <w:rPr>
          <w:rFonts w:ascii="Bookman Old Style" w:hAnsi="Bookman Old Style"/>
        </w:rP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rsidRPr="002F5DC5">
        <w:rPr>
          <w:rFonts w:ascii="Bookman Old Style" w:hAnsi="Bookman Old Style"/>
        </w:rPr>
        <w:t>H</w:t>
      </w:r>
      <w:r w:rsidRPr="002F5DC5">
        <w:rPr>
          <w:rFonts w:ascii="Bookman Old Style" w:hAnsi="Bookman Old Style"/>
        </w:rPr>
        <w:t>’s original, but all items which are referenced and utilized primarily by JW</w:t>
      </w:r>
      <w:r w:rsidR="00854D0A" w:rsidRPr="002F5DC5">
        <w:rPr>
          <w:rFonts w:ascii="Bookman Old Style" w:hAnsi="Bookman Old Style"/>
        </w:rPr>
        <w:t>H</w:t>
      </w:r>
      <w:r w:rsidRPr="002F5DC5">
        <w:rPr>
          <w:rFonts w:ascii="Bookman Old Style" w:hAnsi="Bookman Old Style"/>
        </w:rPr>
        <w:t xml:space="preserve"> within the volume have been preface</w:t>
      </w:r>
      <w:r w:rsidR="00854D0A" w:rsidRPr="002F5DC5">
        <w:rPr>
          <w:rFonts w:ascii="Bookman Old Style" w:hAnsi="Bookman Old Style"/>
        </w:rPr>
        <w:t>d</w:t>
      </w:r>
      <w:r w:rsidRPr="002F5DC5">
        <w:rPr>
          <w:rFonts w:ascii="Bookman Old Style" w:hAnsi="Bookman Old Style"/>
        </w:rPr>
        <w:t xml:space="preserve"> with JW to indicate that he is the source of these volume’s usage.</w:t>
      </w:r>
    </w:p>
    <w:p w14:paraId="4B4C6873" w14:textId="7B464988"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DM: An American Family: The Beecher Tradition, based on an exhibit in the William and Anita Newman Library which was curated by Sandra Roff.</w:t>
      </w:r>
    </w:p>
    <w:p w14:paraId="0D68CBE5" w14:textId="5A3639FF"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Dictionary of Unitarian and Universalist Biography. URL: </w:t>
      </w:r>
      <w:hyperlink r:id="rId13" w:history="1">
        <w:r w:rsidR="00D31F5F"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7"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8" w14:textId="77777777" w:rsidR="00D36E90"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w:t>
      </w:r>
      <w:r w:rsidR="00D36E90" w:rsidRPr="002F5DC5">
        <w:rPr>
          <w:rFonts w:ascii="Bookman Old Style" w:hAnsi="Bookman Old Style"/>
        </w:rPr>
        <w:t>Hosea Ballou, 2</w:t>
      </w:r>
      <w:r w:rsidR="00D36E90" w:rsidRPr="002F5DC5">
        <w:rPr>
          <w:rFonts w:ascii="Bookman Old Style" w:hAnsi="Bookman Old Style"/>
          <w:vertAlign w:val="superscript"/>
        </w:rPr>
        <w:t>nd</w:t>
      </w:r>
      <w:r w:rsidR="00D36E90" w:rsidRPr="002F5DC5">
        <w:rPr>
          <w:rFonts w:ascii="Bookman Old Style" w:hAnsi="Bookman Old Style"/>
        </w:rPr>
        <w:t xml:space="preserve">.  </w:t>
      </w:r>
      <w:r w:rsidR="00D36E90" w:rsidRPr="002F5DC5">
        <w:rPr>
          <w:rFonts w:ascii="Bookman Old Style" w:hAnsi="Bookman Old Style"/>
          <w:u w:val="single"/>
        </w:rPr>
        <w:t>Ancient History of Universalism</w:t>
      </w:r>
      <w:r w:rsidR="00D36E90" w:rsidRPr="002F5DC5">
        <w:rPr>
          <w:rFonts w:ascii="Bookman Old Style" w:hAnsi="Bookman Old Style"/>
        </w:rPr>
        <w:t>. Boston, MA: Universalist Publishing House, 1872.</w:t>
      </w:r>
    </w:p>
    <w:p w14:paraId="0D68CBE9" w14:textId="77777777" w:rsidR="00676124"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Edward Beecher.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0D68CBEA"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Roswell D. Hitchcock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0D68CBEB"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William Cave.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0D68CBEC" w14:textId="52537158" w:rsidR="00A87C57" w:rsidRPr="002F5DC5" w:rsidRDefault="00190ECF" w:rsidP="00A87C57">
      <w:pPr>
        <w:pStyle w:val="ListParagraph"/>
        <w:numPr>
          <w:ilvl w:val="0"/>
          <w:numId w:val="2"/>
        </w:numPr>
        <w:rPr>
          <w:rFonts w:ascii="Bookman Old Style" w:hAnsi="Bookman Old Style"/>
        </w:rPr>
      </w:pPr>
      <w:r w:rsidRPr="002F5DC5">
        <w:rPr>
          <w:rFonts w:ascii="Bookman Old Style" w:hAnsi="Bookman Old Style"/>
        </w:rPr>
        <w:t xml:space="preserve">DM: </w:t>
      </w:r>
      <w:r w:rsidR="00A87C57" w:rsidRPr="002F5DC5">
        <w:rPr>
          <w:rFonts w:ascii="Bookman Old Style" w:hAnsi="Bookman Old Style"/>
        </w:rPr>
        <w:t xml:space="preserve">J.D. Douglas and Philip W. Comfort, editors. </w:t>
      </w:r>
      <w:r w:rsidR="00A87C57" w:rsidRPr="002F5DC5">
        <w:rPr>
          <w:rFonts w:ascii="Bookman Old Style" w:hAnsi="Bookman Old Style"/>
          <w:u w:val="single"/>
        </w:rPr>
        <w:t>Who’s Who in Christian History</w:t>
      </w:r>
      <w:r w:rsidR="00A87C57"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EE"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Eternal Hope</w:t>
      </w:r>
      <w:r w:rsidRPr="002F5DC5">
        <w:rPr>
          <w:rFonts w:ascii="Bookman Old Style" w:hAnsi="Bookman Old Style"/>
        </w:rPr>
        <w:t>. London and New York: MacMillan and Co., 1892.</w:t>
      </w:r>
    </w:p>
    <w:p w14:paraId="0D68CBEF"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Mercy and Judgment</w:t>
      </w:r>
      <w:r w:rsidRPr="002F5DC5">
        <w:rPr>
          <w:rFonts w:ascii="Bookman Old Style" w:hAnsi="Bookman Old Style"/>
        </w:rPr>
        <w:t>. London: MacMillan and Co., 1881.</w:t>
      </w:r>
    </w:p>
    <w:p w14:paraId="0D68CBF0"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0D68CBF1" w14:textId="42048399"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Mark Harris. Notable American Universalists. URL: </w:t>
      </w:r>
      <w:hyperlink r:id="rId14" w:history="1">
        <w:r w:rsidR="00D31F5F"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0D68CBF3" w14:textId="090BDC44" w:rsidR="009A321E" w:rsidRPr="002F5DC5" w:rsidRDefault="00BB534C" w:rsidP="009A321E">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John Lawrence von Mosheim. See James Murdock for bibliographical info.</w:t>
      </w:r>
    </w:p>
    <w:p w14:paraId="270DE130" w14:textId="44516860"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DM: 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5" w:history="1">
        <w:r w:rsidRPr="002F5DC5">
          <w:rPr>
            <w:rStyle w:val="Hyperlink"/>
            <w:rFonts w:ascii="Bookman Old Style" w:hAnsi="Bookman Old Style"/>
          </w:rPr>
          <w:t>https://www.britannica.com/biography/Johann-Lorenz-von-Mosheim</w:t>
        </w:r>
      </w:hyperlink>
    </w:p>
    <w:p w14:paraId="0D68CBF4" w14:textId="77777777" w:rsidR="009A321E" w:rsidRPr="002F5DC5" w:rsidRDefault="00BB534C" w:rsidP="00C3361C">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James Murdock</w:t>
      </w:r>
      <w:r w:rsidRPr="002F5DC5">
        <w:rPr>
          <w:rFonts w:ascii="Bookman Old Style" w:hAnsi="Bookman Old Style"/>
        </w:rPr>
        <w:t xml:space="preserve"> (ed.)</w:t>
      </w:r>
      <w:r w:rsidR="009A321E" w:rsidRPr="002F5DC5">
        <w:rPr>
          <w:rFonts w:ascii="Bookman Old Style" w:hAnsi="Bookman Old Style"/>
        </w:rPr>
        <w:t xml:space="preserve">, John Lawrence von Mosheim. </w:t>
      </w:r>
      <w:r w:rsidR="009A321E" w:rsidRPr="002F5DC5">
        <w:rPr>
          <w:rFonts w:ascii="Bookman Old Style" w:hAnsi="Bookman Old Style"/>
          <w:u w:val="single"/>
        </w:rPr>
        <w:t>Institutes of Ecclesiastical History: Ancient and Modern</w:t>
      </w:r>
      <w:r w:rsidR="009A321E" w:rsidRPr="002F5DC5">
        <w:rPr>
          <w:rFonts w:ascii="Bookman Old Style" w:hAnsi="Bookman Old Style"/>
        </w:rPr>
        <w:t>. New Haven, CN: A.H. Maltby, 1832.</w:t>
      </w:r>
    </w:p>
    <w:p w14:paraId="0D68CBF5" w14:textId="6BEA72D5"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William Smith and Henry Wace, ed. </w:t>
      </w:r>
      <w:r w:rsidRPr="002F5DC5">
        <w:rPr>
          <w:rFonts w:ascii="Bookman Old Style" w:hAnsi="Bookman Old Style"/>
          <w:u w:val="single"/>
        </w:rPr>
        <w:t>A Dictionary of Christian Biography, Literature, Sects and Doctrines</w:t>
      </w:r>
      <w:r w:rsidRPr="002F5DC5">
        <w:rPr>
          <w:rFonts w:ascii="Bookman Old Style" w:hAnsi="Bookman Old Style"/>
        </w:rPr>
        <w:t>. London: John Murray, 1880.</w:t>
      </w:r>
    </w:p>
    <w:p w14:paraId="1C44567C" w14:textId="4B924D0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DM: Obituary from The Stoughton News-Sentinel, December 2, 1911; Obituary from The New York Times, December 8, 1911.</w:t>
      </w:r>
    </w:p>
    <w:p w14:paraId="46A1FAA8" w14:textId="69447E44" w:rsidR="005D203B" w:rsidRPr="002F5DC5" w:rsidRDefault="005D203B" w:rsidP="00676124">
      <w:pPr>
        <w:pStyle w:val="ListParagraph"/>
        <w:numPr>
          <w:ilvl w:val="0"/>
          <w:numId w:val="2"/>
        </w:numPr>
        <w:rPr>
          <w:rFonts w:ascii="Bookman Old Style" w:hAnsi="Bookman Old Style"/>
        </w:rPr>
      </w:pPr>
      <w:r w:rsidRPr="002F5DC5">
        <w:rPr>
          <w:rFonts w:ascii="Bookman Old Style" w:hAnsi="Bookman Old Style"/>
        </w:rPr>
        <w:lastRenderedPageBreak/>
        <w:t>DM: Source: An American Family: The Beecher Tradition, based on an exhibit in the William and Anita Newman Library which was curated by Sandra Roff.</w:t>
      </w:r>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08" w:name="_Toc59971124"/>
      <w:r w:rsidRPr="002F5DC5">
        <w:rPr>
          <w:rFonts w:ascii="Bookman Old Style" w:hAnsi="Bookman Old Style"/>
        </w:rPr>
        <w:lastRenderedPageBreak/>
        <w:t>What Has Changed?</w:t>
      </w:r>
      <w:bookmarkEnd w:id="108"/>
    </w:p>
    <w:p w14:paraId="057C7623" w14:textId="122EBD24"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0E276" w14:textId="77777777" w:rsidR="005C36DC" w:rsidRDefault="005C36DC" w:rsidP="00661298">
      <w:pPr>
        <w:spacing w:after="0" w:line="240" w:lineRule="auto"/>
      </w:pPr>
      <w:r>
        <w:separator/>
      </w:r>
    </w:p>
  </w:endnote>
  <w:endnote w:type="continuationSeparator" w:id="0">
    <w:p w14:paraId="7AF18A13" w14:textId="77777777" w:rsidR="005C36DC" w:rsidRDefault="005C36DC" w:rsidP="00661298">
      <w:pPr>
        <w:spacing w:after="0" w:line="240" w:lineRule="auto"/>
      </w:pPr>
      <w:r>
        <w:continuationSeparator/>
      </w:r>
    </w:p>
  </w:endnote>
  <w:endnote w:id="1">
    <w:p w14:paraId="3C5CCC35" w14:textId="5F68B100" w:rsidR="00210409" w:rsidRDefault="00210409">
      <w:pPr>
        <w:pStyle w:val="EndnoteText"/>
      </w:pPr>
      <w:r>
        <w:rPr>
          <w:rStyle w:val="EndnoteReference"/>
        </w:rPr>
        <w:endnoteRef/>
      </w:r>
      <w:r>
        <w:t xml:space="preserve"> DM: Original has “irrefragable.”</w:t>
      </w:r>
    </w:p>
  </w:endnote>
  <w:endnote w:id="2">
    <w:p w14:paraId="53C6AB4D" w14:textId="3B0E3D83" w:rsidR="00210409" w:rsidRDefault="00210409">
      <w:pPr>
        <w:pStyle w:val="EndnoteText"/>
      </w:pPr>
      <w:r>
        <w:rPr>
          <w:rStyle w:val="EndnoteReference"/>
        </w:rPr>
        <w:endnoteRef/>
      </w:r>
      <w:r>
        <w:t xml:space="preserve"> DM: Original: “irrefragable.”</w:t>
      </w:r>
    </w:p>
  </w:endnote>
  <w:endnote w:id="3">
    <w:p w14:paraId="5F010461" w14:textId="59715DE0" w:rsidR="00210409" w:rsidRDefault="00210409">
      <w:pPr>
        <w:pStyle w:val="EndnoteText"/>
      </w:pPr>
      <w:r>
        <w:rPr>
          <w:rStyle w:val="EndnoteReference"/>
        </w:rPr>
        <w:endnoteRef/>
      </w:r>
      <w:r>
        <w:t xml:space="preserve"> DM: Original: “in fine”</w:t>
      </w:r>
    </w:p>
  </w:endnote>
  <w:endnote w:id="4">
    <w:p w14:paraId="0D68CC13" w14:textId="77777777" w:rsidR="00210409" w:rsidRDefault="00210409">
      <w:pPr>
        <w:pStyle w:val="EndnoteText"/>
      </w:pPr>
      <w:r>
        <w:rPr>
          <w:rStyle w:val="EndnoteReference"/>
        </w:rPr>
        <w:endnoteRef/>
      </w:r>
      <w:r>
        <w:t xml:space="preserve"> DM: Original: “insupposable.”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7A514" w14:textId="77777777" w:rsidR="005C36DC" w:rsidRDefault="005C36DC" w:rsidP="00661298">
      <w:pPr>
        <w:spacing w:after="0" w:line="240" w:lineRule="auto"/>
      </w:pPr>
      <w:r>
        <w:separator/>
      </w:r>
    </w:p>
  </w:footnote>
  <w:footnote w:type="continuationSeparator" w:id="0">
    <w:p w14:paraId="21D36C07" w14:textId="77777777" w:rsidR="005C36DC" w:rsidRDefault="005C36DC"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227CECF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7707C9F8"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 Allin himself wrote </w:t>
      </w:r>
      <w:r>
        <w:rPr>
          <w:i/>
        </w:rPr>
        <w:t>Universalism Asserted</w:t>
      </w:r>
      <w:r>
        <w:t xml:space="preserve"> (1888).</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210409" w:rsidRPr="00262CFE"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Helmstedt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Hippolytus and His Age.</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History of Opinions on the Scriptural Doctrine of Retribution, pp. 198-205.</w:t>
      </w:r>
    </w:p>
  </w:footnote>
  <w:footnote w:id="37">
    <w:p w14:paraId="0D68CC0D" w14:textId="77777777" w:rsidR="00210409" w:rsidRDefault="00210409">
      <w:pPr>
        <w:pStyle w:val="FootnoteText"/>
      </w:pPr>
      <w:r>
        <w:rPr>
          <w:rStyle w:val="FootnoteReference"/>
        </w:rPr>
        <w:footnoteRef/>
      </w:r>
      <w:r>
        <w:t xml:space="preserve"> See Lamson’s Church of the First Three Centuries.</w:t>
      </w:r>
    </w:p>
  </w:footnote>
  <w:footnote w:id="38">
    <w:p w14:paraId="34353B69" w14:textId="46FBF7F7" w:rsidR="00210409" w:rsidRDefault="00210409">
      <w:pPr>
        <w:pStyle w:val="FootnoteText"/>
      </w:pPr>
      <w:r>
        <w:rPr>
          <w:rStyle w:val="FootnoteReference"/>
        </w:rPr>
        <w:footnoteRef/>
      </w:r>
      <w:r>
        <w:t xml:space="preserve"> DM: From the Ante-Nicene Fathers, Vol III, Chapter XLI: “Thus some men are very bad, and some very good; but yet the souls of all form but one genus: even in the worst there is something good, and in the best there is something bad.” (pp. 220-221)</w:t>
      </w:r>
    </w:p>
  </w:footnote>
  <w:footnote w:id="39">
    <w:p w14:paraId="24C556C1" w14:textId="7154EB6D" w:rsidR="00210409" w:rsidRDefault="00210409">
      <w:pPr>
        <w:pStyle w:val="FootnoteText"/>
      </w:pPr>
      <w:r>
        <w:rPr>
          <w:rStyle w:val="FootnoteReference"/>
        </w:rPr>
        <w:footnoteRef/>
      </w:r>
      <w:r>
        <w:t xml:space="preserve"> DM: From August Neander’s Lectures on the History of Christian Dogmas, Volume 1, pg. 184.</w:t>
      </w:r>
    </w:p>
  </w:footnote>
  <w:footnote w:id="4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3">
    <w:p w14:paraId="0D68CC0E" w14:textId="08108BCB" w:rsidR="00210409" w:rsidRDefault="00210409">
      <w:pPr>
        <w:pStyle w:val="FootnoteText"/>
      </w:pPr>
      <w:r>
        <w:rPr>
          <w:rStyle w:val="FootnoteReference"/>
        </w:rPr>
        <w:footnoteRef/>
      </w:r>
      <w:r>
        <w:t xml:space="preserve"> JW: See Socrates’ Ecclesiastical History.</w:t>
      </w:r>
    </w:p>
  </w:footnote>
  <w:footnote w:id="44">
    <w:p w14:paraId="0D68CC0F" w14:textId="77777777" w:rsidR="00210409" w:rsidRDefault="00210409">
      <w:pPr>
        <w:pStyle w:val="FootnoteText"/>
      </w:pPr>
      <w:r>
        <w:rPr>
          <w:rStyle w:val="FootnoteReference"/>
        </w:rPr>
        <w:footnoteRef/>
      </w:r>
      <w:r>
        <w:t xml:space="preserve"> DM: Flavius Julius Constans Augustus (AD 323-350).</w:t>
      </w:r>
    </w:p>
  </w:footnote>
  <w:footnote w:id="45">
    <w:p w14:paraId="0D68CC10" w14:textId="20A0895B" w:rsidR="00210409" w:rsidRDefault="00210409">
      <w:pPr>
        <w:pStyle w:val="FootnoteText"/>
      </w:pPr>
      <w:r>
        <w:rPr>
          <w:rStyle w:val="FootnoteReference"/>
        </w:rPr>
        <w:footnoteRef/>
      </w:r>
      <w:r>
        <w:t xml:space="preserve"> JW: Hort’s Two Dissertations, pp. 106, 138-147.</w:t>
      </w:r>
    </w:p>
  </w:footnote>
  <w:footnote w:id="46">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47">
    <w:p w14:paraId="0D68CC12" w14:textId="77777777" w:rsidR="00210409" w:rsidRDefault="00210409">
      <w:pPr>
        <w:pStyle w:val="FootnoteText"/>
      </w:pPr>
      <w:r>
        <w:rPr>
          <w:rStyle w:val="FootnoteReference"/>
        </w:rPr>
        <w:footnoteRef/>
      </w:r>
      <w:r>
        <w:t xml:space="preserve"> 2 Corinthians 5:19.</w:t>
      </w:r>
    </w:p>
  </w:footnote>
  <w:footnote w:id="48">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Harnack’s Outlines of the History of Dogma, Funk &amp; Wagnall’s edition of 1893, pp. 44, 45.</w:t>
      </w:r>
    </w:p>
  </w:footnote>
  <w:footnote w:id="4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50">
    <w:p w14:paraId="58EE4CF2" w14:textId="62316E81" w:rsidR="00210409" w:rsidRDefault="00210409">
      <w:pPr>
        <w:pStyle w:val="FootnoteText"/>
      </w:pPr>
      <w:r>
        <w:rPr>
          <w:rStyle w:val="FootnoteReference"/>
        </w:rPr>
        <w:footnoteRef/>
      </w:r>
      <w:r>
        <w:t xml:space="preserve"> DM: Probably Hippolyte Taine, a French historian.</w:t>
      </w:r>
    </w:p>
  </w:footnote>
  <w:footnote w:id="51">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52">
    <w:p w14:paraId="0D68CC17" w14:textId="77777777" w:rsidR="00210409" w:rsidRDefault="00210409">
      <w:pPr>
        <w:pStyle w:val="FootnoteText"/>
      </w:pPr>
      <w:r>
        <w:rPr>
          <w:rStyle w:val="FootnoteReference"/>
        </w:rPr>
        <w:footnoteRef/>
      </w:r>
      <w:r>
        <w:t xml:space="preserve"> Matthew 11:28.</w:t>
      </w:r>
    </w:p>
  </w:footnote>
  <w:footnote w:id="53">
    <w:p w14:paraId="0D68CC18" w14:textId="77777777" w:rsidR="00210409" w:rsidRDefault="00210409">
      <w:pPr>
        <w:pStyle w:val="FootnoteText"/>
      </w:pPr>
      <w:r>
        <w:rPr>
          <w:rStyle w:val="FootnoteReference"/>
        </w:rPr>
        <w:footnoteRef/>
      </w:r>
      <w:r>
        <w:t xml:space="preserve"> Philippians 4:4.</w:t>
      </w:r>
    </w:p>
  </w:footnote>
  <w:footnote w:id="54">
    <w:p w14:paraId="0D68CC19" w14:textId="77777777" w:rsidR="00210409" w:rsidRDefault="00210409">
      <w:pPr>
        <w:pStyle w:val="FootnoteText"/>
      </w:pPr>
      <w:r>
        <w:rPr>
          <w:rStyle w:val="FootnoteReference"/>
        </w:rPr>
        <w:footnoteRef/>
      </w:r>
      <w:r>
        <w:t xml:space="preserve"> 1 Peter 1:8.</w:t>
      </w:r>
    </w:p>
  </w:footnote>
  <w:footnote w:id="55">
    <w:p w14:paraId="0D68CC1A" w14:textId="77777777" w:rsidR="00210409" w:rsidRDefault="00210409">
      <w:pPr>
        <w:pStyle w:val="FootnoteText"/>
      </w:pPr>
      <w:r>
        <w:rPr>
          <w:rStyle w:val="FootnoteReference"/>
        </w:rPr>
        <w:footnoteRef/>
      </w:r>
      <w:r>
        <w:t xml:space="preserve"> Luke 7:33-34.</w:t>
      </w:r>
    </w:p>
  </w:footnote>
  <w:footnote w:id="56">
    <w:p w14:paraId="539B9E01" w14:textId="027753AE" w:rsidR="00210409" w:rsidRDefault="00210409">
      <w:pPr>
        <w:pStyle w:val="FootnoteText"/>
      </w:pPr>
      <w:r>
        <w:rPr>
          <w:rStyle w:val="FootnoteReference"/>
        </w:rPr>
        <w:footnoteRef/>
      </w:r>
      <w:r>
        <w:t xml:space="preserve"> DM: Hugh Reginald Haweis.</w:t>
      </w:r>
    </w:p>
  </w:footnote>
  <w:footnote w:id="57">
    <w:p w14:paraId="0D68CC1B" w14:textId="5B647D1B" w:rsidR="00210409" w:rsidRDefault="00210409">
      <w:pPr>
        <w:pStyle w:val="FootnoteText"/>
      </w:pPr>
      <w:r>
        <w:rPr>
          <w:rStyle w:val="FootnoteReference"/>
        </w:rPr>
        <w:footnoteRef/>
      </w:r>
      <w:r>
        <w:t xml:space="preserve"> JW: Hugh Reginald Haweis. The Conquering Cross: The Church. Forewords. 1887.</w:t>
      </w:r>
    </w:p>
  </w:footnote>
  <w:footnote w:id="58">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9">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0">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1">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5">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210409" w:rsidRPr="00580870" w:rsidRDefault="00210409">
      <w:pPr>
        <w:pStyle w:val="FootnoteText"/>
      </w:pPr>
      <w:r>
        <w:rPr>
          <w:rStyle w:val="FootnoteReference"/>
        </w:rPr>
        <w:footnoteRef/>
      </w:r>
      <w:r>
        <w:t xml:space="preserve">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8">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69">
    <w:p w14:paraId="0D68CC27" w14:textId="77777777" w:rsidR="00210409" w:rsidRDefault="00210409">
      <w:pPr>
        <w:pStyle w:val="FootnoteText"/>
      </w:pPr>
      <w:r>
        <w:rPr>
          <w:rStyle w:val="FootnoteReference"/>
        </w:rPr>
        <w:footnoteRef/>
      </w:r>
      <w:r>
        <w:t xml:space="preserve"> Cutts, Turning Points of Church History.</w:t>
      </w:r>
    </w:p>
  </w:footnote>
  <w:footnote w:id="70">
    <w:p w14:paraId="0D68CC28" w14:textId="77777777" w:rsidR="00210409" w:rsidRDefault="00210409">
      <w:pPr>
        <w:pStyle w:val="FootnoteText"/>
      </w:pPr>
      <w:r>
        <w:rPr>
          <w:rStyle w:val="FootnoteReference"/>
        </w:rPr>
        <w:footnoteRef/>
      </w:r>
      <w:r>
        <w:t xml:space="preserve"> See DeRossi, Northcote, Withrow, etc., on the Catacombs.</w:t>
      </w:r>
    </w:p>
  </w:footnote>
  <w:footnote w:id="71">
    <w:p w14:paraId="0D68CC29" w14:textId="77777777" w:rsidR="00210409" w:rsidRDefault="00210409">
      <w:pPr>
        <w:pStyle w:val="FootnoteText"/>
      </w:pPr>
      <w:r>
        <w:rPr>
          <w:rStyle w:val="FootnoteReference"/>
        </w:rPr>
        <w:footnoteRef/>
      </w:r>
      <w:r>
        <w:t xml:space="preserve"> See footnote 34.</w:t>
      </w:r>
    </w:p>
  </w:footnote>
  <w:footnote w:id="7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4">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5">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76">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77">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78">
    <w:p w14:paraId="0D68CC30" w14:textId="77777777" w:rsidR="00210409" w:rsidRDefault="00210409">
      <w:pPr>
        <w:pStyle w:val="FootnoteText"/>
      </w:pPr>
      <w:r>
        <w:rPr>
          <w:rStyle w:val="FootnoteReference"/>
        </w:rPr>
        <w:footnoteRef/>
      </w:r>
      <w:r>
        <w:t xml:space="preserve"> Mariott, pg. 186.</w:t>
      </w:r>
    </w:p>
  </w:footnote>
  <w:footnote w:id="79">
    <w:p w14:paraId="0D68CC31" w14:textId="77777777" w:rsidR="00210409" w:rsidRDefault="00210409">
      <w:pPr>
        <w:pStyle w:val="FootnoteText"/>
      </w:pPr>
      <w:r>
        <w:rPr>
          <w:rStyle w:val="FootnoteReference"/>
        </w:rPr>
        <w:footnoteRef/>
      </w:r>
      <w:r>
        <w:t xml:space="preserve"> Schaff, Hist. Christ. Church, Vol 1, p. 342.</w:t>
      </w:r>
    </w:p>
  </w:footnote>
  <w:footnote w:id="80">
    <w:p w14:paraId="0D68CC32" w14:textId="77777777" w:rsidR="00210409" w:rsidRDefault="00210409">
      <w:pPr>
        <w:pStyle w:val="FootnoteText"/>
      </w:pPr>
      <w:r>
        <w:rPr>
          <w:rStyle w:val="FootnoteReference"/>
        </w:rPr>
        <w:footnoteRef/>
      </w:r>
      <w:r>
        <w:t xml:space="preserve"> Maitland.</w:t>
      </w:r>
    </w:p>
  </w:footnote>
  <w:footnote w:id="81">
    <w:p w14:paraId="0D68CC33" w14:textId="77777777" w:rsidR="00210409" w:rsidRDefault="00210409">
      <w:pPr>
        <w:pStyle w:val="FootnoteText"/>
      </w:pPr>
      <w:r>
        <w:rPr>
          <w:rStyle w:val="FootnoteReference"/>
        </w:rPr>
        <w:footnoteRef/>
      </w:r>
      <w:r>
        <w:t xml:space="preserve"> Maitland.</w:t>
      </w:r>
    </w:p>
  </w:footnote>
  <w:footnote w:id="82">
    <w:p w14:paraId="0D68CC34" w14:textId="77777777" w:rsidR="00210409" w:rsidRDefault="00210409">
      <w:pPr>
        <w:pStyle w:val="FootnoteText"/>
      </w:pPr>
      <w:r>
        <w:rPr>
          <w:rStyle w:val="FootnoteReference"/>
        </w:rPr>
        <w:footnoteRef/>
      </w:r>
      <w:r>
        <w:t xml:space="preserve"> Bible of Amiens.</w:t>
      </w:r>
    </w:p>
  </w:footnote>
  <w:footnote w:id="83">
    <w:p w14:paraId="0D68CC35" w14:textId="77777777" w:rsidR="00210409" w:rsidRDefault="00210409">
      <w:pPr>
        <w:pStyle w:val="FootnoteText"/>
      </w:pPr>
      <w:r>
        <w:rPr>
          <w:rStyle w:val="FootnoteReference"/>
        </w:rPr>
        <w:footnoteRef/>
      </w:r>
      <w:r>
        <w:t xml:space="preserve"> Lives of the Fathers.</w:t>
      </w:r>
    </w:p>
  </w:footnote>
  <w:footnote w:id="84">
    <w:p w14:paraId="0D68CC36" w14:textId="77777777" w:rsidR="00210409" w:rsidRDefault="00210409">
      <w:pPr>
        <w:pStyle w:val="FootnoteText"/>
      </w:pPr>
      <w:r>
        <w:rPr>
          <w:rStyle w:val="FootnoteReference"/>
        </w:rPr>
        <w:footnoteRef/>
      </w:r>
      <w:r>
        <w:t xml:space="preserve"> Christian Institutions.</w:t>
      </w:r>
    </w:p>
  </w:footnote>
  <w:footnote w:id="8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86">
    <w:p w14:paraId="0D68CC38" w14:textId="77777777" w:rsidR="00210409" w:rsidRPr="00193488" w:rsidRDefault="00210409">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87">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88">
    <w:p w14:paraId="0D68CC3A" w14:textId="77777777" w:rsidR="00210409" w:rsidRDefault="00210409">
      <w:pPr>
        <w:pStyle w:val="FootnoteText"/>
      </w:pPr>
      <w:r>
        <w:rPr>
          <w:rStyle w:val="FootnoteReference"/>
        </w:rPr>
        <w:footnoteRef/>
      </w:r>
      <w:r>
        <w:t xml:space="preserve"> “Solom. Parab.”</w:t>
      </w:r>
    </w:p>
  </w:footnote>
  <w:footnote w:id="89">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0">
    <w:p w14:paraId="0D68CC3C" w14:textId="77777777" w:rsidR="00210409" w:rsidRDefault="00210409">
      <w:pPr>
        <w:pStyle w:val="FootnoteText"/>
      </w:pPr>
      <w:r>
        <w:rPr>
          <w:rStyle w:val="FootnoteReference"/>
        </w:rPr>
        <w:footnoteRef/>
      </w:r>
      <w:r>
        <w:t xml:space="preserve"> This important passage may be found more fully quoted in “Aion-Aionios.”</w:t>
      </w:r>
    </w:p>
  </w:footnote>
  <w:footnote w:id="91">
    <w:p w14:paraId="0D68CC3D" w14:textId="77777777" w:rsidR="00210409" w:rsidRDefault="00210409">
      <w:pPr>
        <w:pStyle w:val="FootnoteText"/>
      </w:pPr>
      <w:r>
        <w:rPr>
          <w:rStyle w:val="FootnoteReference"/>
        </w:rPr>
        <w:footnoteRef/>
      </w:r>
      <w:r>
        <w:t xml:space="preserve"> Targum of Jonathan on Isaiah 16:24. See also “Aion-Aionios” and “Bible Hell.”</w:t>
      </w:r>
    </w:p>
  </w:footnote>
  <w:footnote w:id="92">
    <w:p w14:paraId="0D68CC3E" w14:textId="77777777" w:rsidR="00210409" w:rsidRDefault="00210409">
      <w:pPr>
        <w:pStyle w:val="FootnoteText"/>
      </w:pPr>
      <w:r>
        <w:rPr>
          <w:rStyle w:val="FootnoteReference"/>
        </w:rPr>
        <w:footnoteRef/>
      </w:r>
      <w:r>
        <w:t xml:space="preserve"> Ibid.</w:t>
      </w:r>
    </w:p>
  </w:footnote>
  <w:footnote w:id="93">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4">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6">
    <w:p w14:paraId="0D68CC42" w14:textId="77777777" w:rsidR="00210409" w:rsidRDefault="00210409">
      <w:pPr>
        <w:pStyle w:val="FootnoteText"/>
      </w:pPr>
      <w:r>
        <w:rPr>
          <w:rStyle w:val="FootnoteReference"/>
        </w:rPr>
        <w:footnoteRef/>
      </w:r>
      <w:r>
        <w:t xml:space="preserve"> Introduction to Gospels, p. 181.</w:t>
      </w:r>
    </w:p>
  </w:footnote>
  <w:footnote w:id="97">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210409" w:rsidRDefault="00210409">
      <w:pPr>
        <w:pStyle w:val="FootnoteText"/>
      </w:pPr>
      <w:r>
        <w:rPr>
          <w:rStyle w:val="FootnoteReference"/>
        </w:rPr>
        <w:footnoteRef/>
      </w:r>
      <w:r>
        <w:t xml:space="preserve"> 2 Corinthians 5:19.</w:t>
      </w:r>
    </w:p>
  </w:footnote>
  <w:footnote w:id="9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2">
    <w:p w14:paraId="0D68CC48" w14:textId="77777777" w:rsidR="00210409" w:rsidRDefault="00210409">
      <w:pPr>
        <w:pStyle w:val="FootnoteText"/>
      </w:pPr>
      <w:r>
        <w:rPr>
          <w:rStyle w:val="FootnoteReference"/>
        </w:rPr>
        <w:footnoteRef/>
      </w:r>
      <w:r>
        <w:t xml:space="preserve"> Mark 7:13; Matthew 16:6, 12; Luke 12:1; Mark 8:15.</w:t>
      </w:r>
    </w:p>
  </w:footnote>
  <w:footnote w:id="103">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4">
    <w:p w14:paraId="0D68CC4A" w14:textId="77777777" w:rsidR="00210409" w:rsidRDefault="00210409">
      <w:pPr>
        <w:pStyle w:val="FootnoteText"/>
      </w:pPr>
      <w:r>
        <w:rPr>
          <w:rStyle w:val="FootnoteReference"/>
        </w:rPr>
        <w:footnoteRef/>
      </w:r>
      <w:r>
        <w:t xml:space="preserve"> Warburton. Leland’s Necessity of Divine Revelation.</w:t>
      </w:r>
    </w:p>
  </w:footnote>
  <w:footnote w:id="105">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06">
    <w:p w14:paraId="0D68CC4C" w14:textId="77777777" w:rsidR="00210409" w:rsidRDefault="00210409">
      <w:pPr>
        <w:pStyle w:val="FootnoteText"/>
      </w:pPr>
      <w:r>
        <w:rPr>
          <w:rStyle w:val="FootnoteReference"/>
        </w:rPr>
        <w:footnoteRef/>
      </w:r>
      <w:r>
        <w:t xml:space="preserve"> 2 Corinthians 11:3.</w:t>
      </w:r>
    </w:p>
  </w:footnote>
  <w:footnote w:id="107">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08">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09">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210409" w:rsidRDefault="00210409">
      <w:pPr>
        <w:pStyle w:val="FootnoteText"/>
      </w:pPr>
      <w:r>
        <w:rPr>
          <w:rStyle w:val="FootnoteReference"/>
        </w:rPr>
        <w:footnoteRef/>
      </w:r>
      <w:r>
        <w:t xml:space="preserve"> Hist. Doct. I Sec. 22.</w:t>
      </w:r>
    </w:p>
  </w:footnote>
  <w:footnote w:id="11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3">
    <w:p w14:paraId="0D68CC53" w14:textId="77777777" w:rsidR="00210409" w:rsidRDefault="00210409">
      <w:pPr>
        <w:pStyle w:val="FootnoteText"/>
      </w:pPr>
      <w:r>
        <w:rPr>
          <w:rStyle w:val="FootnoteReference"/>
        </w:rPr>
        <w:footnoteRef/>
      </w:r>
      <w:r>
        <w:t xml:space="preserve"> Hist. Doct. Endless Punishment, pp. 192-193.</w:t>
      </w:r>
    </w:p>
  </w:footnote>
  <w:footnote w:id="114">
    <w:p w14:paraId="0D68CC54" w14:textId="77777777" w:rsidR="00210409" w:rsidRDefault="00210409">
      <w:pPr>
        <w:pStyle w:val="FootnoteText"/>
      </w:pPr>
      <w:r>
        <w:rPr>
          <w:rStyle w:val="FootnoteReference"/>
        </w:rPr>
        <w:footnoteRef/>
      </w:r>
      <w:r>
        <w:t xml:space="preserve"> Early Church History, pp. 159-160.</w:t>
      </w:r>
    </w:p>
  </w:footnote>
  <w:footnote w:id="115">
    <w:p w14:paraId="0D68CC55" w14:textId="77777777" w:rsidR="00210409" w:rsidRDefault="00210409">
      <w:pPr>
        <w:pStyle w:val="FootnoteText"/>
      </w:pPr>
      <w:r>
        <w:rPr>
          <w:rStyle w:val="FootnoteReference"/>
        </w:rPr>
        <w:footnoteRef/>
      </w:r>
      <w:r>
        <w:t xml:space="preserve"> Hist. Apos. Ch. p. 23.</w:t>
      </w:r>
    </w:p>
  </w:footnote>
  <w:footnote w:id="11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210409" w:rsidRDefault="00210409">
      <w:pPr>
        <w:pStyle w:val="FootnoteText"/>
      </w:pPr>
      <w:r>
        <w:rPr>
          <w:rStyle w:val="FootnoteReference"/>
        </w:rPr>
        <w:footnoteRef/>
      </w:r>
      <w:r>
        <w:t xml:space="preserve"> Int. p. xxxi.</w:t>
      </w:r>
    </w:p>
  </w:footnote>
  <w:footnote w:id="118">
    <w:p w14:paraId="0D68CC58" w14:textId="77777777" w:rsidR="00210409" w:rsidRDefault="00210409">
      <w:pPr>
        <w:pStyle w:val="FootnoteText"/>
      </w:pPr>
      <w:r>
        <w:rPr>
          <w:rStyle w:val="FootnoteReference"/>
        </w:rPr>
        <w:footnoteRef/>
      </w:r>
      <w:r>
        <w:t xml:space="preserve"> Universalist Quarterly, January, 1883.</w:t>
      </w:r>
    </w:p>
  </w:footnote>
  <w:footnote w:id="119">
    <w:p w14:paraId="0D68CC59" w14:textId="77777777" w:rsidR="00210409" w:rsidRDefault="00210409">
      <w:pPr>
        <w:pStyle w:val="FootnoteText"/>
      </w:pPr>
      <w:r>
        <w:rPr>
          <w:rStyle w:val="FootnoteReference"/>
        </w:rPr>
        <w:footnoteRef/>
      </w:r>
      <w:r>
        <w:t xml:space="preserve"> Christian History in Three Great Periods, pp. 257, 58.</w:t>
      </w:r>
    </w:p>
  </w:footnote>
  <w:footnote w:id="120">
    <w:p w14:paraId="0D68CC5A" w14:textId="77777777" w:rsidR="00210409" w:rsidRDefault="00210409">
      <w:pPr>
        <w:pStyle w:val="FootnoteText"/>
      </w:pPr>
      <w:r>
        <w:rPr>
          <w:rStyle w:val="FootnoteReference"/>
        </w:rPr>
        <w:footnoteRef/>
      </w:r>
      <w:r>
        <w:t xml:space="preserve"> Bigg’s Platonists of Alexandria, pg. 58.</w:t>
      </w:r>
    </w:p>
  </w:footnote>
  <w:footnote w:id="121">
    <w:p w14:paraId="0D68CC5B" w14:textId="77777777" w:rsidR="00210409" w:rsidRDefault="00210409">
      <w:pPr>
        <w:pStyle w:val="FootnoteText"/>
      </w:pPr>
      <w:r>
        <w:rPr>
          <w:rStyle w:val="FootnoteReference"/>
        </w:rPr>
        <w:footnoteRef/>
      </w:r>
      <w:r>
        <w:t xml:space="preserve"> Grote’s Plato, Vol. III, xxxiii, pp. 56, 57.</w:t>
      </w:r>
    </w:p>
  </w:footnote>
  <w:footnote w:id="122">
    <w:p w14:paraId="0D68CC5C" w14:textId="77777777" w:rsidR="00210409" w:rsidRDefault="00210409">
      <w:pPr>
        <w:pStyle w:val="FootnoteText"/>
      </w:pPr>
      <w:r>
        <w:rPr>
          <w:rStyle w:val="FootnoteReference"/>
        </w:rPr>
        <w:footnoteRef/>
      </w:r>
      <w:r>
        <w:t xml:space="preserve"> J.H. Newman, Arians; Apologia Pro Vita Sua.</w:t>
      </w:r>
    </w:p>
  </w:footnote>
  <w:footnote w:id="123">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4">
    <w:p w14:paraId="0D68CC5E" w14:textId="77777777" w:rsidR="00210409" w:rsidRDefault="00210409">
      <w:pPr>
        <w:pStyle w:val="FootnoteText"/>
      </w:pPr>
      <w:r>
        <w:rPr>
          <w:rStyle w:val="FootnoteReference"/>
        </w:rPr>
        <w:footnoteRef/>
      </w:r>
      <w:r>
        <w:t xml:space="preserve"> See original pg. 56 for Greek. Stromata.</w:t>
      </w:r>
    </w:p>
  </w:footnote>
  <w:footnote w:id="125">
    <w:p w14:paraId="0D68CC5F" w14:textId="77777777" w:rsidR="00210409" w:rsidRDefault="00210409">
      <w:pPr>
        <w:pStyle w:val="FootnoteText"/>
      </w:pPr>
      <w:r>
        <w:rPr>
          <w:rStyle w:val="FootnoteReference"/>
        </w:rPr>
        <w:footnoteRef/>
      </w:r>
      <w:r>
        <w:t xml:space="preserve"> Against Celsus I, vii; and on Romans 2.</w:t>
      </w:r>
    </w:p>
  </w:footnote>
  <w:footnote w:id="126">
    <w:p w14:paraId="0D68CC60" w14:textId="77777777" w:rsidR="00210409" w:rsidRDefault="00210409">
      <w:pPr>
        <w:pStyle w:val="FootnoteText"/>
      </w:pPr>
      <w:r>
        <w:rPr>
          <w:rStyle w:val="FootnoteReference"/>
        </w:rPr>
        <w:footnoteRef/>
      </w:r>
      <w:r>
        <w:t xml:space="preserve"> See pg. 56 for original note which includes Greek.</w:t>
      </w:r>
    </w:p>
  </w:footnote>
  <w:footnote w:id="127">
    <w:p w14:paraId="0D68CC61" w14:textId="77777777" w:rsidR="00210409" w:rsidRDefault="00210409">
      <w:pPr>
        <w:pStyle w:val="FootnoteText"/>
      </w:pPr>
      <w:r>
        <w:rPr>
          <w:rStyle w:val="FootnoteReference"/>
        </w:rPr>
        <w:footnoteRef/>
      </w:r>
      <w:r>
        <w:t xml:space="preserve"> Against Celsius; De Prin.</w:t>
      </w:r>
    </w:p>
  </w:footnote>
  <w:footnote w:id="12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210409" w:rsidRDefault="00210409">
      <w:pPr>
        <w:pStyle w:val="FootnoteText"/>
      </w:pPr>
      <w:r>
        <w:rPr>
          <w:rStyle w:val="FootnoteReference"/>
        </w:rPr>
        <w:footnoteRef/>
      </w:r>
      <w:r>
        <w:t xml:space="preserve"> Neoplatonism, by C. Bigg, D.D., London: 1895, p. 339.</w:t>
      </w:r>
    </w:p>
  </w:footnote>
  <w:footnote w:id="13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1">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2">
    <w:p w14:paraId="0D68CC66" w14:textId="77777777" w:rsidR="00210409" w:rsidRDefault="00210409">
      <w:pPr>
        <w:pStyle w:val="FootnoteText"/>
      </w:pPr>
      <w:r>
        <w:rPr>
          <w:rStyle w:val="FootnoteReference"/>
        </w:rPr>
        <w:footnoteRef/>
      </w:r>
      <w:r>
        <w:t xml:space="preserve"> De Passione et Cruce Domini. Migne, XXVIII, 186-240.</w:t>
      </w:r>
    </w:p>
  </w:footnote>
  <w:footnote w:id="133">
    <w:p w14:paraId="0D68CC67" w14:textId="77777777" w:rsidR="00210409" w:rsidRDefault="00210409">
      <w:pPr>
        <w:pStyle w:val="FootnoteText"/>
      </w:pPr>
      <w:r>
        <w:rPr>
          <w:rStyle w:val="FootnoteReference"/>
        </w:rPr>
        <w:footnoteRef/>
      </w:r>
      <w:r>
        <w:t xml:space="preserve"> Carm. XXXV, v. 9.</w:t>
      </w:r>
    </w:p>
  </w:footnote>
  <w:footnote w:id="134">
    <w:p w14:paraId="0D68CC68" w14:textId="77777777" w:rsidR="00210409" w:rsidRDefault="00210409">
      <w:pPr>
        <w:pStyle w:val="FootnoteText"/>
      </w:pPr>
      <w:r>
        <w:rPr>
          <w:rStyle w:val="FootnoteReference"/>
        </w:rPr>
        <w:footnoteRef/>
      </w:r>
      <w:r>
        <w:t xml:space="preserve"> Strom. VI.</w:t>
      </w:r>
    </w:p>
  </w:footnote>
  <w:footnote w:id="135">
    <w:p w14:paraId="0D68CC69" w14:textId="77777777" w:rsidR="00210409" w:rsidRDefault="00210409">
      <w:pPr>
        <w:pStyle w:val="FootnoteText"/>
      </w:pPr>
      <w:r>
        <w:rPr>
          <w:rStyle w:val="FootnoteReference"/>
        </w:rPr>
        <w:footnoteRef/>
      </w:r>
      <w:r>
        <w:t xml:space="preserve"> Farrar’s “Early Days of Christianity,” ch. 7.</w:t>
      </w:r>
    </w:p>
  </w:footnote>
  <w:footnote w:id="136">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37">
    <w:p w14:paraId="0D68CC6B" w14:textId="77777777" w:rsidR="00210409" w:rsidRDefault="00210409">
      <w:pPr>
        <w:pStyle w:val="FootnoteText"/>
      </w:pPr>
      <w:r>
        <w:rPr>
          <w:rStyle w:val="FootnoteReference"/>
        </w:rPr>
        <w:footnoteRef/>
      </w:r>
      <w:r>
        <w:t xml:space="preserve"> Book I, ch. 3.</w:t>
      </w:r>
    </w:p>
  </w:footnote>
  <w:footnote w:id="138">
    <w:p w14:paraId="0D68CC6C" w14:textId="77777777" w:rsidR="00210409" w:rsidRDefault="00210409">
      <w:pPr>
        <w:pStyle w:val="FootnoteText"/>
      </w:pPr>
      <w:r>
        <w:rPr>
          <w:rStyle w:val="FootnoteReference"/>
        </w:rPr>
        <w:footnoteRef/>
      </w:r>
      <w:r>
        <w:t xml:space="preserve"> Universalist Quarterly.</w:t>
      </w:r>
    </w:p>
  </w:footnote>
  <w:footnote w:id="139">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0">
    <w:p w14:paraId="0D68CC6E" w14:textId="77777777" w:rsidR="00210409" w:rsidRDefault="00210409">
      <w:pPr>
        <w:pStyle w:val="FootnoteText"/>
      </w:pPr>
      <w:r>
        <w:rPr>
          <w:rStyle w:val="FootnoteReference"/>
        </w:rPr>
        <w:footnoteRef/>
      </w:r>
      <w:r>
        <w:t xml:space="preserve"> Spirits in Prison, London, p. 25.</w:t>
      </w:r>
    </w:p>
  </w:footnote>
  <w:footnote w:id="141">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2">
    <w:p w14:paraId="0D68CC70" w14:textId="77777777" w:rsidR="00210409" w:rsidRDefault="00210409">
      <w:pPr>
        <w:pStyle w:val="FootnoteText"/>
      </w:pPr>
      <w:r>
        <w:rPr>
          <w:rStyle w:val="FootnoteReference"/>
        </w:rPr>
        <w:footnoteRef/>
      </w:r>
      <w:r>
        <w:t xml:space="preserve"> “Neoplatonism,” by C. Bigg, p. 334.</w:t>
      </w:r>
    </w:p>
  </w:footnote>
  <w:footnote w:id="143">
    <w:p w14:paraId="0D68CC71" w14:textId="77777777" w:rsidR="00210409" w:rsidRDefault="00210409">
      <w:pPr>
        <w:pStyle w:val="FootnoteText"/>
      </w:pPr>
      <w:r>
        <w:rPr>
          <w:rStyle w:val="FootnoteReference"/>
        </w:rPr>
        <w:footnoteRef/>
      </w:r>
      <w:r>
        <w:t xml:space="preserve"> pp. 292-293.</w:t>
      </w:r>
    </w:p>
  </w:footnote>
  <w:footnote w:id="144">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45">
    <w:p w14:paraId="0D68CC73" w14:textId="77777777" w:rsidR="00210409" w:rsidRDefault="00210409">
      <w:pPr>
        <w:pStyle w:val="FootnoteText"/>
      </w:pPr>
      <w:r>
        <w:rPr>
          <w:rStyle w:val="FootnoteReference"/>
        </w:rPr>
        <w:footnoteRef/>
      </w:r>
      <w:r>
        <w:t xml:space="preserve"> Anc. Hist. Univ., Note.</w:t>
      </w:r>
    </w:p>
  </w:footnote>
  <w:footnote w:id="146">
    <w:p w14:paraId="0D68CC74" w14:textId="77777777" w:rsidR="00210409" w:rsidRDefault="00210409">
      <w:pPr>
        <w:pStyle w:val="FootnoteText"/>
      </w:pPr>
      <w:r>
        <w:rPr>
          <w:rStyle w:val="FootnoteReference"/>
        </w:rPr>
        <w:footnoteRef/>
      </w:r>
      <w:r>
        <w:t xml:space="preserve"> Univ. Asserted, p. 105.</w:t>
      </w:r>
    </w:p>
  </w:footnote>
  <w:footnote w:id="147">
    <w:p w14:paraId="0D68CC75" w14:textId="77777777" w:rsidR="00210409" w:rsidRDefault="00210409">
      <w:pPr>
        <w:pStyle w:val="FootnoteText"/>
      </w:pPr>
      <w:r>
        <w:rPr>
          <w:rStyle w:val="FootnoteReference"/>
        </w:rPr>
        <w:footnoteRef/>
      </w:r>
      <w:r>
        <w:t xml:space="preserve"> See pg. 74 of the original for Greek footnote.</w:t>
      </w:r>
    </w:p>
  </w:footnote>
  <w:footnote w:id="148">
    <w:p w14:paraId="0D68CC76" w14:textId="77777777" w:rsidR="00210409" w:rsidRDefault="00210409">
      <w:pPr>
        <w:pStyle w:val="FootnoteText"/>
      </w:pPr>
      <w:r>
        <w:rPr>
          <w:rStyle w:val="FootnoteReference"/>
        </w:rPr>
        <w:footnoteRef/>
      </w:r>
      <w:r>
        <w:t xml:space="preserve"> Williams &amp; Norgate, London, 1880.</w:t>
      </w:r>
    </w:p>
  </w:footnote>
  <w:footnote w:id="14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0">
    <w:p w14:paraId="0D68CC77" w14:textId="77777777" w:rsidR="00210409" w:rsidRDefault="00210409">
      <w:pPr>
        <w:pStyle w:val="FootnoteText"/>
      </w:pPr>
      <w:r>
        <w:rPr>
          <w:rStyle w:val="FootnoteReference"/>
        </w:rPr>
        <w:footnoteRef/>
      </w:r>
      <w:r>
        <w:t xml:space="preserve"> Bunsen, Hipp. And His Age, Vol. I, p. 182.</w:t>
      </w:r>
    </w:p>
  </w:footnote>
  <w:footnote w:id="151">
    <w:p w14:paraId="0D68CC78" w14:textId="77777777" w:rsidR="00210409" w:rsidRDefault="00210409">
      <w:pPr>
        <w:pStyle w:val="FootnoteText"/>
      </w:pPr>
      <w:r>
        <w:rPr>
          <w:rStyle w:val="FootnoteReference"/>
        </w:rPr>
        <w:footnoteRef/>
      </w:r>
      <w:r>
        <w:t xml:space="preserve"> Apol. 1, 8.</w:t>
      </w:r>
    </w:p>
  </w:footnote>
  <w:footnote w:id="15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210409" w:rsidRDefault="00210409">
      <w:pPr>
        <w:pStyle w:val="FootnoteText"/>
      </w:pPr>
      <w:r>
        <w:rPr>
          <w:rStyle w:val="FootnoteReference"/>
        </w:rPr>
        <w:footnoteRef/>
      </w:r>
      <w:r>
        <w:t xml:space="preserve"> Lives of the Fathers, p. 112.</w:t>
      </w:r>
    </w:p>
  </w:footnote>
  <w:footnote w:id="154">
    <w:p w14:paraId="0D68CC7B" w14:textId="77777777" w:rsidR="00210409" w:rsidRDefault="00210409">
      <w:pPr>
        <w:pStyle w:val="FootnoteText"/>
      </w:pPr>
      <w:r>
        <w:rPr>
          <w:rStyle w:val="FootnoteReference"/>
        </w:rPr>
        <w:footnoteRef/>
      </w:r>
      <w:r>
        <w:t xml:space="preserve"> Eternal Hope, p. 84.</w:t>
      </w:r>
    </w:p>
  </w:footnote>
  <w:footnote w:id="155">
    <w:p w14:paraId="2B6DC103" w14:textId="7E2DE5A7" w:rsidR="00210409" w:rsidRDefault="00210409">
      <w:pPr>
        <w:pStyle w:val="FootnoteText"/>
      </w:pPr>
      <w:r>
        <w:rPr>
          <w:rStyle w:val="FootnoteReference"/>
        </w:rPr>
        <w:footnoteRef/>
      </w:r>
      <w:r>
        <w:t xml:space="preserve"> The second, D.D.</w:t>
      </w:r>
    </w:p>
  </w:footnote>
  <w:footnote w:id="15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210409" w:rsidRDefault="00210409">
      <w:pPr>
        <w:pStyle w:val="FootnoteText"/>
      </w:pPr>
      <w:r>
        <w:rPr>
          <w:rStyle w:val="FootnoteReference"/>
        </w:rPr>
        <w:footnoteRef/>
      </w:r>
      <w:r>
        <w:t xml:space="preserve"> Migne, II, p. 1184.</w:t>
      </w:r>
    </w:p>
  </w:footnote>
  <w:footnote w:id="158">
    <w:p w14:paraId="0D68CC7E" w14:textId="77777777" w:rsidR="00210409" w:rsidRDefault="00210409">
      <w:pPr>
        <w:pStyle w:val="FootnoteText"/>
      </w:pPr>
      <w:r>
        <w:rPr>
          <w:rStyle w:val="FootnoteReference"/>
        </w:rPr>
        <w:footnoteRef/>
      </w:r>
      <w:r>
        <w:t xml:space="preserve"> Hipp. and His Age, I, pp. 170-71.</w:t>
      </w:r>
    </w:p>
  </w:footnote>
  <w:footnote w:id="159">
    <w:p w14:paraId="335B93E7" w14:textId="5231BB7A" w:rsidR="00210409" w:rsidRDefault="00210409">
      <w:pPr>
        <w:pStyle w:val="FootnoteText"/>
      </w:pPr>
      <w:r>
        <w:rPr>
          <w:rStyle w:val="FootnoteReference"/>
        </w:rPr>
        <w:footnoteRef/>
      </w:r>
      <w:r>
        <w:t xml:space="preserve"> Schaff’s.</w:t>
      </w:r>
    </w:p>
  </w:footnote>
  <w:footnote w:id="160">
    <w:p w14:paraId="0D68CC7F" w14:textId="77777777" w:rsidR="00210409" w:rsidRDefault="00210409">
      <w:pPr>
        <w:pStyle w:val="FootnoteText"/>
      </w:pPr>
      <w:r>
        <w:rPr>
          <w:rStyle w:val="FootnoteReference"/>
        </w:rPr>
        <w:footnoteRef/>
      </w:r>
      <w:r>
        <w:t xml:space="preserve"> Vol. I, pg. 490.</w:t>
      </w:r>
    </w:p>
  </w:footnote>
  <w:footnote w:id="161">
    <w:p w14:paraId="0D68CC80" w14:textId="77777777" w:rsidR="00210409" w:rsidRDefault="00210409">
      <w:pPr>
        <w:pStyle w:val="FootnoteText"/>
      </w:pPr>
      <w:r>
        <w:rPr>
          <w:rStyle w:val="FootnoteReference"/>
        </w:rPr>
        <w:footnoteRef/>
      </w:r>
      <w:r>
        <w:t xml:space="preserve"> See original, pg. 86 for Greek.</w:t>
      </w:r>
    </w:p>
  </w:footnote>
  <w:footnote w:id="162">
    <w:p w14:paraId="0D68CC81" w14:textId="77777777" w:rsidR="00210409" w:rsidRDefault="00210409">
      <w:pPr>
        <w:pStyle w:val="FootnoteText"/>
      </w:pPr>
      <w:r>
        <w:rPr>
          <w:rStyle w:val="FootnoteReference"/>
        </w:rPr>
        <w:footnoteRef/>
      </w:r>
      <w:r>
        <w:t xml:space="preserve"> See original, pg. 86 for Greek.</w:t>
      </w:r>
    </w:p>
  </w:footnote>
  <w:footnote w:id="163">
    <w:p w14:paraId="0D68CC82" w14:textId="77777777" w:rsidR="00210409" w:rsidRDefault="00210409">
      <w:pPr>
        <w:pStyle w:val="FootnoteText"/>
      </w:pPr>
      <w:r>
        <w:rPr>
          <w:rStyle w:val="FootnoteReference"/>
        </w:rPr>
        <w:footnoteRef/>
      </w:r>
      <w:r>
        <w:t xml:space="preserve"> See the long note in Stieren.</w:t>
      </w:r>
    </w:p>
  </w:footnote>
  <w:footnote w:id="16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210409" w:rsidRDefault="00210409">
      <w:pPr>
        <w:pStyle w:val="FootnoteText"/>
      </w:pPr>
      <w:r>
        <w:rPr>
          <w:rStyle w:val="FootnoteReference"/>
        </w:rPr>
        <w:footnoteRef/>
      </w:r>
      <w:r>
        <w:t xml:space="preserve"> Westcott, Introduction to the Gospels, pg. 181.</w:t>
      </w:r>
    </w:p>
  </w:footnote>
  <w:footnote w:id="166">
    <w:p w14:paraId="0D68CC85" w14:textId="77777777" w:rsidR="00210409" w:rsidRDefault="00210409">
      <w:pPr>
        <w:pStyle w:val="FootnoteText"/>
      </w:pPr>
      <w:r>
        <w:rPr>
          <w:rStyle w:val="FootnoteReference"/>
        </w:rPr>
        <w:footnoteRef/>
      </w:r>
      <w:r>
        <w:t xml:space="preserve"> Vol. I, pp. 271-2.</w:t>
      </w:r>
    </w:p>
  </w:footnote>
  <w:footnote w:id="167">
    <w:p w14:paraId="0D68CC86" w14:textId="77777777" w:rsidR="00210409" w:rsidRDefault="00210409">
      <w:pPr>
        <w:pStyle w:val="FootnoteText"/>
      </w:pPr>
      <w:r>
        <w:rPr>
          <w:rStyle w:val="FootnoteReference"/>
        </w:rPr>
        <w:footnoteRef/>
      </w:r>
      <w:r>
        <w:t xml:space="preserve"> Bunsen’s Hipp. and His Age, Vol. 1, pg. 107.</w:t>
      </w:r>
    </w:p>
  </w:footnote>
  <w:footnote w:id="168">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6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210409" w:rsidRDefault="00210409">
      <w:pPr>
        <w:pStyle w:val="FootnoteText"/>
      </w:pPr>
      <w:r>
        <w:rPr>
          <w:rStyle w:val="FootnoteReference"/>
        </w:rPr>
        <w:footnoteRef/>
      </w:r>
      <w:r>
        <w:t xml:space="preserve"> Mansel, Baur, etc.</w:t>
      </w:r>
    </w:p>
  </w:footnote>
  <w:footnote w:id="171">
    <w:p w14:paraId="0D68CC8A" w14:textId="77777777" w:rsidR="00210409" w:rsidRDefault="00210409">
      <w:pPr>
        <w:pStyle w:val="FootnoteText"/>
      </w:pPr>
      <w:r>
        <w:rPr>
          <w:rStyle w:val="FootnoteReference"/>
        </w:rPr>
        <w:footnoteRef/>
      </w:r>
      <w:r>
        <w:t xml:space="preserve"> “Neoplatonism” by Rev. Dr. Charles Bigg.</w:t>
      </w:r>
    </w:p>
  </w:footnote>
  <w:footnote w:id="172">
    <w:p w14:paraId="0D68CC8B" w14:textId="77777777" w:rsidR="00210409" w:rsidRDefault="00210409">
      <w:pPr>
        <w:pStyle w:val="FootnoteText"/>
      </w:pPr>
      <w:r>
        <w:rPr>
          <w:rStyle w:val="FootnoteReference"/>
        </w:rPr>
        <w:footnoteRef/>
      </w:r>
      <w:r>
        <w:t xml:space="preserve"> Stieren’s Irenaeus V, 901-903. Clem. Strom. IV, 12.</w:t>
      </w:r>
    </w:p>
  </w:footnote>
  <w:footnote w:id="173">
    <w:p w14:paraId="0D68CC8C" w14:textId="77777777" w:rsidR="00210409" w:rsidRDefault="00210409">
      <w:pPr>
        <w:pStyle w:val="FootnoteText"/>
      </w:pPr>
      <w:r>
        <w:rPr>
          <w:rStyle w:val="FootnoteReference"/>
        </w:rPr>
        <w:footnoteRef/>
      </w:r>
      <w:r>
        <w:t xml:space="preserve"> Outlines of the History of Dogma, pp. 68-69.</w:t>
      </w:r>
    </w:p>
  </w:footnote>
  <w:footnote w:id="174">
    <w:p w14:paraId="0D68CC8D" w14:textId="77777777" w:rsidR="00210409" w:rsidRDefault="00210409">
      <w:pPr>
        <w:pStyle w:val="FootnoteText"/>
      </w:pPr>
      <w:r>
        <w:rPr>
          <w:rStyle w:val="FootnoteReference"/>
        </w:rPr>
        <w:footnoteRef/>
      </w:r>
      <w:r>
        <w:t xml:space="preserve"> See pg. 96 in original for Greek.</w:t>
      </w:r>
    </w:p>
  </w:footnote>
  <w:footnote w:id="175">
    <w:p w14:paraId="0D68CC8E" w14:textId="77777777" w:rsidR="00210409" w:rsidRDefault="00210409">
      <w:pPr>
        <w:pStyle w:val="FootnoteText"/>
      </w:pPr>
      <w:r>
        <w:rPr>
          <w:rStyle w:val="FootnoteReference"/>
        </w:rPr>
        <w:footnoteRef/>
      </w:r>
      <w:r>
        <w:t xml:space="preserve"> B. VIII, ii, verses 195-340 Ed. Opsopoei, Paris 1667.</w:t>
      </w:r>
    </w:p>
  </w:footnote>
  <w:footnote w:id="176">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77">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78">
    <w:p w14:paraId="0D68CC91" w14:textId="77777777" w:rsidR="00210409" w:rsidRDefault="00210409">
      <w:pPr>
        <w:pStyle w:val="FootnoteText"/>
      </w:pPr>
      <w:r>
        <w:rPr>
          <w:rStyle w:val="FootnoteReference"/>
        </w:rPr>
        <w:footnoteRef/>
      </w:r>
      <w:r>
        <w:t xml:space="preserve"> William J. Deane, Pseudepigrapha, pg. 329.</w:t>
      </w:r>
    </w:p>
  </w:footnote>
  <w:footnote w:id="179">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0">
    <w:p w14:paraId="0D68CC93" w14:textId="77777777" w:rsidR="00210409" w:rsidRDefault="00210409">
      <w:pPr>
        <w:pStyle w:val="FootnoteText"/>
      </w:pPr>
      <w:r>
        <w:rPr>
          <w:rStyle w:val="FootnoteReference"/>
        </w:rPr>
        <w:footnoteRef/>
      </w:r>
      <w:r>
        <w:t xml:space="preserve"> B. II, vv: 211-250-340).</w:t>
      </w:r>
    </w:p>
  </w:footnote>
  <w:footnote w:id="181">
    <w:p w14:paraId="0D68CC94" w14:textId="77777777" w:rsidR="00210409" w:rsidRDefault="00210409">
      <w:pPr>
        <w:pStyle w:val="FootnoteText"/>
      </w:pPr>
      <w:r>
        <w:rPr>
          <w:rStyle w:val="FootnoteReference"/>
        </w:rPr>
        <w:footnoteRef/>
      </w:r>
      <w:r>
        <w:t xml:space="preserve"> De Civ. Dei. B., XVIII.</w:t>
      </w:r>
    </w:p>
  </w:footnote>
  <w:footnote w:id="182">
    <w:p w14:paraId="0D68CC95" w14:textId="77777777" w:rsidR="00210409" w:rsidRDefault="00210409">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3">
    <w:p w14:paraId="0D68CC96" w14:textId="77777777" w:rsidR="00210409" w:rsidRDefault="00210409">
      <w:pPr>
        <w:pStyle w:val="FootnoteText"/>
      </w:pPr>
      <w:r>
        <w:rPr>
          <w:rStyle w:val="FootnoteReference"/>
        </w:rPr>
        <w:footnoteRef/>
      </w:r>
      <w:r>
        <w:t xml:space="preserve"> Similar institutions were in Antioch, Athens, Edessa, Nisibis and Caesarea.</w:t>
      </w:r>
    </w:p>
  </w:footnote>
  <w:footnote w:id="184">
    <w:p w14:paraId="0D68CC97" w14:textId="77777777" w:rsidR="00210409" w:rsidRDefault="00210409">
      <w:pPr>
        <w:pStyle w:val="FootnoteText"/>
      </w:pPr>
      <w:r>
        <w:rPr>
          <w:rStyle w:val="FootnoteReference"/>
        </w:rPr>
        <w:footnoteRef/>
      </w:r>
      <w:r>
        <w:t xml:space="preserve"> Kingsley’s Alexandria and Her Schools.</w:t>
      </w:r>
    </w:p>
  </w:footnote>
  <w:footnote w:id="185">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6">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7">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8">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89">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0">
    <w:p w14:paraId="0D68CC9D" w14:textId="77777777" w:rsidR="00210409" w:rsidRDefault="00210409">
      <w:pPr>
        <w:pStyle w:val="FootnoteText"/>
      </w:pPr>
      <w:r>
        <w:rPr>
          <w:rStyle w:val="FootnoteReference"/>
        </w:rPr>
        <w:footnoteRef/>
      </w:r>
      <w:r>
        <w:t xml:space="preserve"> Strom. I; 7.</w:t>
      </w:r>
    </w:p>
  </w:footnote>
  <w:footnote w:id="191">
    <w:p w14:paraId="0D68CC9E" w14:textId="77777777" w:rsidR="00210409" w:rsidRDefault="00210409">
      <w:pPr>
        <w:pStyle w:val="FootnoteText"/>
      </w:pPr>
      <w:r>
        <w:rPr>
          <w:rStyle w:val="FootnoteReference"/>
        </w:rPr>
        <w:footnoteRef/>
      </w:r>
      <w:r>
        <w:t xml:space="preserve"> Hipp. and His Age, I.</w:t>
      </w:r>
    </w:p>
  </w:footnote>
  <w:footnote w:id="192">
    <w:p w14:paraId="0D68CC9F" w14:textId="77777777" w:rsidR="00210409" w:rsidRDefault="00210409">
      <w:pPr>
        <w:pStyle w:val="FootnoteText"/>
      </w:pPr>
      <w:r>
        <w:rPr>
          <w:rStyle w:val="FootnoteReference"/>
        </w:rPr>
        <w:footnoteRef/>
      </w:r>
      <w:r>
        <w:t xml:space="preserve"> Theosophy or Psychological Religion, Preface, p. xiv.</w:t>
      </w:r>
    </w:p>
  </w:footnote>
  <w:footnote w:id="193">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4">
    <w:p w14:paraId="0D68CCA1" w14:textId="77777777" w:rsidR="00210409" w:rsidRDefault="00210409">
      <w:pPr>
        <w:pStyle w:val="FootnoteText"/>
      </w:pPr>
      <w:r>
        <w:rPr>
          <w:rStyle w:val="FootnoteReference"/>
        </w:rPr>
        <w:footnoteRef/>
      </w:r>
      <w:r>
        <w:t xml:space="preserve"> Paed I, viii.</w:t>
      </w:r>
    </w:p>
  </w:footnote>
  <w:footnote w:id="195">
    <w:p w14:paraId="0D68CCA2" w14:textId="77777777" w:rsidR="00210409" w:rsidRDefault="00210409">
      <w:pPr>
        <w:pStyle w:val="FootnoteText"/>
      </w:pPr>
      <w:r>
        <w:rPr>
          <w:rStyle w:val="FootnoteReference"/>
        </w:rPr>
        <w:footnoteRef/>
      </w:r>
      <w:r>
        <w:t xml:space="preserve"> See pg. 117 for Greek. Strom. VII, vi.</w:t>
      </w:r>
    </w:p>
  </w:footnote>
  <w:footnote w:id="196">
    <w:p w14:paraId="0D68CCA3" w14:textId="77777777" w:rsidR="00210409" w:rsidRDefault="00210409">
      <w:pPr>
        <w:pStyle w:val="FootnoteText"/>
      </w:pPr>
      <w:r>
        <w:rPr>
          <w:rStyle w:val="FootnoteReference"/>
        </w:rPr>
        <w:footnoteRef/>
      </w:r>
      <w:r>
        <w:t xml:space="preserve"> VI, vi; VII, xvi; VI, xiv; VII, ii.</w:t>
      </w:r>
    </w:p>
  </w:footnote>
  <w:footnote w:id="197">
    <w:p w14:paraId="0D68CCA4" w14:textId="77777777" w:rsidR="00210409" w:rsidRDefault="00210409">
      <w:pPr>
        <w:pStyle w:val="FootnoteText"/>
      </w:pPr>
      <w:r>
        <w:rPr>
          <w:rStyle w:val="FootnoteReference"/>
        </w:rPr>
        <w:footnoteRef/>
      </w:r>
      <w:r>
        <w:t xml:space="preserve"> Poedag. I, viii.</w:t>
      </w:r>
    </w:p>
  </w:footnote>
  <w:footnote w:id="198">
    <w:p w14:paraId="0D68CCA5" w14:textId="77777777" w:rsidR="00210409" w:rsidRDefault="00210409">
      <w:pPr>
        <w:pStyle w:val="FootnoteText"/>
      </w:pPr>
      <w:r>
        <w:rPr>
          <w:rStyle w:val="FootnoteReference"/>
        </w:rPr>
        <w:footnoteRef/>
      </w:r>
      <w:r>
        <w:t xml:space="preserve"> Strom. IV, xxiv.</w:t>
      </w:r>
    </w:p>
  </w:footnote>
  <w:footnote w:id="199">
    <w:p w14:paraId="0D68CCA6" w14:textId="77777777" w:rsidR="00210409" w:rsidRDefault="00210409">
      <w:pPr>
        <w:pStyle w:val="FootnoteText"/>
      </w:pPr>
      <w:r>
        <w:rPr>
          <w:rStyle w:val="FootnoteReference"/>
        </w:rPr>
        <w:footnoteRef/>
      </w:r>
      <w:r>
        <w:t xml:space="preserve"> Quoted by Neander.</w:t>
      </w:r>
    </w:p>
  </w:footnote>
  <w:footnote w:id="200">
    <w:p w14:paraId="0D68CCA7" w14:textId="77777777" w:rsidR="00210409" w:rsidRDefault="00210409">
      <w:pPr>
        <w:pStyle w:val="FootnoteText"/>
      </w:pPr>
      <w:r>
        <w:rPr>
          <w:rStyle w:val="FootnoteReference"/>
        </w:rPr>
        <w:footnoteRef/>
      </w:r>
      <w:r>
        <w:t xml:space="preserve"> Paed. I, 10. Strom. I, 27.</w:t>
      </w:r>
    </w:p>
  </w:footnote>
  <w:footnote w:id="201">
    <w:p w14:paraId="0D68CCA8" w14:textId="77777777" w:rsidR="00210409" w:rsidRDefault="00210409">
      <w:pPr>
        <w:pStyle w:val="FootnoteText"/>
      </w:pPr>
      <w:r>
        <w:rPr>
          <w:rStyle w:val="FootnoteReference"/>
        </w:rPr>
        <w:footnoteRef/>
      </w:r>
      <w:r>
        <w:t xml:space="preserve"> See pg. 120 in original for Greek.</w:t>
      </w:r>
    </w:p>
  </w:footnote>
  <w:footnote w:id="202">
    <w:p w14:paraId="0D68CCA9" w14:textId="77777777" w:rsidR="00210409" w:rsidRDefault="00210409">
      <w:pPr>
        <w:pStyle w:val="FootnoteText"/>
      </w:pPr>
      <w:r>
        <w:rPr>
          <w:rStyle w:val="FootnoteReference"/>
        </w:rPr>
        <w:footnoteRef/>
      </w:r>
      <w:r>
        <w:t xml:space="preserve"> Christian Doct., Period I, Sec. 89.</w:t>
      </w:r>
    </w:p>
  </w:footnote>
  <w:footnote w:id="203">
    <w:p w14:paraId="0D68CCAA" w14:textId="77777777" w:rsidR="00210409" w:rsidRDefault="00210409">
      <w:pPr>
        <w:pStyle w:val="FootnoteText"/>
      </w:pPr>
      <w:r>
        <w:rPr>
          <w:rStyle w:val="FootnoteReference"/>
        </w:rPr>
        <w:footnoteRef/>
      </w:r>
      <w:r>
        <w:t xml:space="preserve"> Christian Platonists, pp. 75, 89, 112.</w:t>
      </w:r>
    </w:p>
  </w:footnote>
  <w:footnote w:id="204">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05">
    <w:p w14:paraId="0D68CCAC" w14:textId="77777777" w:rsidR="00210409" w:rsidRDefault="00210409">
      <w:pPr>
        <w:pStyle w:val="FootnoteText"/>
      </w:pPr>
      <w:r>
        <w:rPr>
          <w:rStyle w:val="FootnoteReference"/>
        </w:rPr>
        <w:footnoteRef/>
      </w:r>
      <w:r>
        <w:t xml:space="preserve"> Church Hist. First Three Centuries.</w:t>
      </w:r>
    </w:p>
  </w:footnote>
  <w:footnote w:id="206">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07">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08">
    <w:p w14:paraId="0D68CCAF" w14:textId="77777777" w:rsidR="00210409" w:rsidRDefault="00210409">
      <w:pPr>
        <w:pStyle w:val="FootnoteText"/>
      </w:pPr>
      <w:r>
        <w:rPr>
          <w:rStyle w:val="FootnoteReference"/>
        </w:rPr>
        <w:footnoteRef/>
      </w:r>
      <w:r>
        <w:t xml:space="preserve"> Church of the First Three Centuries, p. 158.</w:t>
      </w:r>
    </w:p>
  </w:footnote>
  <w:footnote w:id="209">
    <w:p w14:paraId="0D68CCB0" w14:textId="77777777" w:rsidR="00210409" w:rsidRDefault="00210409">
      <w:pPr>
        <w:pStyle w:val="FootnoteText"/>
      </w:pPr>
      <w:r>
        <w:rPr>
          <w:rStyle w:val="FootnoteReference"/>
        </w:rPr>
        <w:footnoteRef/>
      </w:r>
      <w:r>
        <w:t xml:space="preserve"> Continuity of Christian Thought, p. 19.</w:t>
      </w:r>
    </w:p>
  </w:footnote>
  <w:footnote w:id="21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1">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210409" w:rsidRDefault="00210409">
      <w:pPr>
        <w:pStyle w:val="FootnoteText"/>
      </w:pPr>
      <w:r>
        <w:rPr>
          <w:rStyle w:val="FootnoteReference"/>
        </w:rPr>
        <w:footnoteRef/>
      </w:r>
      <w:r>
        <w:t xml:space="preserve"> Hist. Christ. Church, I, pp. 54-55.</w:t>
      </w:r>
    </w:p>
  </w:footnote>
  <w:footnote w:id="213">
    <w:p w14:paraId="0D68CCB4" w14:textId="77777777" w:rsidR="00210409" w:rsidRDefault="00210409">
      <w:pPr>
        <w:pStyle w:val="FootnoteText"/>
      </w:pPr>
      <w:r>
        <w:rPr>
          <w:rStyle w:val="FootnoteReference"/>
        </w:rPr>
        <w:footnoteRef/>
      </w:r>
      <w:r>
        <w:t xml:space="preserve"> De Pressense Martyrs and Apologists II, p. 340.</w:t>
      </w:r>
    </w:p>
  </w:footnote>
  <w:footnote w:id="214">
    <w:p w14:paraId="0D68CCB5" w14:textId="77777777" w:rsidR="00210409" w:rsidRDefault="00210409">
      <w:pPr>
        <w:pStyle w:val="FootnoteText"/>
      </w:pPr>
      <w:r>
        <w:rPr>
          <w:rStyle w:val="FootnoteReference"/>
        </w:rPr>
        <w:footnoteRef/>
      </w:r>
      <w:r>
        <w:t xml:space="preserve"> Bayle, Dict. Hist. Art. Origene.</w:t>
      </w:r>
    </w:p>
  </w:footnote>
  <w:footnote w:id="215">
    <w:p w14:paraId="0D68CCB6" w14:textId="77777777" w:rsidR="00210409" w:rsidRDefault="00210409">
      <w:pPr>
        <w:pStyle w:val="FootnoteText"/>
      </w:pPr>
      <w:r>
        <w:rPr>
          <w:rStyle w:val="FootnoteReference"/>
        </w:rPr>
        <w:footnoteRef/>
      </w:r>
      <w:r>
        <w:t xml:space="preserve"> Cont. Cels. VI, 25.</w:t>
      </w:r>
    </w:p>
  </w:footnote>
  <w:footnote w:id="216">
    <w:p w14:paraId="0D68CCB7" w14:textId="77777777" w:rsidR="00210409" w:rsidRDefault="00210409">
      <w:pPr>
        <w:pStyle w:val="FootnoteText"/>
      </w:pPr>
      <w:r>
        <w:rPr>
          <w:rStyle w:val="FootnoteReference"/>
        </w:rPr>
        <w:footnoteRef/>
      </w:r>
      <w:r>
        <w:t xml:space="preserve"> Consult also, Mosheim, Dorner, and De Pressense.</w:t>
      </w:r>
    </w:p>
  </w:footnote>
  <w:footnote w:id="217">
    <w:p w14:paraId="0D68CCB8" w14:textId="77777777" w:rsidR="00210409" w:rsidRDefault="00210409">
      <w:pPr>
        <w:pStyle w:val="FootnoteText"/>
      </w:pPr>
      <w:r>
        <w:rPr>
          <w:rStyle w:val="FootnoteReference"/>
        </w:rPr>
        <w:footnoteRef/>
      </w:r>
      <w:r>
        <w:t xml:space="preserve"> Homily XI in Numbers, in Migne.</w:t>
      </w:r>
    </w:p>
  </w:footnote>
  <w:footnote w:id="218">
    <w:p w14:paraId="0D68CCB9" w14:textId="77777777" w:rsidR="00210409" w:rsidRDefault="00210409">
      <w:pPr>
        <w:pStyle w:val="FootnoteText"/>
      </w:pPr>
      <w:r>
        <w:rPr>
          <w:rStyle w:val="FootnoteReference"/>
        </w:rPr>
        <w:footnoteRef/>
      </w:r>
      <w:r>
        <w:t xml:space="preserve"> Neoplatonism, by C. Bigg, D. D., London, 1895, pg. 163.</w:t>
      </w:r>
    </w:p>
  </w:footnote>
  <w:footnote w:id="219">
    <w:p w14:paraId="0D68CCBA" w14:textId="77777777" w:rsidR="00210409" w:rsidRDefault="00210409">
      <w:pPr>
        <w:pStyle w:val="FootnoteText"/>
      </w:pPr>
      <w:r>
        <w:rPr>
          <w:rStyle w:val="FootnoteReference"/>
        </w:rPr>
        <w:footnoteRef/>
      </w:r>
      <w:r>
        <w:t xml:space="preserve"> Harnack’s Outlines, pp. 150-154.</w:t>
      </w:r>
    </w:p>
  </w:footnote>
  <w:footnote w:id="220">
    <w:p w14:paraId="0D68CCBB" w14:textId="77777777" w:rsidR="00210409" w:rsidRDefault="00210409">
      <w:pPr>
        <w:pStyle w:val="FootnoteText"/>
      </w:pPr>
      <w:r>
        <w:rPr>
          <w:rStyle w:val="FootnoteReference"/>
        </w:rPr>
        <w:footnoteRef/>
      </w:r>
      <w:r>
        <w:t xml:space="preserve"> See pg. 140 for Greek original.</w:t>
      </w:r>
    </w:p>
  </w:footnote>
  <w:footnote w:id="221">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210409" w:rsidRDefault="00210409">
      <w:pPr>
        <w:pStyle w:val="FootnoteText"/>
      </w:pPr>
      <w:r>
        <w:rPr>
          <w:rStyle w:val="FootnoteReference"/>
        </w:rPr>
        <w:footnoteRef/>
      </w:r>
      <w:r>
        <w:t xml:space="preserve"> See original pg. 142 for Greek.</w:t>
      </w:r>
    </w:p>
  </w:footnote>
  <w:footnote w:id="223">
    <w:p w14:paraId="0D68CCBE" w14:textId="77777777" w:rsidR="00210409" w:rsidRDefault="00210409">
      <w:pPr>
        <w:pStyle w:val="FootnoteText"/>
      </w:pPr>
      <w:r>
        <w:rPr>
          <w:rStyle w:val="FootnoteReference"/>
        </w:rPr>
        <w:footnoteRef/>
      </w:r>
      <w:r>
        <w:t xml:space="preserve"> Kitto Cyclo; Davidson’s Biblical Criticism, Vol. I.</w:t>
      </w:r>
    </w:p>
  </w:footnote>
  <w:footnote w:id="224">
    <w:p w14:paraId="0D68CCBF" w14:textId="77777777" w:rsidR="00210409" w:rsidRDefault="00210409">
      <w:pPr>
        <w:pStyle w:val="FootnoteText"/>
      </w:pPr>
      <w:r>
        <w:rPr>
          <w:rStyle w:val="FootnoteReference"/>
        </w:rPr>
        <w:footnoteRef/>
      </w:r>
      <w:r>
        <w:t xml:space="preserve"> De Principiis, Crombie’s Translation. Epist. ad Amicos.</w:t>
      </w:r>
    </w:p>
  </w:footnote>
  <w:footnote w:id="225">
    <w:p w14:paraId="0D68CCC0" w14:textId="77777777" w:rsidR="00210409" w:rsidRDefault="00210409">
      <w:pPr>
        <w:pStyle w:val="FootnoteText"/>
      </w:pPr>
      <w:r>
        <w:rPr>
          <w:rStyle w:val="FootnoteReference"/>
        </w:rPr>
        <w:footnoteRef/>
      </w:r>
      <w:r>
        <w:t xml:space="preserve"> De Prin. I, vi: 1, 2.</w:t>
      </w:r>
    </w:p>
  </w:footnote>
  <w:footnote w:id="226">
    <w:p w14:paraId="0D68CCC1" w14:textId="77777777" w:rsidR="00210409" w:rsidRDefault="00210409">
      <w:pPr>
        <w:pStyle w:val="FootnoteText"/>
      </w:pPr>
      <w:r>
        <w:rPr>
          <w:rStyle w:val="FootnoteReference"/>
        </w:rPr>
        <w:footnoteRef/>
      </w:r>
      <w:r>
        <w:t xml:space="preserve"> Jeremiah Hom. Xviii: 6, Ag. Cels. IV. Xxii.</w:t>
      </w:r>
    </w:p>
  </w:footnote>
  <w:footnote w:id="227">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28">
    <w:p w14:paraId="0D68CCC3" w14:textId="77777777" w:rsidR="00210409" w:rsidRDefault="00210409">
      <w:pPr>
        <w:pStyle w:val="FootnoteText"/>
      </w:pPr>
      <w:r>
        <w:rPr>
          <w:rStyle w:val="FootnoteReference"/>
        </w:rPr>
        <w:footnoteRef/>
      </w:r>
      <w:r>
        <w:t xml:space="preserve"> De Prin. II. Iii: 5.</w:t>
      </w:r>
    </w:p>
  </w:footnote>
  <w:footnote w:id="229">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210409" w:rsidRDefault="00210409">
      <w:pPr>
        <w:pStyle w:val="FootnoteText"/>
      </w:pPr>
      <w:r>
        <w:rPr>
          <w:rStyle w:val="FootnoteReference"/>
        </w:rPr>
        <w:footnoteRef/>
      </w:r>
      <w:r>
        <w:t xml:space="preserve"> Ag. Cels. V. xv.</w:t>
      </w:r>
    </w:p>
  </w:footnote>
  <w:footnote w:id="233">
    <w:p w14:paraId="0D68CCC8" w14:textId="77777777" w:rsidR="00210409" w:rsidRDefault="00210409">
      <w:pPr>
        <w:pStyle w:val="FootnoteText"/>
      </w:pPr>
      <w:r>
        <w:rPr>
          <w:rStyle w:val="FootnoteReference"/>
        </w:rPr>
        <w:footnoteRef/>
      </w:r>
      <w:r>
        <w:t xml:space="preserve"> De Prin. II, x: 3, 4. I, i. Ag. Cels. Iv. 13.</w:t>
      </w:r>
    </w:p>
  </w:footnote>
  <w:footnote w:id="234">
    <w:p w14:paraId="0D68CCC9" w14:textId="77777777" w:rsidR="00210409" w:rsidRDefault="00210409">
      <w:pPr>
        <w:pStyle w:val="FootnoteText"/>
      </w:pPr>
      <w:r>
        <w:rPr>
          <w:rStyle w:val="FootnoteReference"/>
        </w:rPr>
        <w:footnoteRef/>
      </w:r>
      <w:r>
        <w:t xml:space="preserve"> Ag. Cels. VIII. Lxii.</w:t>
      </w:r>
    </w:p>
  </w:footnote>
  <w:footnote w:id="23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6">
    <w:p w14:paraId="0D68CCCB" w14:textId="77777777" w:rsidR="00210409" w:rsidRDefault="00210409">
      <w:pPr>
        <w:pStyle w:val="FootnoteText"/>
      </w:pPr>
      <w:r>
        <w:rPr>
          <w:rStyle w:val="FootnoteReference"/>
        </w:rPr>
        <w:footnoteRef/>
      </w:r>
      <w:r>
        <w:t xml:space="preserve"> Ag. Cels. VI. Xxvi.</w:t>
      </w:r>
    </w:p>
  </w:footnote>
  <w:footnote w:id="237">
    <w:p w14:paraId="0D68CCCC" w14:textId="77777777" w:rsidR="00210409" w:rsidRDefault="00210409">
      <w:pPr>
        <w:pStyle w:val="FootnoteText"/>
      </w:pPr>
      <w:r>
        <w:rPr>
          <w:rStyle w:val="FootnoteReference"/>
        </w:rPr>
        <w:footnoteRef/>
      </w:r>
      <w:r>
        <w:t xml:space="preserve"> Ag. Cels. V. xv, xvi.</w:t>
      </w:r>
    </w:p>
  </w:footnote>
  <w:footnote w:id="238">
    <w:p w14:paraId="0D68CCCD" w14:textId="77777777" w:rsidR="00210409" w:rsidRDefault="00210409">
      <w:pPr>
        <w:pStyle w:val="FootnoteText"/>
      </w:pPr>
      <w:r>
        <w:rPr>
          <w:rStyle w:val="FootnoteReference"/>
        </w:rPr>
        <w:footnoteRef/>
      </w:r>
      <w:r>
        <w:t xml:space="preserve"> Ag. Cels. VIII. Xxxix. Xl.</w:t>
      </w:r>
    </w:p>
  </w:footnote>
  <w:footnote w:id="239">
    <w:p w14:paraId="0D68CCCE" w14:textId="77777777" w:rsidR="00210409" w:rsidRDefault="00210409">
      <w:pPr>
        <w:pStyle w:val="FootnoteText"/>
      </w:pPr>
      <w:r>
        <w:rPr>
          <w:rStyle w:val="FootnoteReference"/>
        </w:rPr>
        <w:footnoteRef/>
      </w:r>
      <w:r>
        <w:t xml:space="preserve"> Com. II, pp. 194, 195.</w:t>
      </w:r>
    </w:p>
  </w:footnote>
  <w:footnote w:id="240">
    <w:p w14:paraId="0D68CCCF" w14:textId="77777777" w:rsidR="00210409" w:rsidRDefault="00210409">
      <w:pPr>
        <w:pStyle w:val="FootnoteText"/>
      </w:pPr>
      <w:r>
        <w:rPr>
          <w:rStyle w:val="FootnoteReference"/>
        </w:rPr>
        <w:footnoteRef/>
      </w:r>
      <w:r>
        <w:t xml:space="preserve"> Hist. Christ. Church, I, p. 114.</w:t>
      </w:r>
    </w:p>
  </w:footnote>
  <w:footnote w:id="24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210409" w:rsidRDefault="00210409">
      <w:pPr>
        <w:pStyle w:val="FootnoteText"/>
      </w:pPr>
      <w:r>
        <w:rPr>
          <w:rStyle w:val="FootnoteReference"/>
        </w:rPr>
        <w:footnoteRef/>
      </w:r>
      <w:r>
        <w:t xml:space="preserve"> Article is written by Dr. A.W.W. Dale.</w:t>
      </w:r>
    </w:p>
  </w:footnote>
  <w:footnote w:id="243">
    <w:p w14:paraId="0D68CCD2" w14:textId="77777777" w:rsidR="00210409" w:rsidRDefault="00210409">
      <w:pPr>
        <w:pStyle w:val="FootnoteText"/>
      </w:pPr>
      <w:r>
        <w:rPr>
          <w:rStyle w:val="FootnoteReference"/>
        </w:rPr>
        <w:footnoteRef/>
      </w:r>
      <w:r>
        <w:t xml:space="preserve"> Ante-Nicene Library, Edinburgh, 1872.</w:t>
      </w:r>
    </w:p>
  </w:footnote>
  <w:footnote w:id="244">
    <w:p w14:paraId="0D68CCD3" w14:textId="77777777" w:rsidR="00210409" w:rsidRDefault="00210409">
      <w:pPr>
        <w:pStyle w:val="FootnoteText"/>
      </w:pPr>
      <w:r>
        <w:rPr>
          <w:rStyle w:val="FootnoteReference"/>
        </w:rPr>
        <w:footnoteRef/>
      </w:r>
      <w:r>
        <w:t xml:space="preserve"> Ag. Cels. IV. Xiii; xciv.</w:t>
      </w:r>
    </w:p>
  </w:footnote>
  <w:footnote w:id="245">
    <w:p w14:paraId="0D68CCD4" w14:textId="77777777" w:rsidR="00210409" w:rsidRDefault="00210409">
      <w:pPr>
        <w:pStyle w:val="FootnoteText"/>
      </w:pPr>
      <w:r>
        <w:rPr>
          <w:rStyle w:val="FootnoteReference"/>
        </w:rPr>
        <w:footnoteRef/>
      </w:r>
      <w:r>
        <w:t xml:space="preserve"> De Prin. III, v.</w:t>
      </w:r>
    </w:p>
  </w:footnote>
  <w:footnote w:id="246">
    <w:p w14:paraId="0D68CCD5" w14:textId="77777777" w:rsidR="00210409" w:rsidRDefault="00210409">
      <w:pPr>
        <w:pStyle w:val="FootnoteText"/>
      </w:pPr>
      <w:r>
        <w:rPr>
          <w:rStyle w:val="FootnoteReference"/>
        </w:rPr>
        <w:footnoteRef/>
      </w:r>
      <w:r>
        <w:t xml:space="preserve"> De Prin. III, vi.</w:t>
      </w:r>
    </w:p>
  </w:footnote>
  <w:footnote w:id="247">
    <w:p w14:paraId="0D68CCD6" w14:textId="77777777" w:rsidR="00210409" w:rsidRDefault="00210409">
      <w:pPr>
        <w:pStyle w:val="FootnoteText"/>
      </w:pPr>
      <w:r>
        <w:rPr>
          <w:rStyle w:val="FootnoteReference"/>
        </w:rPr>
        <w:footnoteRef/>
      </w:r>
      <w:r>
        <w:t xml:space="preserve"> De Prin. II, v:1-4.</w:t>
      </w:r>
    </w:p>
  </w:footnote>
  <w:footnote w:id="24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4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1">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210409" w:rsidRDefault="00210409">
      <w:pPr>
        <w:pStyle w:val="FootnoteText"/>
      </w:pPr>
      <w:r>
        <w:rPr>
          <w:rStyle w:val="FootnoteReference"/>
        </w:rPr>
        <w:footnoteRef/>
      </w:r>
      <w:r>
        <w:t xml:space="preserve"> Routh, Reliquiae Sacrae, iii, p. 498.</w:t>
      </w:r>
    </w:p>
  </w:footnote>
  <w:footnote w:id="25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4">
    <w:p w14:paraId="0D68CCDD" w14:textId="77777777" w:rsidR="00210409" w:rsidRDefault="00210409">
      <w:pPr>
        <w:pStyle w:val="FootnoteText"/>
      </w:pPr>
      <w:r>
        <w:rPr>
          <w:rStyle w:val="FootnoteReference"/>
        </w:rPr>
        <w:footnoteRef/>
      </w:r>
      <w:r>
        <w:t xml:space="preserve"> Hist. Doct. Fut. Ret.</w:t>
      </w:r>
    </w:p>
  </w:footnote>
  <w:footnote w:id="255">
    <w:p w14:paraId="0D68CCDE" w14:textId="77777777" w:rsidR="00210409" w:rsidRDefault="00210409">
      <w:pPr>
        <w:pStyle w:val="FootnoteText"/>
      </w:pPr>
      <w:r>
        <w:rPr>
          <w:rStyle w:val="FootnoteReference"/>
        </w:rPr>
        <w:footnoteRef/>
      </w:r>
      <w:r>
        <w:t xml:space="preserve"> Holy Eastern Church, p. 37.</w:t>
      </w:r>
    </w:p>
  </w:footnote>
  <w:footnote w:id="25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57">
    <w:p w14:paraId="0D68CCE0" w14:textId="77777777" w:rsidR="00210409" w:rsidRDefault="00210409">
      <w:pPr>
        <w:pStyle w:val="FootnoteText"/>
      </w:pPr>
      <w:r>
        <w:rPr>
          <w:rStyle w:val="FootnoteReference"/>
        </w:rPr>
        <w:footnoteRef/>
      </w:r>
      <w:r>
        <w:t xml:space="preserve"> Enchirid. Ch. 112.</w:t>
      </w:r>
    </w:p>
  </w:footnote>
  <w:footnote w:id="25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0">
    <w:p w14:paraId="0D68CCE3" w14:textId="77777777" w:rsidR="00210409" w:rsidRDefault="00210409">
      <w:pPr>
        <w:pStyle w:val="FootnoteText"/>
      </w:pPr>
      <w:r>
        <w:rPr>
          <w:rStyle w:val="FootnoteReference"/>
        </w:rPr>
        <w:footnoteRef/>
      </w:r>
      <w:r>
        <w:t xml:space="preserve"> Christ. Plat. Of Alex., p. 308.</w:t>
      </w:r>
    </w:p>
  </w:footnote>
  <w:footnote w:id="261">
    <w:p w14:paraId="0D68CCE4" w14:textId="77777777" w:rsidR="00210409" w:rsidRDefault="00210409">
      <w:pPr>
        <w:pStyle w:val="FootnoteText"/>
      </w:pPr>
      <w:r>
        <w:rPr>
          <w:rStyle w:val="FootnoteReference"/>
        </w:rPr>
        <w:footnoteRef/>
      </w:r>
      <w:r>
        <w:t xml:space="preserve"> Hipp. and his Age, pp. 285, 286.</w:t>
      </w:r>
    </w:p>
  </w:footnote>
  <w:footnote w:id="262">
    <w:p w14:paraId="0D68CCE5" w14:textId="77777777" w:rsidR="00210409" w:rsidRDefault="00210409">
      <w:pPr>
        <w:pStyle w:val="FootnoteText"/>
      </w:pPr>
      <w:r>
        <w:rPr>
          <w:rStyle w:val="FootnoteReference"/>
        </w:rPr>
        <w:footnoteRef/>
      </w:r>
      <w:r>
        <w:t xml:space="preserve"> Bunsen, pp. 326-327.</w:t>
      </w:r>
    </w:p>
  </w:footnote>
  <w:footnote w:id="263">
    <w:p w14:paraId="0D68CCE6" w14:textId="77777777" w:rsidR="00210409" w:rsidRDefault="00210409">
      <w:pPr>
        <w:pStyle w:val="FootnoteText"/>
      </w:pPr>
      <w:r>
        <w:rPr>
          <w:rStyle w:val="FootnoteReference"/>
        </w:rPr>
        <w:footnoteRef/>
      </w:r>
      <w:r>
        <w:t xml:space="preserve"> Essays, pp. 236-252.</w:t>
      </w:r>
    </w:p>
  </w:footnote>
  <w:footnote w:id="264">
    <w:p w14:paraId="0D68CCE7" w14:textId="77777777" w:rsidR="00210409" w:rsidRDefault="00210409">
      <w:pPr>
        <w:pStyle w:val="FootnoteText"/>
      </w:pPr>
      <w:r>
        <w:rPr>
          <w:rStyle w:val="FootnoteReference"/>
        </w:rPr>
        <w:footnoteRef/>
      </w:r>
      <w:r>
        <w:t xml:space="preserve"> Cred. Gos. Hist., Vol. II, pg. 488.</w:t>
      </w:r>
    </w:p>
  </w:footnote>
  <w:footnote w:id="265">
    <w:p w14:paraId="0D68CCE8" w14:textId="77777777" w:rsidR="00210409" w:rsidRDefault="00210409">
      <w:pPr>
        <w:pStyle w:val="FootnoteText"/>
      </w:pPr>
      <w:r>
        <w:rPr>
          <w:rStyle w:val="FootnoteReference"/>
        </w:rPr>
        <w:footnoteRef/>
      </w:r>
      <w:r>
        <w:t xml:space="preserve"> April, 1874.</w:t>
      </w:r>
    </w:p>
  </w:footnote>
  <w:footnote w:id="266">
    <w:p w14:paraId="0D68CCE9" w14:textId="77777777" w:rsidR="00210409" w:rsidRDefault="00210409">
      <w:pPr>
        <w:pStyle w:val="FootnoteText"/>
      </w:pPr>
      <w:r>
        <w:rPr>
          <w:rStyle w:val="FootnoteReference"/>
        </w:rPr>
        <w:footnoteRef/>
      </w:r>
      <w:r>
        <w:t xml:space="preserve"> Theos. Or Psych. Rel. Lect. XIII.</w:t>
      </w:r>
    </w:p>
  </w:footnote>
  <w:footnote w:id="26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8">
    <w:p w14:paraId="0D68CCEB" w14:textId="77777777" w:rsidR="00210409" w:rsidRDefault="00210409">
      <w:pPr>
        <w:pStyle w:val="FootnoteText"/>
      </w:pPr>
      <w:r>
        <w:rPr>
          <w:rStyle w:val="FootnoteReference"/>
        </w:rPr>
        <w:footnoteRef/>
      </w:r>
      <w:r>
        <w:t xml:space="preserve"> Philosophumena or Refutation of Heresy.</w:t>
      </w:r>
    </w:p>
  </w:footnote>
  <w:footnote w:id="269">
    <w:p w14:paraId="0D68CCEC" w14:textId="77777777" w:rsidR="00210409" w:rsidRDefault="00210409">
      <w:pPr>
        <w:pStyle w:val="FootnoteText"/>
      </w:pPr>
      <w:r>
        <w:rPr>
          <w:rStyle w:val="FootnoteReference"/>
        </w:rPr>
        <w:footnoteRef/>
      </w:r>
      <w:r>
        <w:t xml:space="preserve"> See pg. 190 of original.</w:t>
      </w:r>
    </w:p>
  </w:footnote>
  <w:footnote w:id="270">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1">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2">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3">
    <w:p w14:paraId="0D68CCF0" w14:textId="77777777" w:rsidR="00210409" w:rsidRDefault="00210409">
      <w:pPr>
        <w:pStyle w:val="FootnoteText"/>
      </w:pPr>
      <w:r>
        <w:rPr>
          <w:rStyle w:val="FootnoteReference"/>
        </w:rPr>
        <w:footnoteRef/>
      </w:r>
      <w:r>
        <w:t xml:space="preserve"> Oxford Tracts for the Times, No. XVII.</w:t>
      </w:r>
    </w:p>
  </w:footnote>
  <w:footnote w:id="27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5">
    <w:p w14:paraId="0D68CCF2" w14:textId="77777777" w:rsidR="00210409" w:rsidRDefault="00210409">
      <w:pPr>
        <w:pStyle w:val="FootnoteText"/>
      </w:pPr>
      <w:r>
        <w:rPr>
          <w:rStyle w:val="FootnoteReference"/>
        </w:rPr>
        <w:footnoteRef/>
      </w:r>
      <w:r>
        <w:t xml:space="preserve"> Apol., cap. 18.</w:t>
      </w:r>
    </w:p>
  </w:footnote>
  <w:footnote w:id="276">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77">
    <w:p w14:paraId="0D68CCF4" w14:textId="77777777" w:rsidR="00210409" w:rsidRDefault="00210409">
      <w:pPr>
        <w:pStyle w:val="FootnoteText"/>
      </w:pPr>
      <w:r>
        <w:rPr>
          <w:rStyle w:val="FootnoteReference"/>
        </w:rPr>
        <w:footnoteRef/>
      </w:r>
      <w:r>
        <w:t xml:space="preserve"> Euseb. Hist. Eccl. B. vi.</w:t>
      </w:r>
    </w:p>
  </w:footnote>
  <w:footnote w:id="278">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79">
    <w:p w14:paraId="0D68CCF6" w14:textId="77777777" w:rsidR="00210409" w:rsidRDefault="00210409">
      <w:pPr>
        <w:pStyle w:val="FootnoteText"/>
      </w:pPr>
      <w:r>
        <w:rPr>
          <w:rStyle w:val="FootnoteReference"/>
        </w:rPr>
        <w:footnoteRef/>
      </w:r>
      <w:r>
        <w:t xml:space="preserve"> Vol. II, pp. 414-416.</w:t>
      </w:r>
    </w:p>
  </w:footnote>
  <w:footnote w:id="280">
    <w:p w14:paraId="0D68CCF7" w14:textId="77777777" w:rsidR="00210409" w:rsidRDefault="00210409">
      <w:pPr>
        <w:pStyle w:val="FootnoteText"/>
      </w:pPr>
      <w:r>
        <w:rPr>
          <w:rStyle w:val="FootnoteReference"/>
        </w:rPr>
        <w:footnoteRef/>
      </w:r>
      <w:r>
        <w:t xml:space="preserve"> Hist. Doct. II, Sec. 142. Edin. Ed. 1884.</w:t>
      </w:r>
    </w:p>
  </w:footnote>
  <w:footnote w:id="281">
    <w:p w14:paraId="0D68CCF8" w14:textId="77777777" w:rsidR="00210409" w:rsidRDefault="00210409">
      <w:pPr>
        <w:pStyle w:val="FootnoteText"/>
      </w:pPr>
      <w:r>
        <w:rPr>
          <w:rStyle w:val="FootnoteReference"/>
        </w:rPr>
        <w:footnoteRef/>
      </w:r>
      <w:r>
        <w:t xml:space="preserve"> P. 349, note.</w:t>
      </w:r>
    </w:p>
  </w:footnote>
  <w:footnote w:id="282">
    <w:p w14:paraId="0D68CCF9" w14:textId="77777777" w:rsidR="00210409" w:rsidRDefault="00210409">
      <w:pPr>
        <w:pStyle w:val="FootnoteText"/>
      </w:pPr>
      <w:r>
        <w:rPr>
          <w:rStyle w:val="FootnoteReference"/>
        </w:rPr>
        <w:footnoteRef/>
      </w:r>
      <w:r>
        <w:t xml:space="preserve"> Vol. II, pg. 676.</w:t>
      </w:r>
    </w:p>
  </w:footnote>
  <w:footnote w:id="283">
    <w:p w14:paraId="0D68CCFA" w14:textId="77777777" w:rsidR="00210409" w:rsidRDefault="00210409">
      <w:pPr>
        <w:pStyle w:val="FootnoteText"/>
      </w:pPr>
      <w:r>
        <w:rPr>
          <w:rStyle w:val="FootnoteReference"/>
        </w:rPr>
        <w:footnoteRef/>
      </w:r>
      <w:r>
        <w:t xml:space="preserve"> Eusebius, VI:26.</w:t>
      </w:r>
    </w:p>
  </w:footnote>
  <w:footnote w:id="28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5">
    <w:p w14:paraId="0D68CCFC" w14:textId="77777777" w:rsidR="00210409" w:rsidRDefault="00210409">
      <w:pPr>
        <w:pStyle w:val="FootnoteText"/>
      </w:pPr>
      <w:r>
        <w:rPr>
          <w:rStyle w:val="FootnoteReference"/>
        </w:rPr>
        <w:footnoteRef/>
      </w:r>
      <w:r>
        <w:t xml:space="preserve"> Routh, Rel. Sac., III, p. 498. Oxford ed., 1846.</w:t>
      </w:r>
    </w:p>
  </w:footnote>
  <w:footnote w:id="286">
    <w:p w14:paraId="0D68CCFD" w14:textId="77777777" w:rsidR="00210409" w:rsidRDefault="00210409">
      <w:pPr>
        <w:pStyle w:val="FootnoteText"/>
      </w:pPr>
      <w:r>
        <w:rPr>
          <w:rStyle w:val="FootnoteReference"/>
        </w:rPr>
        <w:footnoteRef/>
      </w:r>
      <w:r>
        <w:t xml:space="preserve"> De Eccl. Theol., Migne, Vol. XXIV, pp. 1030-33.</w:t>
      </w:r>
    </w:p>
  </w:footnote>
  <w:footnote w:id="287">
    <w:p w14:paraId="0D68CCFE" w14:textId="77777777" w:rsidR="00210409" w:rsidRDefault="00210409">
      <w:pPr>
        <w:pStyle w:val="FootnoteText"/>
      </w:pPr>
      <w:r>
        <w:rPr>
          <w:rStyle w:val="FootnoteReference"/>
        </w:rPr>
        <w:footnoteRef/>
      </w:r>
      <w:r>
        <w:t xml:space="preserve"> Sermon Major de fide. Migne, vol. XXVI, pp. 1263-1294.</w:t>
      </w:r>
    </w:p>
  </w:footnote>
  <w:footnote w:id="288">
    <w:p w14:paraId="0D68CCFF" w14:textId="77777777" w:rsidR="00210409" w:rsidRDefault="00210409">
      <w:pPr>
        <w:pStyle w:val="FootnoteText"/>
      </w:pPr>
      <w:r>
        <w:rPr>
          <w:rStyle w:val="FootnoteReference"/>
        </w:rPr>
        <w:footnoteRef/>
      </w:r>
      <w:r>
        <w:t xml:space="preserve"> De Spir. Sanct., Ch. 44.</w:t>
      </w:r>
    </w:p>
  </w:footnote>
  <w:footnote w:id="289">
    <w:p w14:paraId="0D68CD00" w14:textId="77777777" w:rsidR="00210409" w:rsidRDefault="00210409">
      <w:pPr>
        <w:pStyle w:val="FootnoteText"/>
      </w:pPr>
      <w:r>
        <w:rPr>
          <w:rStyle w:val="FootnoteReference"/>
        </w:rPr>
        <w:footnoteRef/>
      </w:r>
      <w:r>
        <w:t xml:space="preserve"> See sketch of Jerome.</w:t>
      </w:r>
    </w:p>
  </w:footnote>
  <w:footnote w:id="290">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1">
    <w:p w14:paraId="0D68CD02" w14:textId="77777777" w:rsidR="00210409" w:rsidRDefault="00210409">
      <w:pPr>
        <w:pStyle w:val="FootnoteText"/>
      </w:pPr>
      <w:r>
        <w:rPr>
          <w:rStyle w:val="FootnoteReference"/>
        </w:rPr>
        <w:footnoteRef/>
      </w:r>
      <w:r>
        <w:t xml:space="preserve"> Dictionary of Christian Biography, II, p. 150.</w:t>
      </w:r>
    </w:p>
  </w:footnote>
  <w:footnote w:id="292">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3">
    <w:p w14:paraId="0D68CD04" w14:textId="77777777" w:rsidR="00210409" w:rsidRDefault="00210409">
      <w:pPr>
        <w:pStyle w:val="FootnoteText"/>
      </w:pPr>
      <w:r>
        <w:rPr>
          <w:rStyle w:val="FootnoteReference"/>
        </w:rPr>
        <w:footnoteRef/>
      </w:r>
      <w:r>
        <w:t xml:space="preserve"> De Resurr., VIII.</w:t>
      </w:r>
    </w:p>
  </w:footnote>
  <w:footnote w:id="294">
    <w:p w14:paraId="0D68CD05" w14:textId="77777777" w:rsidR="00210409" w:rsidRDefault="00210409">
      <w:pPr>
        <w:pStyle w:val="FootnoteText"/>
      </w:pPr>
      <w:r>
        <w:rPr>
          <w:rStyle w:val="FootnoteReference"/>
        </w:rPr>
        <w:footnoteRef/>
      </w:r>
      <w:r>
        <w:t xml:space="preserve"> See pg. 212 in original.</w:t>
      </w:r>
    </w:p>
  </w:footnote>
  <w:footnote w:id="295">
    <w:p w14:paraId="0D68CD06" w14:textId="77777777" w:rsidR="00210409" w:rsidRDefault="00210409">
      <w:pPr>
        <w:pStyle w:val="FootnoteText"/>
      </w:pPr>
      <w:r>
        <w:rPr>
          <w:rStyle w:val="FootnoteReference"/>
        </w:rPr>
        <w:footnoteRef/>
      </w:r>
      <w:r>
        <w:t xml:space="preserve"> See pg. 212 in original.</w:t>
      </w:r>
    </w:p>
  </w:footnote>
  <w:footnote w:id="296">
    <w:p w14:paraId="0D68CD07" w14:textId="77777777" w:rsidR="00210409" w:rsidRDefault="00210409">
      <w:pPr>
        <w:pStyle w:val="FootnoteText"/>
      </w:pPr>
      <w:r>
        <w:rPr>
          <w:rStyle w:val="FootnoteReference"/>
        </w:rPr>
        <w:footnoteRef/>
      </w:r>
      <w:r>
        <w:t xml:space="preserve"> Orat. xl, Carm. xlii.; Migne, Vols. XXXVI, XXI.</w:t>
      </w:r>
    </w:p>
  </w:footnote>
  <w:footnote w:id="297">
    <w:p w14:paraId="0D68CD08" w14:textId="77777777" w:rsidR="00210409" w:rsidRDefault="00210409">
      <w:pPr>
        <w:pStyle w:val="FootnoteText"/>
      </w:pPr>
      <w:r>
        <w:rPr>
          <w:rStyle w:val="FootnoteReference"/>
        </w:rPr>
        <w:footnoteRef/>
      </w:r>
      <w:r>
        <w:t xml:space="preserve"> See Newman’s Hist. Essays, Vol. III.</w:t>
      </w:r>
    </w:p>
  </w:footnote>
  <w:footnote w:id="298">
    <w:p w14:paraId="0D68CD09" w14:textId="77777777" w:rsidR="00210409" w:rsidRDefault="00210409">
      <w:pPr>
        <w:pStyle w:val="FootnoteText"/>
      </w:pPr>
      <w:r>
        <w:rPr>
          <w:rStyle w:val="FootnoteReference"/>
        </w:rPr>
        <w:footnoteRef/>
      </w:r>
      <w:r>
        <w:t xml:space="preserve"> Assemani Bibl. Orient. Tom. III, p. 323.</w:t>
      </w:r>
    </w:p>
  </w:footnote>
  <w:footnote w:id="299">
    <w:p w14:paraId="0D68CD0A" w14:textId="77777777" w:rsidR="00210409" w:rsidRDefault="00210409">
      <w:pPr>
        <w:pStyle w:val="FootnoteText"/>
      </w:pPr>
      <w:r>
        <w:rPr>
          <w:rStyle w:val="FootnoteReference"/>
        </w:rPr>
        <w:footnoteRef/>
      </w:r>
      <w:r>
        <w:t xml:space="preserve"> See pg. 215 in original.</w:t>
      </w:r>
    </w:p>
  </w:footnote>
  <w:footnote w:id="300">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1">
    <w:p w14:paraId="0D68CD0C" w14:textId="77777777" w:rsidR="00210409" w:rsidRDefault="00210409">
      <w:pPr>
        <w:pStyle w:val="FootnoteText"/>
      </w:pPr>
      <w:r>
        <w:rPr>
          <w:rStyle w:val="FootnoteReference"/>
        </w:rPr>
        <w:footnoteRef/>
      </w:r>
      <w:r>
        <w:t xml:space="preserve"> Assemani Bib. Orient. Tom. III.</w:t>
      </w:r>
    </w:p>
  </w:footnote>
  <w:footnote w:id="302">
    <w:p w14:paraId="0D68CD0D" w14:textId="77777777" w:rsidR="00210409" w:rsidRDefault="00210409">
      <w:pPr>
        <w:pStyle w:val="FootnoteText"/>
      </w:pPr>
      <w:r>
        <w:rPr>
          <w:rStyle w:val="FootnoteReference"/>
        </w:rPr>
        <w:footnoteRef/>
      </w:r>
      <w:r>
        <w:t xml:space="preserve"> Dictionary of Christian Biography, II, p. 194.</w:t>
      </w:r>
    </w:p>
  </w:footnote>
  <w:footnote w:id="303">
    <w:p w14:paraId="0D68CD0E" w14:textId="77777777" w:rsidR="00210409" w:rsidRDefault="00210409">
      <w:pPr>
        <w:pStyle w:val="FootnoteText"/>
      </w:pPr>
      <w:r>
        <w:rPr>
          <w:rStyle w:val="FootnoteReference"/>
        </w:rPr>
        <w:footnoteRef/>
      </w:r>
      <w:r>
        <w:t xml:space="preserve"> Ibid. IV, p. 946.</w:t>
      </w:r>
    </w:p>
  </w:footnote>
  <w:footnote w:id="304">
    <w:p w14:paraId="0D68CD0F" w14:textId="77777777" w:rsidR="00210409" w:rsidRDefault="00210409">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0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210409" w:rsidRDefault="00210409">
      <w:pPr>
        <w:pStyle w:val="FootnoteText"/>
      </w:pPr>
      <w:r>
        <w:rPr>
          <w:rStyle w:val="FootnoteReference"/>
        </w:rPr>
        <w:footnoteRef/>
      </w:r>
      <w:r>
        <w:t xml:space="preserve"> Doct. And Per. Of Christ., Div. II, Vol. 1, p. 50.</w:t>
      </w:r>
    </w:p>
  </w:footnote>
  <w:footnote w:id="307">
    <w:p w14:paraId="0D68CD12" w14:textId="77777777" w:rsidR="00210409" w:rsidRDefault="00210409">
      <w:pPr>
        <w:pStyle w:val="FootnoteText"/>
      </w:pPr>
      <w:r>
        <w:rPr>
          <w:rStyle w:val="FootnoteReference"/>
        </w:rPr>
        <w:footnoteRef/>
      </w:r>
      <w:r>
        <w:t xml:space="preserve"> Renaudot’s Oriental Liturgies, Vol. II, p. 610.</w:t>
      </w:r>
    </w:p>
  </w:footnote>
  <w:footnote w:id="308">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0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210409" w:rsidRDefault="00210409">
      <w:pPr>
        <w:pStyle w:val="FootnoteText"/>
      </w:pPr>
      <w:r>
        <w:rPr>
          <w:rStyle w:val="FootnoteReference"/>
        </w:rPr>
        <w:footnoteRef/>
      </w:r>
      <w:r>
        <w:t xml:space="preserve"> Universalism Asserted, p. 148.</w:t>
      </w:r>
    </w:p>
  </w:footnote>
  <w:footnote w:id="31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3">
    <w:p w14:paraId="0D68CD18" w14:textId="77777777" w:rsidR="00210409" w:rsidRDefault="00210409">
      <w:pPr>
        <w:pStyle w:val="FootnoteText"/>
      </w:pPr>
      <w:r>
        <w:rPr>
          <w:rStyle w:val="FootnoteReference"/>
        </w:rPr>
        <w:footnoteRef/>
      </w:r>
      <w:r>
        <w:t xml:space="preserve"> Dict. Christ. Biog. III, p. 780.</w:t>
      </w:r>
    </w:p>
  </w:footnote>
  <w:footnote w:id="31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5">
    <w:p w14:paraId="0D68CD1A" w14:textId="77777777" w:rsidR="00210409" w:rsidRDefault="00210409">
      <w:pPr>
        <w:pStyle w:val="FootnoteText"/>
      </w:pPr>
      <w:r>
        <w:rPr>
          <w:rStyle w:val="FootnoteReference"/>
        </w:rPr>
        <w:footnoteRef/>
      </w:r>
      <w:r>
        <w:t xml:space="preserve"> P. 154. Oehler’s ed. Life and Resurrection.</w:t>
      </w:r>
    </w:p>
  </w:footnote>
  <w:footnote w:id="316">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1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18">
    <w:p w14:paraId="0D68CD1D" w14:textId="77777777" w:rsidR="00210409" w:rsidRDefault="00210409">
      <w:pPr>
        <w:pStyle w:val="FootnoteText"/>
      </w:pPr>
      <w:r>
        <w:rPr>
          <w:rStyle w:val="FootnoteReference"/>
        </w:rPr>
        <w:footnoteRef/>
      </w:r>
      <w:r>
        <w:t xml:space="preserve"> History of the Church, pg. 176.</w:t>
      </w:r>
    </w:p>
  </w:footnote>
  <w:footnote w:id="319">
    <w:p w14:paraId="0D68CD1E" w14:textId="77777777" w:rsidR="00210409" w:rsidRDefault="00210409">
      <w:pPr>
        <w:pStyle w:val="FootnoteText"/>
      </w:pPr>
      <w:r>
        <w:rPr>
          <w:rStyle w:val="FootnoteReference"/>
        </w:rPr>
        <w:footnoteRef/>
      </w:r>
      <w:r>
        <w:t xml:space="preserve"> Lives of the Fathers, II, p. 451.</w:t>
      </w:r>
    </w:p>
  </w:footnote>
  <w:footnote w:id="320">
    <w:p w14:paraId="0D68CD1F" w14:textId="77777777" w:rsidR="00210409" w:rsidRDefault="00210409">
      <w:pPr>
        <w:pStyle w:val="FootnoteText"/>
      </w:pPr>
      <w:r>
        <w:rPr>
          <w:rStyle w:val="FootnoteReference"/>
        </w:rPr>
        <w:footnoteRef/>
      </w:r>
      <w:r>
        <w:t xml:space="preserve"> Ep. XLVI, Classis I, ad virginem.</w:t>
      </w:r>
    </w:p>
  </w:footnote>
  <w:footnote w:id="321">
    <w:p w14:paraId="0D68CD20" w14:textId="77777777" w:rsidR="00210409" w:rsidRDefault="00210409">
      <w:pPr>
        <w:pStyle w:val="FootnoteText"/>
      </w:pPr>
      <w:r>
        <w:rPr>
          <w:rStyle w:val="FootnoteReference"/>
        </w:rPr>
        <w:footnoteRef/>
      </w:r>
      <w:r>
        <w:t xml:space="preserve"> Cave, Lives of the Fathers, II, 397.</w:t>
      </w:r>
    </w:p>
  </w:footnote>
  <w:footnote w:id="322">
    <w:p w14:paraId="0D68CD21" w14:textId="77777777" w:rsidR="00210409" w:rsidRDefault="00210409">
      <w:pPr>
        <w:pStyle w:val="FootnoteText"/>
      </w:pPr>
      <w:r>
        <w:rPr>
          <w:rStyle w:val="FootnoteReference"/>
        </w:rPr>
        <w:footnoteRef/>
      </w:r>
      <w:r>
        <w:t xml:space="preserve"> De Ascetics.</w:t>
      </w:r>
    </w:p>
  </w:footnote>
  <w:footnote w:id="323">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24">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25">
    <w:p w14:paraId="0D68CD24" w14:textId="77777777" w:rsidR="00210409" w:rsidRDefault="00210409">
      <w:pPr>
        <w:pStyle w:val="FootnoteText"/>
      </w:pPr>
      <w:r>
        <w:rPr>
          <w:rStyle w:val="FootnoteReference"/>
        </w:rPr>
        <w:footnoteRef/>
      </w:r>
      <w:r>
        <w:t xml:space="preserve"> See original pg. 237.</w:t>
      </w:r>
    </w:p>
  </w:footnote>
  <w:footnote w:id="326">
    <w:p w14:paraId="0D68CD25" w14:textId="77777777" w:rsidR="00210409" w:rsidRDefault="00210409">
      <w:pPr>
        <w:pStyle w:val="FootnoteText"/>
      </w:pPr>
      <w:r>
        <w:rPr>
          <w:rStyle w:val="FootnoteReference"/>
        </w:rPr>
        <w:footnoteRef/>
      </w:r>
      <w:r>
        <w:t xml:space="preserve"> See pg. 238 in original.</w:t>
      </w:r>
    </w:p>
  </w:footnote>
  <w:footnote w:id="327">
    <w:p w14:paraId="0D68CD26" w14:textId="77777777" w:rsidR="00210409" w:rsidRDefault="00210409">
      <w:pPr>
        <w:pStyle w:val="FootnoteText"/>
      </w:pPr>
      <w:r>
        <w:rPr>
          <w:rStyle w:val="FootnoteReference"/>
        </w:rPr>
        <w:footnoteRef/>
      </w:r>
      <w:r>
        <w:t xml:space="preserve"> See pg. 238 in original.</w:t>
      </w:r>
    </w:p>
  </w:footnote>
  <w:footnote w:id="328">
    <w:p w14:paraId="0D68CD27" w14:textId="77777777" w:rsidR="00210409" w:rsidRDefault="00210409">
      <w:pPr>
        <w:pStyle w:val="FootnoteText"/>
      </w:pPr>
      <w:r>
        <w:rPr>
          <w:rStyle w:val="FootnoteReference"/>
        </w:rPr>
        <w:footnoteRef/>
      </w:r>
      <w:r>
        <w:t xml:space="preserve"> See pg. 238 in original.</w:t>
      </w:r>
    </w:p>
  </w:footnote>
  <w:footnote w:id="329">
    <w:p w14:paraId="0D68CD28" w14:textId="77777777" w:rsidR="00210409" w:rsidRDefault="00210409">
      <w:pPr>
        <w:pStyle w:val="FootnoteText"/>
      </w:pPr>
      <w:r>
        <w:rPr>
          <w:rStyle w:val="FootnoteReference"/>
        </w:rPr>
        <w:footnoteRef/>
      </w:r>
      <w:r>
        <w:t xml:space="preserve"> Photius, Cod., pg. 233.</w:t>
      </w:r>
    </w:p>
  </w:footnote>
  <w:footnote w:id="330">
    <w:p w14:paraId="0D68CD29" w14:textId="77777777" w:rsidR="00210409" w:rsidRDefault="00210409">
      <w:pPr>
        <w:pStyle w:val="FootnoteText"/>
      </w:pPr>
      <w:r>
        <w:rPr>
          <w:rStyle w:val="FootnoteReference"/>
        </w:rPr>
        <w:footnoteRef/>
      </w:r>
      <w:r>
        <w:t xml:space="preserve"> De Usu Patrum, lib. II, cap. 4.</w:t>
      </w:r>
    </w:p>
  </w:footnote>
  <w:footnote w:id="331">
    <w:p w14:paraId="0D68CD2A" w14:textId="77777777" w:rsidR="00210409" w:rsidRDefault="00210409">
      <w:pPr>
        <w:pStyle w:val="FootnoteText"/>
      </w:pPr>
      <w:r>
        <w:rPr>
          <w:rStyle w:val="FootnoteReference"/>
        </w:rPr>
        <w:footnoteRef/>
      </w:r>
      <w:r>
        <w:t xml:space="preserve"> Lecky’s Rationalism in Europe, I, pg. 316.</w:t>
      </w:r>
    </w:p>
  </w:footnote>
  <w:footnote w:id="332">
    <w:p w14:paraId="0D68CD2B" w14:textId="77777777" w:rsidR="00210409" w:rsidRDefault="00210409">
      <w:pPr>
        <w:pStyle w:val="FootnoteText"/>
      </w:pPr>
      <w:r>
        <w:rPr>
          <w:rStyle w:val="FootnoteReference"/>
        </w:rPr>
        <w:footnoteRef/>
      </w:r>
      <w:r>
        <w:t xml:space="preserve"> On the Psalms.</w:t>
      </w:r>
    </w:p>
  </w:footnote>
  <w:footnote w:id="333">
    <w:p w14:paraId="0D68CD2C" w14:textId="77777777" w:rsidR="00210409" w:rsidRDefault="00210409">
      <w:pPr>
        <w:pStyle w:val="FootnoteText"/>
      </w:pPr>
      <w:r>
        <w:rPr>
          <w:rStyle w:val="FootnoteReference"/>
        </w:rPr>
        <w:footnoteRef/>
      </w:r>
      <w:r>
        <w:t xml:space="preserve"> See original pg. 241. Orat. Catech.</w:t>
      </w:r>
    </w:p>
  </w:footnote>
  <w:footnote w:id="334">
    <w:p w14:paraId="0D68CD2D" w14:textId="77777777" w:rsidR="00210409" w:rsidRDefault="00210409">
      <w:pPr>
        <w:pStyle w:val="FootnoteText"/>
      </w:pPr>
      <w:r>
        <w:rPr>
          <w:rStyle w:val="FootnoteReference"/>
        </w:rPr>
        <w:footnoteRef/>
      </w:r>
      <w:r>
        <w:t xml:space="preserve"> Allin, Universalism Asserted, pg. 189.</w:t>
      </w:r>
    </w:p>
  </w:footnote>
  <w:footnote w:id="335">
    <w:p w14:paraId="0D68CD2E" w14:textId="77777777" w:rsidR="00210409" w:rsidRDefault="00210409">
      <w:pPr>
        <w:pStyle w:val="FootnoteText"/>
      </w:pPr>
      <w:r>
        <w:rPr>
          <w:rStyle w:val="FootnoteReference"/>
        </w:rPr>
        <w:footnoteRef/>
      </w:r>
      <w:r>
        <w:t xml:space="preserve"> Essays on Church and State.</w:t>
      </w:r>
    </w:p>
  </w:footnote>
  <w:footnote w:id="336">
    <w:p w14:paraId="0D68CD2F" w14:textId="77777777" w:rsidR="00210409" w:rsidRDefault="00210409">
      <w:pPr>
        <w:pStyle w:val="FootnoteText"/>
      </w:pPr>
      <w:r>
        <w:rPr>
          <w:rStyle w:val="FootnoteReference"/>
        </w:rPr>
        <w:footnoteRef/>
      </w:r>
      <w:r>
        <w:t xml:space="preserve"> Tillemont, pg. 671. Quoted by Lardner, Vol. III, pg. 273.</w:t>
      </w:r>
    </w:p>
  </w:footnote>
  <w:footnote w:id="337">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38">
    <w:p w14:paraId="0D68CD31" w14:textId="77777777" w:rsidR="00210409" w:rsidRDefault="00210409">
      <w:pPr>
        <w:pStyle w:val="FootnoteText"/>
      </w:pPr>
      <w:r>
        <w:rPr>
          <w:rStyle w:val="FootnoteReference"/>
        </w:rPr>
        <w:footnoteRef/>
      </w:r>
      <w:r>
        <w:t xml:space="preserve"> On Psalm 37.</w:t>
      </w:r>
    </w:p>
  </w:footnote>
  <w:footnote w:id="339">
    <w:p w14:paraId="0D68CD32" w14:textId="77777777" w:rsidR="00210409" w:rsidRDefault="00210409">
      <w:pPr>
        <w:pStyle w:val="FootnoteText"/>
      </w:pPr>
      <w:r>
        <w:rPr>
          <w:rStyle w:val="FootnoteReference"/>
        </w:rPr>
        <w:footnoteRef/>
      </w:r>
      <w:r>
        <w:t xml:space="preserve"> Epis. Lib. 1.</w:t>
      </w:r>
    </w:p>
  </w:footnote>
  <w:footnote w:id="340">
    <w:p w14:paraId="0D68CD33" w14:textId="77777777" w:rsidR="00210409" w:rsidRDefault="00210409">
      <w:pPr>
        <w:pStyle w:val="FootnoteText"/>
      </w:pPr>
      <w:r>
        <w:rPr>
          <w:rStyle w:val="FootnoteReference"/>
        </w:rPr>
        <w:footnoteRef/>
      </w:r>
      <w:r>
        <w:t xml:space="preserve"> De Fide.</w:t>
      </w:r>
    </w:p>
  </w:footnote>
  <w:footnote w:id="341">
    <w:p w14:paraId="0D68CD34" w14:textId="77777777" w:rsidR="00210409" w:rsidRDefault="00210409">
      <w:pPr>
        <w:pStyle w:val="FootnoteText"/>
      </w:pPr>
      <w:r>
        <w:rPr>
          <w:rStyle w:val="FootnoteReference"/>
        </w:rPr>
        <w:footnoteRef/>
      </w:r>
      <w:r>
        <w:t xml:space="preserve"> On Psalm 62.</w:t>
      </w:r>
    </w:p>
  </w:footnote>
  <w:footnote w:id="342">
    <w:p w14:paraId="0D68CD35" w14:textId="77777777" w:rsidR="00210409" w:rsidRDefault="00210409">
      <w:pPr>
        <w:pStyle w:val="FootnoteText"/>
      </w:pPr>
      <w:r>
        <w:rPr>
          <w:rStyle w:val="FootnoteReference"/>
        </w:rPr>
        <w:footnoteRef/>
      </w:r>
      <w:r>
        <w:t xml:space="preserve"> On Luke 15:3.</w:t>
      </w:r>
    </w:p>
  </w:footnote>
  <w:footnote w:id="343">
    <w:p w14:paraId="0D68CD36" w14:textId="77777777" w:rsidR="00210409" w:rsidRDefault="00210409">
      <w:pPr>
        <w:pStyle w:val="FootnoteText"/>
      </w:pPr>
      <w:r>
        <w:rPr>
          <w:rStyle w:val="FootnoteReference"/>
        </w:rPr>
        <w:footnoteRef/>
      </w:r>
      <w:r>
        <w:t xml:space="preserve"> Blessing of Death, Chapter 7.</w:t>
      </w:r>
    </w:p>
  </w:footnote>
  <w:footnote w:id="344">
    <w:p w14:paraId="0D68CD37" w14:textId="77777777" w:rsidR="00210409" w:rsidRDefault="00210409">
      <w:pPr>
        <w:pStyle w:val="FootnoteText"/>
      </w:pPr>
      <w:r>
        <w:rPr>
          <w:rStyle w:val="FootnoteReference"/>
        </w:rPr>
        <w:footnoteRef/>
      </w:r>
      <w:r>
        <w:t xml:space="preserve"> Conf. vi, 3, Ep. xivii, 1.</w:t>
      </w:r>
    </w:p>
  </w:footnote>
  <w:footnote w:id="34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46">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47">
    <w:p w14:paraId="0D68CD3A" w14:textId="77777777" w:rsidR="00210409" w:rsidRDefault="00210409">
      <w:pPr>
        <w:pStyle w:val="FootnoteText"/>
      </w:pPr>
      <w:r>
        <w:rPr>
          <w:rStyle w:val="FootnoteReference"/>
        </w:rPr>
        <w:footnoteRef/>
      </w:r>
      <w:r>
        <w:t xml:space="preserve"> Adv. Man., Ch. iv.</w:t>
      </w:r>
    </w:p>
  </w:footnote>
  <w:footnote w:id="348">
    <w:p w14:paraId="0D68CD3B" w14:textId="77777777" w:rsidR="00210409" w:rsidRDefault="00210409">
      <w:pPr>
        <w:pStyle w:val="FootnoteText"/>
      </w:pPr>
      <w:r>
        <w:rPr>
          <w:rStyle w:val="FootnoteReference"/>
        </w:rPr>
        <w:footnoteRef/>
      </w:r>
      <w:r>
        <w:t xml:space="preserve"> Not. et Frag., xix.</w:t>
      </w:r>
    </w:p>
  </w:footnote>
  <w:footnote w:id="349">
    <w:p w14:paraId="0D68CD3C" w14:textId="77777777" w:rsidR="00210409" w:rsidRDefault="00210409">
      <w:pPr>
        <w:pStyle w:val="FootnoteText"/>
      </w:pPr>
      <w:r>
        <w:rPr>
          <w:rStyle w:val="FootnoteReference"/>
        </w:rPr>
        <w:footnoteRef/>
      </w:r>
      <w:r>
        <w:t xml:space="preserve"> Adv. Arium, lib. I:25, Migne, viii, p. 1059.</w:t>
      </w:r>
    </w:p>
  </w:footnote>
  <w:footnote w:id="350">
    <w:p w14:paraId="0D68CD3D" w14:textId="77777777" w:rsidR="00210409" w:rsidRDefault="00210409">
      <w:pPr>
        <w:pStyle w:val="FootnoteText"/>
      </w:pPr>
      <w:r>
        <w:rPr>
          <w:rStyle w:val="FootnoteReference"/>
        </w:rPr>
        <w:footnoteRef/>
      </w:r>
      <w:r>
        <w:t xml:space="preserve"> De Trin. lib. IX.</w:t>
      </w:r>
    </w:p>
  </w:footnote>
  <w:footnote w:id="351">
    <w:p w14:paraId="0D68CD3E" w14:textId="77777777" w:rsidR="00210409" w:rsidRDefault="00210409">
      <w:pPr>
        <w:pStyle w:val="FootnoteText"/>
      </w:pPr>
      <w:r>
        <w:rPr>
          <w:rStyle w:val="FootnoteReference"/>
        </w:rPr>
        <w:footnoteRef/>
      </w:r>
      <w:r>
        <w:t xml:space="preserve"> Hist. Christ Ch., ii:628. Hist. Christ. Dogmas, ii:877.</w:t>
      </w:r>
    </w:p>
  </w:footnote>
  <w:footnote w:id="352">
    <w:p w14:paraId="0D68CD3F" w14:textId="77777777" w:rsidR="00210409" w:rsidRDefault="00210409">
      <w:pPr>
        <w:pStyle w:val="FootnoteText"/>
      </w:pPr>
      <w:r>
        <w:rPr>
          <w:rStyle w:val="FootnoteReference"/>
        </w:rPr>
        <w:footnoteRef/>
      </w:r>
      <w:r>
        <w:t xml:space="preserve"> Migne, lxxxii, pg. 360.</w:t>
      </w:r>
    </w:p>
  </w:footnote>
  <w:footnote w:id="353">
    <w:p w14:paraId="0D68CD40" w14:textId="77777777" w:rsidR="00210409" w:rsidRDefault="00210409">
      <w:pPr>
        <w:pStyle w:val="FootnoteText"/>
      </w:pPr>
      <w:r>
        <w:rPr>
          <w:rStyle w:val="FootnoteReference"/>
        </w:rPr>
        <w:footnoteRef/>
      </w:r>
      <w:r>
        <w:t xml:space="preserve"> Homilia. Pasch. xx. Migne, lxxvii.</w:t>
      </w:r>
    </w:p>
  </w:footnote>
  <w:footnote w:id="354">
    <w:p w14:paraId="0D68CD41" w14:textId="77777777" w:rsidR="00210409" w:rsidRDefault="00210409">
      <w:pPr>
        <w:pStyle w:val="FootnoteText"/>
      </w:pPr>
      <w:r>
        <w:rPr>
          <w:rStyle w:val="FootnoteReference"/>
        </w:rPr>
        <w:footnoteRef/>
      </w:r>
      <w:r>
        <w:t xml:space="preserve"> Glaph. in Ex., lib. II.</w:t>
      </w:r>
    </w:p>
  </w:footnote>
  <w:footnote w:id="355">
    <w:p w14:paraId="0D68CD42" w14:textId="77777777" w:rsidR="00210409" w:rsidRDefault="00210409">
      <w:pPr>
        <w:pStyle w:val="FootnoteText"/>
      </w:pPr>
      <w:r>
        <w:rPr>
          <w:rStyle w:val="FootnoteReference"/>
        </w:rPr>
        <w:footnoteRef/>
      </w:r>
      <w:r>
        <w:t xml:space="preserve"> Origen. II, p. 160.</w:t>
      </w:r>
    </w:p>
  </w:footnote>
  <w:footnote w:id="356">
    <w:p w14:paraId="0D68CD43" w14:textId="77777777" w:rsidR="00210409" w:rsidRDefault="00210409">
      <w:pPr>
        <w:pStyle w:val="FootnoteText"/>
      </w:pPr>
      <w:r>
        <w:rPr>
          <w:rStyle w:val="FootnoteReference"/>
        </w:rPr>
        <w:footnoteRef/>
      </w:r>
      <w:r>
        <w:t xml:space="preserve"> Anc. Hist. Univ., pg. 265.</w:t>
      </w:r>
    </w:p>
  </w:footnote>
  <w:footnote w:id="357">
    <w:p w14:paraId="0D68CD44" w14:textId="77777777" w:rsidR="00210409" w:rsidRDefault="00210409">
      <w:pPr>
        <w:pStyle w:val="FootnoteText"/>
      </w:pPr>
      <w:r>
        <w:rPr>
          <w:rStyle w:val="FootnoteReference"/>
        </w:rPr>
        <w:footnoteRef/>
      </w:r>
      <w:r>
        <w:t xml:space="preserve"> Assemani Bib. Orientalis, III, pg. 324.</w:t>
      </w:r>
    </w:p>
  </w:footnote>
  <w:footnote w:id="358">
    <w:p w14:paraId="0D68CD45" w14:textId="77777777" w:rsidR="00210409" w:rsidRDefault="00210409">
      <w:pPr>
        <w:pStyle w:val="FootnoteText"/>
      </w:pPr>
      <w:r>
        <w:rPr>
          <w:rStyle w:val="FootnoteReference"/>
        </w:rPr>
        <w:footnoteRef/>
      </w:r>
      <w:r>
        <w:t xml:space="preserve"> Robertson’s Hist. Christ. Ch. I, pg. 455.</w:t>
      </w:r>
    </w:p>
  </w:footnote>
  <w:footnote w:id="359">
    <w:p w14:paraId="0D68CD46" w14:textId="77777777" w:rsidR="00210409" w:rsidRDefault="00210409">
      <w:pPr>
        <w:pStyle w:val="FootnoteText"/>
      </w:pPr>
      <w:r>
        <w:rPr>
          <w:rStyle w:val="FootnoteReference"/>
        </w:rPr>
        <w:footnoteRef/>
      </w:r>
      <w:r>
        <w:t xml:space="preserve"> What is of Faith, pg. 231.</w:t>
      </w:r>
    </w:p>
  </w:footnote>
  <w:footnote w:id="360">
    <w:p w14:paraId="0D68CD47" w14:textId="77777777" w:rsidR="00210409" w:rsidRDefault="00210409">
      <w:pPr>
        <w:pStyle w:val="FootnoteText"/>
      </w:pPr>
      <w:r>
        <w:rPr>
          <w:rStyle w:val="FootnoteReference"/>
        </w:rPr>
        <w:footnoteRef/>
      </w:r>
      <w:r>
        <w:t xml:space="preserve"> Assemani Bibl. Orient., II, pg. 291.</w:t>
      </w:r>
    </w:p>
  </w:footnote>
  <w:footnote w:id="361">
    <w:p w14:paraId="0D68CD48" w14:textId="77777777" w:rsidR="00210409" w:rsidRDefault="00210409">
      <w:pPr>
        <w:pStyle w:val="FootnoteText"/>
      </w:pPr>
      <w:r>
        <w:rPr>
          <w:rStyle w:val="FootnoteReference"/>
        </w:rPr>
        <w:footnoteRef/>
      </w:r>
      <w:r>
        <w:t xml:space="preserve"> Hipp. and His Age.</w:t>
      </w:r>
    </w:p>
  </w:footnote>
  <w:footnote w:id="36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3">
    <w:p w14:paraId="0D68CD4A" w14:textId="77777777" w:rsidR="00210409" w:rsidRDefault="00210409">
      <w:pPr>
        <w:pStyle w:val="FootnoteText"/>
      </w:pPr>
      <w:r>
        <w:rPr>
          <w:rStyle w:val="FootnoteReference"/>
        </w:rPr>
        <w:footnoteRef/>
      </w:r>
      <w:r>
        <w:t xml:space="preserve"> Epist. xxxiii. Migne Vol. XXII.</w:t>
      </w:r>
    </w:p>
  </w:footnote>
  <w:footnote w:id="364">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5">
    <w:p w14:paraId="0D68CD4C" w14:textId="77777777" w:rsidR="00210409" w:rsidRDefault="00210409">
      <w:pPr>
        <w:pStyle w:val="FootnoteText"/>
      </w:pPr>
      <w:r>
        <w:rPr>
          <w:rStyle w:val="FootnoteReference"/>
        </w:rPr>
        <w:footnoteRef/>
      </w:r>
      <w:r>
        <w:t xml:space="preserve"> Commentary on Amos.</w:t>
      </w:r>
    </w:p>
  </w:footnote>
  <w:footnote w:id="366">
    <w:p w14:paraId="0D68CD4D" w14:textId="77777777" w:rsidR="00210409" w:rsidRDefault="00210409">
      <w:pPr>
        <w:pStyle w:val="FootnoteText"/>
      </w:pPr>
      <w:r>
        <w:rPr>
          <w:rStyle w:val="FootnoteReference"/>
        </w:rPr>
        <w:footnoteRef/>
      </w:r>
      <w:r>
        <w:t xml:space="preserve"> “alterum post apostolum ecclesarium magistrum.”</w:t>
      </w:r>
    </w:p>
  </w:footnote>
  <w:footnote w:id="367">
    <w:p w14:paraId="0D68CD4E" w14:textId="77777777" w:rsidR="00210409" w:rsidRDefault="00210409">
      <w:pPr>
        <w:pStyle w:val="FootnoteText"/>
      </w:pPr>
      <w:r>
        <w:rPr>
          <w:rStyle w:val="FootnoteReference"/>
        </w:rPr>
        <w:footnoteRef/>
      </w:r>
      <w:r>
        <w:t xml:space="preserve"> He calls Origen “that immortal intellect.”</w:t>
      </w:r>
    </w:p>
  </w:footnote>
  <w:footnote w:id="368">
    <w:p w14:paraId="0D68CD4F" w14:textId="77777777" w:rsidR="00210409" w:rsidRDefault="00210409">
      <w:pPr>
        <w:pStyle w:val="FootnoteText"/>
      </w:pPr>
      <w:r>
        <w:rPr>
          <w:rStyle w:val="FootnoteReference"/>
        </w:rPr>
        <w:footnoteRef/>
      </w:r>
      <w:r>
        <w:t xml:space="preserve"> Universalist Quarterly, May, 1838.</w:t>
      </w:r>
    </w:p>
  </w:footnote>
  <w:footnote w:id="369">
    <w:p w14:paraId="0D68CD50" w14:textId="77777777" w:rsidR="00210409" w:rsidRDefault="00210409">
      <w:pPr>
        <w:pStyle w:val="FootnoteText"/>
      </w:pPr>
      <w:r>
        <w:rPr>
          <w:rStyle w:val="FootnoteReference"/>
        </w:rPr>
        <w:footnoteRef/>
      </w:r>
      <w:r>
        <w:t xml:space="preserve"> Homily IX on I Cor. 3:12-18.</w:t>
      </w:r>
    </w:p>
  </w:footnote>
  <w:footnote w:id="370">
    <w:p w14:paraId="0D68CD51" w14:textId="77777777" w:rsidR="00210409" w:rsidRDefault="00210409">
      <w:pPr>
        <w:pStyle w:val="FootnoteText"/>
      </w:pPr>
      <w:r>
        <w:rPr>
          <w:rStyle w:val="FootnoteReference"/>
        </w:rPr>
        <w:footnoteRef/>
      </w:r>
      <w:r>
        <w:t xml:space="preserve"> Homily XI on I Cor. 4:3.</w:t>
      </w:r>
    </w:p>
  </w:footnote>
  <w:footnote w:id="371">
    <w:p w14:paraId="0D68CD52" w14:textId="77777777" w:rsidR="00210409" w:rsidRDefault="00210409">
      <w:pPr>
        <w:pStyle w:val="FootnoteText"/>
      </w:pPr>
      <w:r>
        <w:rPr>
          <w:rStyle w:val="FootnoteReference"/>
        </w:rPr>
        <w:footnoteRef/>
      </w:r>
      <w:r>
        <w:t xml:space="preserve"> Sermon xxxiv; on Psalm 148; Sermon xxx.</w:t>
      </w:r>
    </w:p>
  </w:footnote>
  <w:footnote w:id="372">
    <w:p w14:paraId="0D68CD53" w14:textId="77777777" w:rsidR="00210409" w:rsidRDefault="00210409">
      <w:pPr>
        <w:pStyle w:val="FootnoteText"/>
      </w:pPr>
      <w:r>
        <w:rPr>
          <w:rStyle w:val="FootnoteReference"/>
        </w:rPr>
        <w:footnoteRef/>
      </w:r>
      <w:r>
        <w:t xml:space="preserve"> Confessions, III, Chap. i-iii.</w:t>
      </w:r>
    </w:p>
  </w:footnote>
  <w:footnote w:id="373">
    <w:p w14:paraId="0D68CD54" w14:textId="77777777" w:rsidR="00210409" w:rsidRDefault="00210409">
      <w:pPr>
        <w:pStyle w:val="FootnoteText"/>
      </w:pPr>
      <w:r>
        <w:rPr>
          <w:rStyle w:val="FootnoteReference"/>
        </w:rPr>
        <w:footnoteRef/>
      </w:r>
      <w:r>
        <w:t xml:space="preserve"> Robert Burns’ Address to the De’il.</w:t>
      </w:r>
    </w:p>
  </w:footnote>
  <w:footnote w:id="374">
    <w:p w14:paraId="0D68CD55" w14:textId="77777777" w:rsidR="00210409" w:rsidRDefault="00210409">
      <w:pPr>
        <w:pStyle w:val="FootnoteText"/>
      </w:pPr>
      <w:r>
        <w:rPr>
          <w:rStyle w:val="FootnoteReference"/>
        </w:rPr>
        <w:footnoteRef/>
      </w:r>
      <w:r>
        <w:t xml:space="preserve"> Conspersio damnata, massa perditionis.</w:t>
      </w:r>
    </w:p>
  </w:footnote>
  <w:footnote w:id="375">
    <w:p w14:paraId="0D68CD56" w14:textId="77777777" w:rsidR="00210409" w:rsidRDefault="00210409">
      <w:pPr>
        <w:pStyle w:val="FootnoteText"/>
      </w:pPr>
      <w:r>
        <w:rPr>
          <w:rStyle w:val="FootnoteReference"/>
        </w:rPr>
        <w:footnoteRef/>
      </w:r>
      <w:r>
        <w:t xml:space="preserve"> Allen, Cont. Christ. Thought.</w:t>
      </w:r>
    </w:p>
  </w:footnote>
  <w:footnote w:id="376">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77">
    <w:p w14:paraId="0D68CD58" w14:textId="77777777" w:rsidR="00210409" w:rsidRDefault="00210409">
      <w:pPr>
        <w:pStyle w:val="FootnoteText"/>
      </w:pPr>
      <w:r>
        <w:rPr>
          <w:rStyle w:val="FootnoteReference"/>
        </w:rPr>
        <w:footnoteRef/>
      </w:r>
      <w:r>
        <w:t xml:space="preserve"> Misercordibus nostris. De Civ., Dei., xxi:17.</w:t>
      </w:r>
    </w:p>
  </w:footnote>
  <w:footnote w:id="378">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79">
    <w:p w14:paraId="0D68CD5A" w14:textId="77777777" w:rsidR="00210409" w:rsidRPr="00AF07A4" w:rsidRDefault="00210409">
      <w:pPr>
        <w:pStyle w:val="FootnoteText"/>
      </w:pPr>
      <w:r>
        <w:rPr>
          <w:rStyle w:val="FootnoteReference"/>
        </w:rPr>
        <w:footnoteRef/>
      </w:r>
      <w:r>
        <w:t xml:space="preserve"> See Preface to Confessions.</w:t>
      </w:r>
    </w:p>
  </w:footnote>
  <w:footnote w:id="380">
    <w:p w14:paraId="0D68CD5B" w14:textId="77777777" w:rsidR="00210409" w:rsidRDefault="00210409">
      <w:pPr>
        <w:pStyle w:val="FootnoteText"/>
      </w:pPr>
      <w:r>
        <w:rPr>
          <w:rStyle w:val="FootnoteReference"/>
        </w:rPr>
        <w:footnoteRef/>
      </w:r>
      <w:r>
        <w:t xml:space="preserve"> Latin Christ. I.</w:t>
      </w:r>
    </w:p>
  </w:footnote>
  <w:footnote w:id="381">
    <w:p w14:paraId="0D68CD5C" w14:textId="77777777" w:rsidR="00210409" w:rsidRDefault="00210409">
      <w:pPr>
        <w:pStyle w:val="FootnoteText"/>
      </w:pPr>
      <w:r>
        <w:rPr>
          <w:rStyle w:val="FootnoteReference"/>
        </w:rPr>
        <w:footnoteRef/>
      </w:r>
      <w:r>
        <w:t xml:space="preserve"> Allen, Cont. Christ. Thought, pg. 156.</w:t>
      </w:r>
    </w:p>
  </w:footnote>
  <w:footnote w:id="382">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3">
    <w:p w14:paraId="0D68CD5E" w14:textId="77777777" w:rsidR="00210409" w:rsidRDefault="00210409">
      <w:pPr>
        <w:pStyle w:val="FootnoteText"/>
      </w:pPr>
      <w:r>
        <w:rPr>
          <w:rStyle w:val="FootnoteReference"/>
        </w:rPr>
        <w:footnoteRef/>
      </w:r>
      <w:r>
        <w:t xml:space="preserve"> De Civ. Del. “non redarguo, quia forsitan verum est.”</w:t>
      </w:r>
    </w:p>
  </w:footnote>
  <w:footnote w:id="384">
    <w:p w14:paraId="0D68CD5F" w14:textId="77777777" w:rsidR="00210409" w:rsidRDefault="00210409">
      <w:pPr>
        <w:pStyle w:val="FootnoteText"/>
      </w:pPr>
      <w:r>
        <w:rPr>
          <w:rStyle w:val="FootnoteReference"/>
        </w:rPr>
        <w:footnoteRef/>
      </w:r>
      <w:r>
        <w:t xml:space="preserve"> Latin Christianity, I, 127.</w:t>
      </w:r>
    </w:p>
  </w:footnote>
  <w:footnote w:id="385">
    <w:p w14:paraId="0D68CD60" w14:textId="77777777" w:rsidR="00210409" w:rsidRDefault="00210409">
      <w:pPr>
        <w:pStyle w:val="FootnoteText"/>
      </w:pPr>
      <w:r>
        <w:rPr>
          <w:rStyle w:val="FootnoteReference"/>
        </w:rPr>
        <w:footnoteRef/>
      </w:r>
      <w:r>
        <w:t xml:space="preserve"> Farrar’s Lives of the Fathers.</w:t>
      </w:r>
    </w:p>
  </w:footnote>
  <w:footnote w:id="386">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87">
    <w:p w14:paraId="0D68CD62" w14:textId="77777777" w:rsidR="00210409" w:rsidRDefault="00210409">
      <w:pPr>
        <w:pStyle w:val="FootnoteText"/>
      </w:pPr>
      <w:r>
        <w:rPr>
          <w:rStyle w:val="FootnoteReference"/>
        </w:rPr>
        <w:footnoteRef/>
      </w:r>
      <w:r>
        <w:t xml:space="preserve"> Nicephorus, Eccle. Hist., xvii: 27. Hefele, iv: 220.</w:t>
      </w:r>
    </w:p>
  </w:footnote>
  <w:footnote w:id="388">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89">
    <w:p w14:paraId="0D68CD64" w14:textId="77777777" w:rsidR="00210409" w:rsidRDefault="00210409">
      <w:pPr>
        <w:pStyle w:val="FootnoteText"/>
      </w:pPr>
      <w:r>
        <w:rPr>
          <w:rStyle w:val="FootnoteReference"/>
        </w:rPr>
        <w:footnoteRef/>
      </w:r>
      <w:r>
        <w:t xml:space="preserve"> Vol. I, pg. 282. Ideler’s edition.</w:t>
      </w:r>
    </w:p>
  </w:footnote>
  <w:footnote w:id="390">
    <w:p w14:paraId="0D68CD65" w14:textId="77777777" w:rsidR="00210409" w:rsidRDefault="00210409">
      <w:pPr>
        <w:pStyle w:val="FootnoteText"/>
      </w:pPr>
      <w:r>
        <w:rPr>
          <w:rStyle w:val="FootnoteReference"/>
        </w:rPr>
        <w:footnoteRef/>
      </w:r>
      <w:r>
        <w:t xml:space="preserve"> See pg. 284 in original.</w:t>
      </w:r>
    </w:p>
  </w:footnote>
  <w:footnote w:id="391">
    <w:p w14:paraId="0D68CD66" w14:textId="77777777" w:rsidR="00210409" w:rsidRDefault="00210409">
      <w:pPr>
        <w:pStyle w:val="FootnoteText"/>
      </w:pPr>
      <w:r>
        <w:rPr>
          <w:rStyle w:val="FootnoteReference"/>
        </w:rPr>
        <w:footnoteRef/>
      </w:r>
      <w:r>
        <w:t xml:space="preserve"> Landon, pp. 177-8.</w:t>
      </w:r>
    </w:p>
  </w:footnote>
  <w:footnote w:id="392">
    <w:p w14:paraId="0D68CD67" w14:textId="77777777" w:rsidR="00210409" w:rsidRDefault="00210409">
      <w:pPr>
        <w:pStyle w:val="FootnoteText"/>
      </w:pPr>
      <w:r>
        <w:rPr>
          <w:rStyle w:val="FootnoteReference"/>
        </w:rPr>
        <w:footnoteRef/>
      </w:r>
      <w:r>
        <w:t xml:space="preserve"> Landon, Manual of Councils, London, 1846, pg. 174.</w:t>
      </w:r>
    </w:p>
  </w:footnote>
  <w:footnote w:id="393">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4">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395">
    <w:p w14:paraId="0D68CD6A" w14:textId="77777777" w:rsidR="00210409" w:rsidRDefault="00210409">
      <w:pPr>
        <w:pStyle w:val="FootnoteText"/>
      </w:pPr>
      <w:r>
        <w:rPr>
          <w:rStyle w:val="FootnoteReference"/>
        </w:rPr>
        <w:footnoteRef/>
      </w:r>
      <w:r>
        <w:t xml:space="preserve"> See pg. 288 in original.</w:t>
      </w:r>
    </w:p>
  </w:footnote>
  <w:footnote w:id="39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7">
    <w:p w14:paraId="0D68CD6C" w14:textId="77777777" w:rsidR="00210409" w:rsidRDefault="00210409">
      <w:pPr>
        <w:pStyle w:val="FootnoteText"/>
      </w:pPr>
      <w:r>
        <w:rPr>
          <w:rStyle w:val="FootnoteReference"/>
        </w:rPr>
        <w:footnoteRef/>
      </w:r>
      <w:r>
        <w:t xml:space="preserve"> Latin Christ. I, pg. 227.</w:t>
      </w:r>
    </w:p>
  </w:footnote>
  <w:footnote w:id="398">
    <w:p w14:paraId="0D68CD6D" w14:textId="77777777" w:rsidR="00210409" w:rsidRDefault="00210409">
      <w:pPr>
        <w:pStyle w:val="FootnoteText"/>
      </w:pPr>
      <w:r>
        <w:rPr>
          <w:rStyle w:val="FootnoteReference"/>
        </w:rPr>
        <w:footnoteRef/>
      </w:r>
      <w:r>
        <w:t xml:space="preserve"> Outlines Hist. Dog., pp. 204, 208, 320, 323.</w:t>
      </w:r>
    </w:p>
  </w:footnote>
  <w:footnote w:id="399">
    <w:p w14:paraId="0D68CD6E" w14:textId="77777777" w:rsidR="00210409" w:rsidRDefault="00210409">
      <w:pPr>
        <w:pStyle w:val="FootnoteText"/>
      </w:pPr>
      <w:r>
        <w:rPr>
          <w:rStyle w:val="FootnoteReference"/>
        </w:rPr>
        <w:footnoteRef/>
      </w:r>
      <w:r>
        <w:t xml:space="preserve"> Sozomen, Eccl. Hist.; Gibbon, Decline and Fall.</w:t>
      </w:r>
    </w:p>
  </w:footnote>
  <w:footnote w:id="40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1">
    <w:p w14:paraId="0D68CD70" w14:textId="77777777" w:rsidR="00210409" w:rsidRDefault="00210409">
      <w:pPr>
        <w:pStyle w:val="FootnoteText"/>
      </w:pPr>
      <w:r>
        <w:rPr>
          <w:rStyle w:val="FootnoteReference"/>
        </w:rPr>
        <w:footnoteRef/>
      </w:r>
      <w:r>
        <w:t xml:space="preserve"> Alexandria and her Schools.</w:t>
      </w:r>
    </w:p>
  </w:footnote>
  <w:footnote w:id="402">
    <w:p w14:paraId="0D68CD71" w14:textId="77777777" w:rsidR="00210409" w:rsidRDefault="00210409">
      <w:pPr>
        <w:pStyle w:val="FootnoteText"/>
      </w:pPr>
      <w:r>
        <w:rPr>
          <w:rStyle w:val="FootnoteReference"/>
        </w:rPr>
        <w:footnoteRef/>
      </w:r>
      <w:r>
        <w:t xml:space="preserve"> Rev. S. S. Hebberd.</w:t>
      </w:r>
    </w:p>
  </w:footnote>
  <w:footnote w:id="403">
    <w:p w14:paraId="0D68CD72" w14:textId="77777777" w:rsidR="00210409" w:rsidRDefault="00210409">
      <w:pPr>
        <w:pStyle w:val="FootnoteText"/>
      </w:pPr>
      <w:r>
        <w:rPr>
          <w:rStyle w:val="FootnoteReference"/>
        </w:rPr>
        <w:footnoteRef/>
      </w:r>
      <w:r>
        <w:t xml:space="preserve"> Rev. S. Crane, D.D., in The Universalist.</w:t>
      </w:r>
    </w:p>
  </w:footnote>
  <w:footnote w:id="404">
    <w:p w14:paraId="0D68CD73" w14:textId="77777777" w:rsidR="00210409" w:rsidRDefault="00210409">
      <w:pPr>
        <w:pStyle w:val="FootnoteText"/>
      </w:pPr>
      <w:r>
        <w:rPr>
          <w:rStyle w:val="FootnoteReference"/>
        </w:rPr>
        <w:footnoteRef/>
      </w:r>
      <w:r>
        <w:t xml:space="preserve"> Grimm’s Michael Angelo.</w:t>
      </w:r>
    </w:p>
  </w:footnote>
  <w:footnote w:id="40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0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2"/>
  </w:num>
  <w:num w:numId="2">
    <w:abstractNumId w:val="7"/>
  </w:num>
  <w:num w:numId="3">
    <w:abstractNumId w:val="4"/>
  </w:num>
  <w:num w:numId="4">
    <w:abstractNumId w:val="1"/>
  </w:num>
  <w:num w:numId="5">
    <w:abstractNumId w:val="3"/>
  </w:num>
  <w:num w:numId="6">
    <w:abstractNumId w:val="11"/>
  </w:num>
  <w:num w:numId="7">
    <w:abstractNumId w:val="5"/>
  </w:num>
  <w:num w:numId="8">
    <w:abstractNumId w:val="14"/>
  </w:num>
  <w:num w:numId="9">
    <w:abstractNumId w:val="10"/>
  </w:num>
  <w:num w:numId="10">
    <w:abstractNumId w:val="9"/>
  </w:num>
  <w:num w:numId="11">
    <w:abstractNumId w:val="6"/>
  </w:num>
  <w:num w:numId="12">
    <w:abstractNumId w:val="13"/>
  </w:num>
  <w:num w:numId="13">
    <w:abstractNumId w:val="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0E3C62"/>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10409"/>
    <w:rsid w:val="002338CC"/>
    <w:rsid w:val="00252D1D"/>
    <w:rsid w:val="00255D50"/>
    <w:rsid w:val="00262CFE"/>
    <w:rsid w:val="00281C07"/>
    <w:rsid w:val="00286DAF"/>
    <w:rsid w:val="00297106"/>
    <w:rsid w:val="00297E00"/>
    <w:rsid w:val="002A3283"/>
    <w:rsid w:val="002E14E1"/>
    <w:rsid w:val="002F5DC5"/>
    <w:rsid w:val="003134B6"/>
    <w:rsid w:val="003219D1"/>
    <w:rsid w:val="00334E59"/>
    <w:rsid w:val="00362398"/>
    <w:rsid w:val="0038627A"/>
    <w:rsid w:val="003B0272"/>
    <w:rsid w:val="003B0386"/>
    <w:rsid w:val="003B3BFF"/>
    <w:rsid w:val="003B5022"/>
    <w:rsid w:val="003C1FA3"/>
    <w:rsid w:val="003C4770"/>
    <w:rsid w:val="003E0ABE"/>
    <w:rsid w:val="003F0D03"/>
    <w:rsid w:val="0040099B"/>
    <w:rsid w:val="00401F4C"/>
    <w:rsid w:val="00436485"/>
    <w:rsid w:val="004516FD"/>
    <w:rsid w:val="00456846"/>
    <w:rsid w:val="00463BB7"/>
    <w:rsid w:val="00476994"/>
    <w:rsid w:val="0047774A"/>
    <w:rsid w:val="0048014E"/>
    <w:rsid w:val="0049273A"/>
    <w:rsid w:val="004A2888"/>
    <w:rsid w:val="004A3C3F"/>
    <w:rsid w:val="004C2AB3"/>
    <w:rsid w:val="004C5AAD"/>
    <w:rsid w:val="004E3BF8"/>
    <w:rsid w:val="00524ECB"/>
    <w:rsid w:val="00526CC2"/>
    <w:rsid w:val="00540B03"/>
    <w:rsid w:val="00556C34"/>
    <w:rsid w:val="00580870"/>
    <w:rsid w:val="00596BAE"/>
    <w:rsid w:val="00597B90"/>
    <w:rsid w:val="005C36DC"/>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E12"/>
    <w:rsid w:val="007638B5"/>
    <w:rsid w:val="0077208A"/>
    <w:rsid w:val="00773A96"/>
    <w:rsid w:val="007B2444"/>
    <w:rsid w:val="007C358B"/>
    <w:rsid w:val="007E65C8"/>
    <w:rsid w:val="007F461A"/>
    <w:rsid w:val="00807897"/>
    <w:rsid w:val="00854D0A"/>
    <w:rsid w:val="00891AD9"/>
    <w:rsid w:val="00893A88"/>
    <w:rsid w:val="008B0EB8"/>
    <w:rsid w:val="008D501A"/>
    <w:rsid w:val="008D7A39"/>
    <w:rsid w:val="008E22ED"/>
    <w:rsid w:val="008E649C"/>
    <w:rsid w:val="008F5FC7"/>
    <w:rsid w:val="00907104"/>
    <w:rsid w:val="009240DE"/>
    <w:rsid w:val="00925C64"/>
    <w:rsid w:val="00932DC8"/>
    <w:rsid w:val="00934383"/>
    <w:rsid w:val="00937100"/>
    <w:rsid w:val="00986F4A"/>
    <w:rsid w:val="009A321E"/>
    <w:rsid w:val="00A24A03"/>
    <w:rsid w:val="00A368B9"/>
    <w:rsid w:val="00A370DF"/>
    <w:rsid w:val="00A70522"/>
    <w:rsid w:val="00A87C57"/>
    <w:rsid w:val="00A94C44"/>
    <w:rsid w:val="00AA46F5"/>
    <w:rsid w:val="00AB6F4D"/>
    <w:rsid w:val="00AC2BF9"/>
    <w:rsid w:val="00AF07A4"/>
    <w:rsid w:val="00B126CC"/>
    <w:rsid w:val="00B17CCB"/>
    <w:rsid w:val="00B21BF9"/>
    <w:rsid w:val="00B342DC"/>
    <w:rsid w:val="00B456D4"/>
    <w:rsid w:val="00B728FA"/>
    <w:rsid w:val="00B86AE9"/>
    <w:rsid w:val="00BA51ED"/>
    <w:rsid w:val="00BB534C"/>
    <w:rsid w:val="00BC003A"/>
    <w:rsid w:val="00BC3C16"/>
    <w:rsid w:val="00BC725B"/>
    <w:rsid w:val="00BC7E06"/>
    <w:rsid w:val="00C04506"/>
    <w:rsid w:val="00C07A79"/>
    <w:rsid w:val="00C138BA"/>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80E3A"/>
    <w:rsid w:val="00D90996"/>
    <w:rsid w:val="00DB5010"/>
    <w:rsid w:val="00DC0350"/>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25.uua.org/uuhs/duub/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cel.org/ccel/hitchco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britannica.com/biography/Johann-Lorenz-von-Mosheim"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www.harvardsquarelibrary.org/universalists/Thomas-Baldwin-Thayer.ph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175</Pages>
  <Words>70496</Words>
  <Characters>401833</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74</cp:revision>
  <dcterms:created xsi:type="dcterms:W3CDTF">2013-05-13T00:22:00Z</dcterms:created>
  <dcterms:modified xsi:type="dcterms:W3CDTF">2020-12-27T19:17:00Z</dcterms:modified>
</cp:coreProperties>
</file>