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739C" w14:textId="77777777" w:rsidR="00B453A0" w:rsidRDefault="00B453A0" w:rsidP="00661298">
      <w:pPr>
        <w:spacing w:after="0" w:line="240" w:lineRule="auto"/>
      </w:pPr>
      <w:r>
        <w:separator/>
      </w:r>
    </w:p>
  </w:endnote>
  <w:endnote w:type="continuationSeparator" w:id="0">
    <w:p w14:paraId="0DB2EC5E" w14:textId="77777777" w:rsidR="00B453A0" w:rsidRDefault="00B453A0"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7240" w14:textId="77777777" w:rsidR="00B453A0" w:rsidRDefault="00B453A0" w:rsidP="00661298">
      <w:pPr>
        <w:spacing w:after="0" w:line="240" w:lineRule="auto"/>
      </w:pPr>
      <w:r>
        <w:separator/>
      </w:r>
    </w:p>
  </w:footnote>
  <w:footnote w:type="continuationSeparator" w:id="0">
    <w:p w14:paraId="36F420ED" w14:textId="77777777" w:rsidR="00B453A0" w:rsidRDefault="00B453A0"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3A0"/>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189</Pages>
  <Words>71593</Words>
  <Characters>408086</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45</cp:revision>
  <cp:lastPrinted>2022-11-05T15:35:00Z</cp:lastPrinted>
  <dcterms:created xsi:type="dcterms:W3CDTF">2021-12-30T21:50:00Z</dcterms:created>
  <dcterms:modified xsi:type="dcterms:W3CDTF">2022-11-05T21:46:00Z</dcterms:modified>
</cp:coreProperties>
</file>