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Edited and Expanded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θε</w:t>
      </w:r>
      <w:r w:rsidRPr="003A0864">
        <w:rPr>
          <w:rFonts w:ascii="Times New Roman" w:hAnsi="Times New Roman" w:cs="Times New Roman"/>
        </w:rPr>
        <w:t>ὸ</w:t>
      </w:r>
      <w:r w:rsidRPr="003A0864">
        <w:rPr>
          <w:rFonts w:ascii="Cambria" w:hAnsi="Cambria" w:cs="Cambria"/>
        </w:rPr>
        <w:t>ϛ</w:t>
      </w:r>
      <w:r w:rsidRPr="003A0864">
        <w:rPr>
          <w:rFonts w:ascii="Bookman Old Style" w:hAnsi="Bookman Old Style"/>
        </w:rPr>
        <w:t xml:space="preserve"> πάντα </w:t>
      </w:r>
      <w:r w:rsidRPr="003A0864">
        <w:rPr>
          <w:rFonts w:ascii="Times New Roman" w:hAnsi="Times New Roman" w:cs="Times New Roman"/>
        </w:rPr>
        <w:t>ἐ</w:t>
      </w:r>
      <w:r w:rsidRPr="003A0864">
        <w:rPr>
          <w:rFonts w:ascii="Bookman Old Style" w:hAnsi="Bookman Old Style"/>
        </w:rPr>
        <w:t>ν π</w:t>
      </w:r>
      <w:r w:rsidRPr="003A0864">
        <w:rPr>
          <w:rFonts w:ascii="Times New Roman" w:hAnsi="Times New Roman" w:cs="Times New Roman"/>
        </w:rPr>
        <w:t>ᾱ</w:t>
      </w:r>
      <w:r w:rsidRPr="003A0864">
        <w:rPr>
          <w:rFonts w:ascii="Bookman Old Style" w:hAnsi="Bookman Old Style"/>
        </w:rPr>
        <w:t>σιν</w:t>
      </w:r>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To the Revs. Don Lyons and Bob Sheldon and to all those who led and loved me at First Baptist Church of Westerlo. They may not agree with this universalistic stance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I've written and rewritten this introduction. I'm trying to find the right words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r w:rsidRPr="003408FF">
        <w:rPr>
          <w:rFonts w:ascii="Bookman Old Style" w:hAnsi="Bookman Old Style"/>
        </w:rPr>
        <w:t>As long as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only follow a good God. Thus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human's will as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it’s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In the past this might have been accomplished by publishing a few different editions. This was due to the limitations of print. Since this is an ebook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I believe there is value in this approach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Note: You can see the end of this volume for details on what has changed from the original version and various details of my methodology for choosing what to change and how. I have been obsessive in my attempt to respect the text while improving it’s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John Chambr</w:t>
      </w:r>
      <w:r w:rsidR="007E057D" w:rsidRPr="007E057D">
        <w:rPr>
          <w:rFonts w:ascii="Bookman Old Style" w:hAnsi="Bookman Old Style"/>
        </w:rPr>
        <w:t>é</w:t>
      </w:r>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April,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With the ex</w:t>
      </w:r>
      <w:r w:rsidR="00091D96" w:rsidRPr="002F5DC5">
        <w:rPr>
          <w:rFonts w:ascii="Bookman Old Style" w:hAnsi="Bookman Old Style"/>
        </w:rPr>
        <w:t>ception of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r w:rsidR="00091D96" w:rsidRPr="00D20E66">
        <w:rPr>
          <w:rFonts w:ascii="Bookman Old Style" w:hAnsi="Bookman Old Style"/>
        </w:rPr>
        <w:t>Augustine</w:t>
      </w:r>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Thomas Allin</w:t>
      </w:r>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Allin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r w:rsidR="00091D96" w:rsidRPr="002F5DC5">
        <w:rPr>
          <w:rFonts w:ascii="Bookman Old Style" w:hAnsi="Bookman Old Style"/>
        </w:rPr>
        <w:t xml:space="preserve">Allin's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w:t>
      </w:r>
      <w:r w:rsidR="00657085" w:rsidRPr="002F5DC5">
        <w:rPr>
          <w:rFonts w:ascii="Bookman Old Style" w:hAnsi="Bookman Old Style"/>
        </w:rPr>
        <w:lastRenderedPageBreak/>
        <w:t xml:space="preserve">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752C1B">
        <w:rPr>
          <w:rFonts w:ascii="Bookman Old Style" w:hAnsi="Bookman Old Style"/>
        </w:rPr>
        <w:t>Philotheos Bryenn</w:t>
      </w:r>
      <w:r w:rsidR="00657085" w:rsidRPr="00752C1B">
        <w:rPr>
          <w:rFonts w:ascii="Bookman Old Style" w:hAnsi="Bookman Old Style"/>
        </w:rPr>
        <w:t>ios</w:t>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r w:rsidR="00BA51ED" w:rsidRPr="002F5DC5">
        <w:rPr>
          <w:rFonts w:ascii="Bookman Old Style" w:hAnsi="Bookman Old Style"/>
          <w:i/>
        </w:rPr>
        <w:t>aeonian</w:t>
      </w:r>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is first found in Rufinu</w:t>
      </w:r>
      <w:r w:rsidR="00BA51ED" w:rsidRPr="002F5DC5">
        <w:rPr>
          <w:rFonts w:ascii="Bookman Old Style" w:hAnsi="Bookman Old Style"/>
        </w:rPr>
        <w:t xml:space="preserve">s,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r w:rsidR="005F1C9D" w:rsidRPr="0035026F">
        <w:rPr>
          <w:rFonts w:ascii="Bookman Old Style" w:hAnsi="Bookman Old Style"/>
        </w:rPr>
        <w:t>Hagenbach</w:t>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r w:rsidRPr="002F5DC5">
        <w:rPr>
          <w:rFonts w:ascii="Bookman Old Style" w:hAnsi="Bookman Old Style"/>
          <w:i/>
        </w:rPr>
        <w:t>aionian</w:t>
      </w:r>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AD</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r w:rsidR="00456846" w:rsidRPr="008957CF">
        <w:rPr>
          <w:rFonts w:ascii="Bookman Old Style" w:hAnsi="Bookman Old Style"/>
          <w:i/>
          <w:iCs/>
        </w:rPr>
        <w:t>ae</w:t>
      </w:r>
      <w:r w:rsidRPr="008957CF">
        <w:rPr>
          <w:rFonts w:ascii="Bookman Old Style" w:hAnsi="Bookman Old Style"/>
          <w:i/>
          <w:iCs/>
        </w:rPr>
        <w:t>on</w:t>
      </w:r>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AD</w:t>
      </w:r>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AD</w:t>
      </w:r>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The Niceo-Constantinopolitan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r w:rsidRPr="008957CF">
        <w:rPr>
          <w:rFonts w:ascii="Bookman Old Style" w:hAnsi="Bookman Old Style"/>
          <w:i/>
          <w:iCs/>
        </w:rPr>
        <w:t>aeonia</w:t>
      </w:r>
      <w:r w:rsidR="00F834B3" w:rsidRPr="008957CF">
        <w:rPr>
          <w:rFonts w:ascii="Bookman Old Style" w:hAnsi="Bookman Old Style"/>
          <w:i/>
          <w:iCs/>
        </w:rPr>
        <w:t>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r w:rsidRPr="008957CF">
        <w:rPr>
          <w:rFonts w:ascii="Bookman Old Style" w:hAnsi="Bookman Old Style"/>
          <w:i/>
          <w:iCs/>
        </w:rPr>
        <w:t>aeon</w:t>
      </w:r>
      <w:r w:rsidR="00F834B3" w:rsidRPr="008957CF">
        <w:rPr>
          <w:rFonts w:ascii="Bookman Old Style" w:hAnsi="Bookman Old Style"/>
          <w:i/>
          <w:iCs/>
        </w:rPr>
        <w:t>ian</w:t>
      </w:r>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r w:rsidR="00F834B3" w:rsidRPr="008957CF">
        <w:rPr>
          <w:rFonts w:ascii="Bookman Old Style" w:hAnsi="Bookman Old Style"/>
          <w:i/>
          <w:iCs/>
        </w:rPr>
        <w:t>aeon</w:t>
      </w:r>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8957CF">
        <w:rPr>
          <w:rFonts w:ascii="Bookman Old Style" w:hAnsi="Bookman Old Style"/>
          <w:i/>
          <w:iCs/>
        </w:rPr>
        <w:t>aeonian</w:t>
      </w:r>
      <w:r w:rsidRPr="002F5DC5">
        <w:rPr>
          <w:rFonts w:ascii="Bookman Old Style" w:hAnsi="Bookman Old Style"/>
        </w:rPr>
        <w:t xml:space="preserve"> punishmen</w:t>
      </w:r>
      <w:r w:rsidR="00F834B3" w:rsidRPr="002F5DC5">
        <w:rPr>
          <w:rFonts w:ascii="Bookman Old Style" w:hAnsi="Bookman Old Style"/>
        </w:rPr>
        <w:t xml:space="preserve">t, and in </w:t>
      </w:r>
      <w:r w:rsidR="00F834B3" w:rsidRPr="008957CF">
        <w:rPr>
          <w:rFonts w:ascii="Bookman Old Style" w:hAnsi="Bookman Old Style"/>
          <w:i/>
          <w:iCs/>
        </w:rPr>
        <w:t>aeonian</w:t>
      </w:r>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r w:rsidRPr="008957CF">
        <w:rPr>
          <w:rFonts w:ascii="Bookman Old Style" w:hAnsi="Bookman Old Style"/>
          <w:i/>
          <w:iCs/>
        </w:rPr>
        <w:t>ae</w:t>
      </w:r>
      <w:r w:rsidR="00F834B3" w:rsidRPr="008957CF">
        <w:rPr>
          <w:rFonts w:ascii="Bookman Old Style" w:hAnsi="Bookman Old Style"/>
          <w:i/>
          <w:iCs/>
        </w:rPr>
        <w:t>onian</w:t>
      </w:r>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Gregories,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r w:rsidRPr="002F5DC5">
        <w:rPr>
          <w:rFonts w:ascii="Bookman Old Style" w:hAnsi="Bookman Old Style"/>
          <w:i/>
        </w:rPr>
        <w:t>homoiousion</w:t>
      </w:r>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Nicaeum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r the Concilium Chalcedonenese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Rejoice in the Lord always; again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r w:rsidR="00091D96" w:rsidRPr="004A41F5">
        <w:rPr>
          <w:rFonts w:ascii="Bookman Old Style" w:hAnsi="Bookman Old Style"/>
        </w:rPr>
        <w:t>Haweis</w:t>
      </w:r>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e Pressens</w:t>
      </w:r>
      <w:r w:rsidRPr="004A41F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language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Against Celsus</w:t>
      </w:r>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r w:rsidRPr="00BC3FAA">
        <w:rPr>
          <w:rFonts w:ascii="Bookman Old Style" w:hAnsi="Bookman Old Style"/>
        </w:rPr>
        <w:t>Arnobius</w:t>
      </w:r>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r w:rsidRPr="00BC3FAA">
        <w:rPr>
          <w:rFonts w:ascii="Bookman Old Style" w:hAnsi="Bookman Old Style"/>
        </w:rPr>
        <w:t>Milman</w:t>
      </w:r>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r w:rsidRPr="00BC3FAA">
        <w:rPr>
          <w:rFonts w:ascii="Bookman Old Style" w:hAnsi="Bookman Old Style"/>
        </w:rPr>
        <w:t>Milman</w:t>
      </w:r>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r w:rsidR="00091D96" w:rsidRPr="00BC3FAA">
        <w:rPr>
          <w:rFonts w:ascii="Bookman Old Style" w:hAnsi="Bookman Old Style"/>
        </w:rPr>
        <w:t>Minucius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r w:rsidR="001D1B82" w:rsidRPr="00BC3FAA">
        <w:rPr>
          <w:rFonts w:ascii="Bookman Old Style" w:hAnsi="Bookman Old Style"/>
        </w:rPr>
        <w:t>Allin</w:t>
      </w:r>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Thus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e applause even of gently-nur</w:t>
      </w:r>
      <w:r w:rsidR="00091D96" w:rsidRPr="002F5DC5">
        <w:rPr>
          <w:rFonts w:ascii="Bookman Old Style" w:hAnsi="Bookman Old Style"/>
        </w:rPr>
        <w:t>tured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If,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AD</w:t>
      </w:r>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he Lord, and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horror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Zoticus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r w:rsidR="00A24A03" w:rsidRPr="000754AD">
        <w:rPr>
          <w:rFonts w:ascii="Bookman Old Style" w:hAnsi="Bookman Old Style"/>
          <w:i/>
          <w:iCs/>
        </w:rPr>
        <w:t>Oedipis</w:t>
      </w:r>
      <w:r w:rsidR="00A24A03" w:rsidRPr="002F5DC5">
        <w:rPr>
          <w:rFonts w:ascii="Bookman Old Style" w:hAnsi="Bookman Old Style"/>
        </w:rPr>
        <w:t>, at Colomus</w:t>
      </w:r>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00091D96" w:rsidRPr="002F5DC5">
        <w:rPr>
          <w:rFonts w:ascii="Bookman Old Style" w:hAnsi="Bookman Old Style"/>
          <w:i/>
        </w:rPr>
        <w:t>ternam</w:t>
      </w:r>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the majority of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AD</w:t>
      </w:r>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r w:rsidR="00362398" w:rsidRPr="00F82C15">
        <w:rPr>
          <w:rFonts w:ascii="Bookman Old Style" w:hAnsi="Bookman Old Style"/>
          <w:i/>
          <w:iCs/>
        </w:rPr>
        <w:t>aeonian</w:t>
      </w:r>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r w:rsidR="00362398" w:rsidRPr="00F82C15">
        <w:rPr>
          <w:rFonts w:ascii="Bookman Old Style" w:hAnsi="Bookman Old Style"/>
          <w:i/>
          <w:iCs/>
        </w:rPr>
        <w:t>aionion</w:t>
      </w:r>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w:t>
      </w:r>
      <w:r w:rsidRPr="002F5DC5">
        <w:rPr>
          <w:rFonts w:ascii="Bookman Old Style" w:hAnsi="Bookman Old Style"/>
        </w:rPr>
        <w:lastRenderedPageBreak/>
        <w:t xml:space="preserve">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r w:rsidR="00C37BC2" w:rsidRPr="00F82C15">
        <w:rPr>
          <w:rFonts w:ascii="Bookman Old Style" w:hAnsi="Bookman Old Style"/>
          <w:i/>
          <w:iCs/>
        </w:rPr>
        <w:t>aionios</w:t>
      </w:r>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r w:rsidRPr="00F82C15">
        <w:rPr>
          <w:rFonts w:ascii="Bookman Old Style" w:hAnsi="Bookman Old Style"/>
          <w:i/>
          <w:iCs/>
        </w:rPr>
        <w:t>aionion</w:t>
      </w:r>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F82C15">
        <w:rPr>
          <w:rFonts w:ascii="Bookman Old Style" w:hAnsi="Bookman Old Style"/>
          <w:i/>
          <w:iCs/>
        </w:rPr>
        <w:t>aeonian</w:t>
      </w:r>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 xml:space="preserve">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in his reply to Celsus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Pr="002F5DC5">
        <w:rPr>
          <w:rFonts w:ascii="Bookman Old Style" w:hAnsi="Bookman Old Style"/>
        </w:rPr>
        <w:t>endless punishment (</w:t>
      </w:r>
      <w:r w:rsidRPr="002F5DC5">
        <w:rPr>
          <w:rFonts w:ascii="Bookman Old Style" w:hAnsi="Bookman Old Style"/>
          <w:i/>
        </w:rPr>
        <w:t>aidios, timoria</w:t>
      </w:r>
      <w:r w:rsidRPr="002F5DC5">
        <w:rPr>
          <w:rFonts w:ascii="Bookman Old Style" w:hAnsi="Bookman Old Style"/>
        </w:rPr>
        <w:t xml:space="preserve"> and </w:t>
      </w:r>
      <w:r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Plumptre</w:t>
      </w:r>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Numa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r w:rsidRPr="00FE4790">
        <w:rPr>
          <w:rFonts w:ascii="Bookman Old Style" w:hAnsi="Bookman Old Style"/>
        </w:rPr>
        <w:t>Co</w:t>
      </w:r>
      <w:r w:rsidR="00DC0350" w:rsidRPr="00FE4790">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r w:rsidRPr="00FE4790">
        <w:rPr>
          <w:rFonts w:ascii="Bookman Old Style" w:hAnsi="Bookman Old Style"/>
        </w:rPr>
        <w:t>Milman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r w:rsidRPr="00FE4790">
        <w:rPr>
          <w:rFonts w:ascii="Bookman Old Style" w:hAnsi="Bookman Old Style"/>
        </w:rPr>
        <w:t>Hagenbach</w:t>
      </w:r>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r w:rsidR="00B86AE9" w:rsidRPr="00FE4790">
        <w:rPr>
          <w:rFonts w:ascii="Bookman Old Style" w:hAnsi="Bookman Old Style"/>
        </w:rPr>
        <w:t>Tytler</w:t>
      </w:r>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r w:rsidRPr="00BF4849">
        <w:rPr>
          <w:rFonts w:ascii="Bookman Old Style" w:hAnsi="Bookman Old Style"/>
        </w:rPr>
        <w:t>Gieseler</w:t>
      </w:r>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r w:rsidRPr="00BF4849">
        <w:rPr>
          <w:rFonts w:ascii="Bookman Old Style" w:hAnsi="Bookman Old Style"/>
        </w:rPr>
        <w:t>Giesele</w:t>
      </w:r>
      <w:r w:rsidR="00526CC2" w:rsidRPr="00BF4849">
        <w:rPr>
          <w:rFonts w:ascii="Bookman Old Style" w:hAnsi="Bookman Old Style"/>
        </w:rPr>
        <w:t xml:space="preserve">r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r w:rsidRPr="002F5DC5">
        <w:rPr>
          <w:rFonts w:ascii="Bookman Old Style" w:hAnsi="Bookman Old Style"/>
          <w:i/>
        </w:rPr>
        <w:t>a</w:t>
      </w:r>
      <w:r w:rsidR="00091D96" w:rsidRPr="002F5DC5">
        <w:rPr>
          <w:rFonts w:ascii="Bookman Old Style" w:hAnsi="Bookman Old Style"/>
          <w:i/>
        </w:rPr>
        <w:t>eonian</w:t>
      </w:r>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and </w:t>
      </w:r>
      <w:r w:rsidR="00091D96" w:rsidRPr="0084195D">
        <w:rPr>
          <w:rFonts w:ascii="Bookman Old Style" w:hAnsi="Bookman Old Style"/>
        </w:rPr>
        <w:t>also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Synes</w:t>
      </w:r>
      <w:r w:rsidRPr="00D94373">
        <w:rPr>
          <w:rFonts w:ascii="Bookman Old Style" w:hAnsi="Bookman Old Style"/>
        </w:rPr>
        <w:t>ius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r w:rsidR="001621F4" w:rsidRPr="003A369B">
        <w:rPr>
          <w:rFonts w:ascii="Bookman Old Style" w:hAnsi="Bookman Old Style"/>
        </w:rPr>
        <w:t>Huidekoper</w:t>
      </w:r>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r w:rsidRPr="003A369B">
        <w:rPr>
          <w:rFonts w:ascii="Bookman Old Style" w:hAnsi="Bookman Old Style"/>
        </w:rPr>
        <w:t xml:space="preserve">Dietelmaier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r w:rsidRPr="003A369B">
        <w:rPr>
          <w:rFonts w:ascii="Bookman Old Style" w:hAnsi="Bookman Old Style"/>
        </w:rPr>
        <w:t>Allin</w:t>
      </w:r>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time of the Lord's passion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r w:rsidR="00091D96" w:rsidRPr="004E64CE">
        <w:rPr>
          <w:rFonts w:ascii="Bookman Old Style" w:hAnsi="Bookman Old Style"/>
          <w:i/>
          <w:iCs/>
        </w:rPr>
        <w:t>aeonian</w:t>
      </w:r>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r w:rsidR="0049273A" w:rsidRPr="004E64CE">
        <w:rPr>
          <w:rFonts w:ascii="Bookman Old Style" w:hAnsi="Bookman Old Style"/>
          <w:i/>
          <w:iCs/>
        </w:rPr>
        <w:t>aeons</w:t>
      </w:r>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was in the body d</w:t>
      </w:r>
      <w:r w:rsidRPr="002F5DC5">
        <w:rPr>
          <w:rFonts w:ascii="Bookman Old Style" w:hAnsi="Bookman Old Style"/>
        </w:rPr>
        <w:t>id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r w:rsidR="0049273A" w:rsidRPr="004E64CE">
        <w:rPr>
          <w:rFonts w:ascii="Bookman Old Style" w:hAnsi="Bookman Old Style"/>
          <w:i/>
          <w:iCs/>
        </w:rPr>
        <w:t>aeonian</w:t>
      </w:r>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r w:rsidRPr="003A369B">
        <w:rPr>
          <w:rFonts w:ascii="Bookman Old Style" w:hAnsi="Bookman Old Style"/>
        </w:rPr>
        <w:t>Uhlhorn</w:t>
      </w:r>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r w:rsidRPr="002F5DC5">
        <w:rPr>
          <w:rFonts w:ascii="Bookman Old Style" w:hAnsi="Bookman Old Style"/>
          <w:i/>
        </w:rPr>
        <w:t>kolasin</w:t>
      </w:r>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r w:rsidRPr="003A369B">
        <w:rPr>
          <w:rFonts w:ascii="Bookman Old Style" w:hAnsi="Bookman Old Style"/>
        </w:rPr>
        <w:t xml:space="preserve">Hagenbach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r w:rsidRPr="003A369B">
        <w:rPr>
          <w:rFonts w:ascii="Bookman Old Style" w:hAnsi="Bookman Old Style"/>
        </w:rPr>
        <w:t>Plumptre</w:t>
      </w:r>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r w:rsidRPr="003A369B">
        <w:rPr>
          <w:rFonts w:ascii="Bookman Old Style" w:hAnsi="Bookman Old Style"/>
        </w:rPr>
        <w:t>Plumptre</w:t>
      </w:r>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r w:rsidRPr="003A369B">
        <w:rPr>
          <w:rFonts w:ascii="Bookman Old Style" w:hAnsi="Bookman Old Style"/>
        </w:rPr>
        <w:t xml:space="preserve">Uhlhorn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 xml:space="preserve">suffering;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Hades;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r w:rsidR="00091D96" w:rsidRPr="002F5DC5">
        <w:rPr>
          <w:rFonts w:ascii="Bookman Old Style" w:hAnsi="Bookman Old Style"/>
        </w:rPr>
        <w:t xml:space="preserve">torment;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hose acknowledged to have been Universalists</w:t>
      </w:r>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gloom;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sands of epitaphs in the Cata</w:t>
      </w:r>
      <w:r w:rsidR="00091D96" w:rsidRPr="002F5DC5">
        <w:rPr>
          <w:rFonts w:ascii="Bookman Old Style" w:hAnsi="Bookman Old Style"/>
        </w:rPr>
        <w:t xml:space="preserve">combs;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later on</w:t>
      </w:r>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Father's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Clement, Origen</w:t>
      </w:r>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r w:rsidR="00091D96" w:rsidRPr="002F5DC5">
        <w:rPr>
          <w:rFonts w:ascii="Bookman Old Style" w:hAnsi="Bookman Old Style"/>
        </w:rPr>
        <w:t>more or less impu</w:t>
      </w:r>
      <w:r w:rsidRPr="002F5DC5">
        <w:rPr>
          <w:rFonts w:ascii="Bookman Old Style" w:hAnsi="Bookman Old Style"/>
        </w:rPr>
        <w:t xml:space="preserve">re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r w:rsidR="007E057D" w:rsidRPr="00595517">
        <w:rPr>
          <w:rFonts w:ascii="Bookman Old Style" w:hAnsi="Bookman Old Style"/>
        </w:rPr>
        <w:t>Chambré</w:t>
      </w:r>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r w:rsidR="00D90996" w:rsidRPr="00B977A8">
        <w:rPr>
          <w:rFonts w:ascii="Bookman Old Style" w:hAnsi="Bookman Old Style"/>
          <w:b/>
          <w:bCs/>
        </w:rPr>
        <w:t>Allin</w:t>
      </w:r>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r w:rsidRPr="00595517">
        <w:rPr>
          <w:rFonts w:ascii="Bookman Old Style" w:hAnsi="Bookman Old Style"/>
        </w:rPr>
        <w:t>Ru</w:t>
      </w:r>
      <w:r w:rsidR="00D90996" w:rsidRPr="00595517">
        <w:rPr>
          <w:rFonts w:ascii="Bookman Old Style" w:hAnsi="Bookman Old Style"/>
        </w:rPr>
        <w:t>finus</w:t>
      </w:r>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7E057D" w:rsidRPr="00595517">
        <w:rPr>
          <w:rFonts w:ascii="Bookman Old Style" w:hAnsi="Bookman Old Style"/>
        </w:rPr>
        <w:t>Chambré</w:t>
      </w:r>
      <w:r w:rsidR="00D90996" w:rsidRPr="00595517">
        <w:rPr>
          <w:rFonts w:ascii="Bookman Old Style" w:hAnsi="Bookman Old Style"/>
        </w:rPr>
        <w:t xml:space="preserve"> and </w:t>
      </w:r>
      <w:r w:rsidRPr="00595517">
        <w:rPr>
          <w:rFonts w:ascii="Bookman Old Style" w:hAnsi="Bookman Old Style"/>
        </w:rPr>
        <w:t>Allin</w:t>
      </w:r>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r w:rsidR="007B2444" w:rsidRPr="002F5DC5">
        <w:rPr>
          <w:rFonts w:ascii="Bookman Old Style" w:hAnsi="Bookman Old Style"/>
          <w:i/>
        </w:rPr>
        <w:t>aionion</w:t>
      </w:r>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AD</w:t>
      </w:r>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Contra Celsus</w:t>
      </w:r>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of Hermas.</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AD</w:t>
      </w:r>
      <w:r w:rsidRPr="002F5DC5">
        <w:rPr>
          <w:rFonts w:ascii="Bookman Old Style" w:hAnsi="Bookman Old Style"/>
        </w:rPr>
        <w:t>,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Eusebius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Rothe,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Bib. Max. Patrum</w:t>
      </w:r>
      <w:r w:rsidRPr="002F5DC5">
        <w:rPr>
          <w:rFonts w:ascii="Bookman Old Style" w:hAnsi="Bookman Old Style"/>
        </w:rPr>
        <w:t>, Her</w:t>
      </w:r>
      <w:r w:rsidR="00091D96" w:rsidRPr="002F5DC5">
        <w:rPr>
          <w:rFonts w:ascii="Bookman Old Style" w:hAnsi="Bookman Old Style"/>
        </w:rPr>
        <w:t>mas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r w:rsidRPr="00C5038C">
        <w:rPr>
          <w:rFonts w:ascii="Bookman Old Style" w:hAnsi="Bookman Old Style"/>
          <w:i/>
          <w:iCs/>
        </w:rPr>
        <w:t>Phoedra</w:t>
      </w:r>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r w:rsidRPr="00C5038C">
        <w:rPr>
          <w:rFonts w:ascii="Bookman Old Style" w:hAnsi="Bookman Old Style"/>
          <w:i/>
          <w:iCs/>
        </w:rPr>
        <w:t>aionion</w:t>
      </w:r>
      <w:r w:rsidRPr="002F5DC5">
        <w:rPr>
          <w:rFonts w:ascii="Bookman Old Style" w:hAnsi="Bookman Old Style"/>
        </w:rPr>
        <w:t xml:space="preserve">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ine Oracles</w:t>
      </w:r>
      <w:r w:rsidRPr="002F5DC5">
        <w:rPr>
          <w:rFonts w:ascii="Bookman Old Style" w:hAnsi="Bookman Old Style"/>
        </w:rPr>
        <w:t xml:space="preserve">,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r w:rsidR="00091D96" w:rsidRPr="00C5038C">
        <w:rPr>
          <w:rFonts w:ascii="Bookman Old Style" w:hAnsi="Bookman Old Style"/>
          <w:i/>
          <w:iCs/>
        </w:rPr>
        <w:t>aion</w:t>
      </w:r>
      <w:r w:rsidRPr="00C5038C">
        <w:rPr>
          <w:rFonts w:ascii="Bookman Old Style" w:hAnsi="Bookman Old Style"/>
          <w:i/>
          <w:iCs/>
        </w:rPr>
        <w:t>ion</w:t>
      </w:r>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r w:rsidR="007C358B" w:rsidRPr="00C5038C">
        <w:rPr>
          <w:rFonts w:ascii="Bookman Old Style" w:hAnsi="Bookman Old Style"/>
          <w:i/>
          <w:iCs/>
        </w:rPr>
        <w:t>aionion</w:t>
      </w:r>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The Epistle to Diognetus.</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r w:rsidRPr="00F82BFD">
        <w:rPr>
          <w:rFonts w:ascii="Bookman Old Style" w:hAnsi="Bookman Old Style"/>
        </w:rPr>
        <w:t>Marcion</w:t>
      </w:r>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r w:rsidR="000758F8" w:rsidRPr="00502A48">
        <w:rPr>
          <w:rFonts w:ascii="Bookman Old Style" w:hAnsi="Bookman Old Style"/>
          <w:i/>
          <w:iCs/>
        </w:rPr>
        <w:t>aion</w:t>
      </w:r>
      <w:r w:rsidRPr="00502A48">
        <w:rPr>
          <w:rFonts w:ascii="Bookman Old Style" w:hAnsi="Bookman Old Style"/>
          <w:i/>
          <w:iCs/>
        </w:rPr>
        <w:t>ion</w:t>
      </w:r>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as Diognetus's</w:t>
      </w:r>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AD</w:t>
      </w:r>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r w:rsidR="002A3283" w:rsidRPr="00E04B53">
        <w:rPr>
          <w:rFonts w:ascii="Bookman Old Style" w:hAnsi="Bookman Old Style"/>
          <w:i/>
          <w:iCs/>
        </w:rPr>
        <w:t>aion</w:t>
      </w:r>
      <w:r w:rsidRPr="00E04B53">
        <w:rPr>
          <w:rFonts w:ascii="Bookman Old Style" w:hAnsi="Bookman Old Style"/>
          <w:i/>
          <w:iCs/>
        </w:rPr>
        <w:t>ion</w:t>
      </w:r>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r w:rsidR="002A3283" w:rsidRPr="00E04B53">
        <w:rPr>
          <w:rFonts w:ascii="Bookman Old Style" w:hAnsi="Bookman Old Style"/>
          <w:i/>
          <w:iCs/>
        </w:rPr>
        <w:t>aionion</w:t>
      </w:r>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r w:rsidR="002A3283" w:rsidRPr="002F5DC5">
        <w:rPr>
          <w:rFonts w:ascii="Bookman Old Style" w:hAnsi="Bookman Old Style"/>
          <w:i/>
        </w:rPr>
        <w:t>aionios</w:t>
      </w:r>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AD</w:t>
      </w:r>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r w:rsidR="00C41037" w:rsidRPr="00E04B53">
        <w:rPr>
          <w:rFonts w:ascii="Bookman Old Style" w:hAnsi="Bookman Old Style"/>
          <w:i/>
          <w:iCs/>
        </w:rPr>
        <w:t>aionion</w:t>
      </w:r>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AD</w:t>
      </w:r>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r w:rsidR="00C41037" w:rsidRPr="000A3846">
        <w:rPr>
          <w:rFonts w:ascii="Bookman Old Style" w:hAnsi="Bookman Old Style"/>
        </w:rPr>
        <w:t>Pantaenus,</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r w:rsidR="00C41037" w:rsidRPr="000A3846">
        <w:rPr>
          <w:rFonts w:ascii="Bookman Old Style" w:hAnsi="Bookman Old Style"/>
        </w:rPr>
        <w:t>Pantaenus</w:t>
      </w:r>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r w:rsidR="0040099B" w:rsidRPr="002F5DC5">
        <w:rPr>
          <w:rFonts w:ascii="Bookman Old Style" w:hAnsi="Bookman Old Style"/>
        </w:rPr>
        <w:t>Basilidians</w:t>
      </w:r>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Basilidians.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Basilidians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of Carpocrates</w:t>
      </w:r>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that Marcion</w:t>
      </w:r>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r w:rsidR="001D0EA6" w:rsidRPr="0017697A">
        <w:rPr>
          <w:rFonts w:ascii="Bookman Old Style" w:hAnsi="Bookman Old Style"/>
          <w:i/>
          <w:iCs/>
        </w:rPr>
        <w:t>sophia</w:t>
      </w:r>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r w:rsidRPr="00B44D23">
        <w:rPr>
          <w:rFonts w:ascii="Bookman Old Style" w:hAnsi="Bookman Old Style"/>
        </w:rPr>
        <w:t xml:space="preserve">Harnack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r w:rsidR="00FA51B5" w:rsidRPr="002F5DC5">
        <w:rPr>
          <w:rFonts w:ascii="Bookman Old Style" w:hAnsi="Bookman Old Style"/>
        </w:rPr>
        <w:t xml:space="preserve">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aionion</w:t>
      </w:r>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r w:rsidR="00255D50" w:rsidRPr="00586B23">
        <w:rPr>
          <w:rFonts w:ascii="Bookman Old Style" w:hAnsi="Bookman Old Style"/>
          <w:b/>
          <w:bCs/>
        </w:rPr>
        <w:t>Celano</w:t>
      </w:r>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r w:rsidRPr="008522DC">
        <w:rPr>
          <w:rFonts w:ascii="Bookman Old Style" w:hAnsi="Bookman Old Style"/>
        </w:rPr>
        <w:t>Musardus</w:t>
      </w:r>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that the damned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r w:rsidRPr="008522DC">
        <w:rPr>
          <w:rFonts w:ascii="Bookman Old Style" w:hAnsi="Bookman Old Style"/>
        </w:rPr>
        <w:t xml:space="preserve">Opsopoeus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Sir John Floyer’s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John Floyer</w:t>
      </w:r>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8522DC">
        <w:rPr>
          <w:rFonts w:ascii="Bookman Old Style" w:hAnsi="Bookman Old Style"/>
        </w:rPr>
        <w:t xml:space="preserve">Lactantius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evidences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(July,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r w:rsidRPr="002F5DC5">
        <w:rPr>
          <w:rFonts w:ascii="Bookman Old Style" w:hAnsi="Bookman Old Style"/>
        </w:rPr>
        <w:t>Pantaenus</w:t>
      </w:r>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EE0823">
        <w:rPr>
          <w:rFonts w:ascii="Bookman Old Style" w:hAnsi="Bookman Old Style"/>
        </w:rPr>
        <w:t>Pantaenus</w:t>
      </w:r>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AD</w:t>
      </w:r>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r w:rsidR="00DB5010" w:rsidRPr="00EE0823">
        <w:rPr>
          <w:rFonts w:ascii="Bookman Old Style" w:hAnsi="Bookman Old Style"/>
        </w:rPr>
        <w:t>Panta</w:t>
      </w:r>
      <w:r w:rsidRPr="00EE0823">
        <w:rPr>
          <w:rFonts w:ascii="Bookman Old Style" w:hAnsi="Bookman Old Style"/>
        </w:rPr>
        <w:t>enus</w:t>
      </w:r>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r w:rsidRPr="00EE0823">
        <w:rPr>
          <w:rFonts w:ascii="Bookman Old Style" w:hAnsi="Bookman Old Style"/>
        </w:rPr>
        <w:t xml:space="preserve">Pantaenus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r w:rsidRPr="00EE0823">
        <w:rPr>
          <w:rFonts w:ascii="Bookman Old Style" w:hAnsi="Bookman Old Style"/>
        </w:rPr>
        <w:t>Pantaenus, Clement</w:t>
      </w:r>
      <w:r w:rsidRPr="002F5DC5">
        <w:rPr>
          <w:rFonts w:ascii="Bookman Old Style" w:hAnsi="Bookman Old Style"/>
        </w:rPr>
        <w:t xml:space="preserve">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Pantae</w:t>
      </w:r>
      <w:r w:rsidR="00091D96" w:rsidRPr="00EE0823">
        <w:rPr>
          <w:rFonts w:ascii="Bookman Old Style" w:hAnsi="Bookman Old Style"/>
        </w:rPr>
        <w:t>nus</w:t>
      </w:r>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r w:rsidR="00DB5010" w:rsidRPr="00EE0823">
        <w:rPr>
          <w:rFonts w:ascii="Bookman Old Style" w:hAnsi="Bookman Old Style"/>
        </w:rPr>
        <w:t>Pantaenus</w:t>
      </w:r>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r w:rsidRPr="00EE0823">
        <w:rPr>
          <w:rFonts w:ascii="Bookman Old Style" w:hAnsi="Bookman Old Style"/>
        </w:rPr>
        <w:t>Pantaenus</w:t>
      </w:r>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tion. The Alexandrian Christians expounded and corroborated Christianity, and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AD</w:t>
      </w:r>
      <w:r w:rsidRPr="002F5DC5">
        <w:rPr>
          <w:rFonts w:ascii="Bookman Old Style" w:hAnsi="Bookman Old Style"/>
        </w:rPr>
        <w:t xml:space="preserve">, after a siege of fourteen months, it was taken by the Arabs under Amru,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r w:rsidR="00DB5010" w:rsidRPr="00EE0823">
        <w:rPr>
          <w:rFonts w:ascii="Bookman Old Style" w:hAnsi="Bookman Old Style"/>
        </w:rPr>
        <w:t>Abulpharag</w:t>
      </w:r>
      <w:r w:rsidRPr="00EE0823">
        <w:rPr>
          <w:rFonts w:ascii="Bookman Old Style" w:hAnsi="Bookman Old Style"/>
        </w:rPr>
        <w:t>ius</w:t>
      </w:r>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Clement, Origen, Athanasius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he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r w:rsidR="00091D96" w:rsidRPr="002F5DC5">
        <w:rPr>
          <w:rFonts w:ascii="Bookman Old Style" w:hAnsi="Bookman Old Style"/>
        </w:rPr>
        <w:t>railer,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r w:rsidRPr="002F5DC5">
        <w:rPr>
          <w:rFonts w:ascii="Bookman Old Style" w:hAnsi="Bookman Old Style"/>
          <w:i/>
        </w:rPr>
        <w:t>miseriun Aristotelem</w:t>
      </w:r>
      <w:r w:rsidRPr="002F5DC5">
        <w:rPr>
          <w:rFonts w:ascii="Bookman Old Style" w:hAnsi="Bookman Old Style"/>
        </w:rPr>
        <w:t>!’ Such arguments as Tertullian's I</w:t>
      </w:r>
      <w:r w:rsidR="00091D96" w:rsidRPr="002F5DC5">
        <w:rPr>
          <w:rFonts w:ascii="Bookman Old Style" w:hAnsi="Bookman Old Style"/>
        </w:rPr>
        <w:t xml:space="preserve">t is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ius Clemens, Clemens Alexandrin</w:t>
      </w:r>
      <w:r w:rsidRPr="00EE0823">
        <w:rPr>
          <w:rFonts w:ascii="Bookman Old Style" w:hAnsi="Bookman Old Style"/>
        </w:rPr>
        <w:t xml:space="preserve">us,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AD</w:t>
      </w:r>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r w:rsidR="006416A5" w:rsidRPr="00EE0823">
        <w:rPr>
          <w:rFonts w:ascii="Bookman Old Style" w:hAnsi="Bookman Old Style"/>
        </w:rPr>
        <w:t>Pantaenus</w:t>
      </w:r>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r w:rsidR="006A2B68" w:rsidRPr="00EE0823">
        <w:rPr>
          <w:rFonts w:ascii="Bookman Old Style" w:hAnsi="Bookman Old Style"/>
        </w:rPr>
        <w:t>Clement'</w:t>
      </w:r>
      <w:r w:rsidR="006A2B68" w:rsidRPr="002F5DC5">
        <w:rPr>
          <w:rFonts w:ascii="Bookman Old Style" w:hAnsi="Bookman Old Style"/>
        </w:rPr>
        <w:t xml:space="preserve">s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r w:rsidR="006A2B68" w:rsidRPr="00EE0823">
        <w:rPr>
          <w:rFonts w:ascii="Bookman Old Style" w:hAnsi="Bookman Old Style"/>
        </w:rPr>
        <w:t>Pantaenus,</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r>
        <w:t>Clement’s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r>
        <w:t>Clement’s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r w:rsidR="00091D96" w:rsidRPr="002F5DC5">
        <w:rPr>
          <w:rFonts w:ascii="Bookman Old Style" w:hAnsi="Bookman Old Style"/>
        </w:rPr>
        <w:t>So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r w:rsidR="00BC003A" w:rsidRPr="002F5DC5">
        <w:rPr>
          <w:rFonts w:ascii="Bookman Old Style" w:hAnsi="Bookman Old Style"/>
          <w:i/>
        </w:rPr>
        <w:t>pade</w:t>
      </w:r>
      <w:r w:rsidR="00091D96" w:rsidRPr="002F5DC5">
        <w:rPr>
          <w:rFonts w:ascii="Bookman Old Style" w:hAnsi="Bookman Old Style"/>
          <w:i/>
        </w:rPr>
        <w:t>iai</w:t>
      </w:r>
      <w:r w:rsidR="00091D96" w:rsidRPr="002F5DC5">
        <w:rPr>
          <w:rFonts w:ascii="Bookman Old Style" w:hAnsi="Bookman Old Style"/>
        </w:rPr>
        <w:t xml:space="preserve">) </w:t>
      </w:r>
      <w:r w:rsidR="00BC003A" w:rsidRPr="002F5DC5">
        <w:rPr>
          <w:rFonts w:ascii="Bookman Old Style" w:hAnsi="Bookman Old Style"/>
        </w:rPr>
        <w:t>which are called chastisements (</w:t>
      </w:r>
      <w:r w:rsidR="00091D96" w:rsidRPr="002F5DC5">
        <w:rPr>
          <w:rFonts w:ascii="Bookman Old Style" w:hAnsi="Bookman Old Style"/>
          <w:i/>
        </w:rPr>
        <w:t>kolaseis</w:t>
      </w:r>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r w:rsidR="00BC003A" w:rsidRPr="00F952BC">
        <w:rPr>
          <w:rFonts w:ascii="Bookman Old Style" w:hAnsi="Bookman Old Style"/>
          <w:i/>
          <w:iCs/>
        </w:rPr>
        <w:t>timoriaita</w:t>
      </w:r>
      <w:r w:rsidR="00BC003A" w:rsidRPr="002F5DC5">
        <w:rPr>
          <w:rFonts w:ascii="Bookman Old Style" w:hAnsi="Bookman Old Style"/>
        </w:rPr>
        <w:t>), for punishment (</w:t>
      </w:r>
      <w:r w:rsidR="00BC003A" w:rsidRPr="002F5DC5">
        <w:rPr>
          <w:rFonts w:ascii="Bookman Old Style" w:hAnsi="Bookman Old Style"/>
          <w:i/>
        </w:rPr>
        <w:t>timoria</w:t>
      </w:r>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r w:rsidR="00091D96" w:rsidRPr="002F5DC5">
        <w:rPr>
          <w:rFonts w:ascii="Bookman Old Style" w:hAnsi="Bookman Old Style"/>
          <w:i/>
        </w:rPr>
        <w:t>kolasis</w:t>
      </w:r>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r w:rsidR="00091D96" w:rsidRPr="002F5DC5">
        <w:rPr>
          <w:rFonts w:ascii="Bookman Old Style" w:hAnsi="Bookman Old Style"/>
          <w:i/>
        </w:rPr>
        <w:t>timoria</w:t>
      </w:r>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r w:rsidR="00091D96" w:rsidRPr="002F5DC5">
        <w:rPr>
          <w:rFonts w:ascii="Bookman Old Style" w:hAnsi="Bookman Old Style"/>
          <w:i/>
        </w:rPr>
        <w:t>paidenomenos</w:t>
      </w:r>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final state of perfe</w:t>
      </w:r>
      <w:r w:rsidRPr="002F5DC5">
        <w:rPr>
          <w:rFonts w:ascii="Bookman Old Style" w:hAnsi="Bookman Old Style"/>
        </w:rPr>
        <w:t>ction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r w:rsidR="00091D96"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r w:rsidR="00C12855">
        <w:rPr>
          <w:rFonts w:ascii="Bookman Old Style" w:hAnsi="Bookman Old Style"/>
        </w:rPr>
        <w:t>….</w:t>
      </w:r>
      <w:r w:rsidR="00F53824" w:rsidRPr="002F5DC5">
        <w:rPr>
          <w:rFonts w:ascii="Bookman Old Style" w:hAnsi="Bookman Old Style"/>
        </w:rPr>
        <w:t>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r w:rsidR="00091D96" w:rsidRPr="00674A95">
        <w:rPr>
          <w:rFonts w:ascii="Bookman Old Style" w:hAnsi="Bookman Old Style"/>
        </w:rPr>
        <w:t>Hagenbach</w:t>
      </w:r>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r w:rsidRPr="00674A95">
        <w:rPr>
          <w:rFonts w:ascii="Bookman Old Style" w:hAnsi="Bookman Old Style"/>
        </w:rPr>
        <w:t>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r w:rsidR="00C12855">
        <w:rPr>
          <w:rFonts w:ascii="Bookman Old Style" w:hAnsi="Bookman Old Style"/>
        </w:rPr>
        <w:t>….</w:t>
      </w:r>
      <w:r w:rsidR="00091D96" w:rsidRPr="002F5DC5">
        <w:rPr>
          <w:rFonts w:ascii="Bookman Old Style" w:hAnsi="Bookman Old Style"/>
        </w:rPr>
        <w:t>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Paed.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De Pressense</w:t>
      </w:r>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r w:rsidRPr="00F816BA">
        <w:rPr>
          <w:rFonts w:ascii="Bookman Old Style" w:hAnsi="Bookman Old Style"/>
          <w:i/>
          <w:iCs/>
        </w:rPr>
        <w:t>Daille</w:t>
      </w:r>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r w:rsidRPr="00674A95">
        <w:rPr>
          <w:rFonts w:ascii="Bookman Old Style" w:hAnsi="Bookman Old Style"/>
        </w:rPr>
        <w:t>Clement'</w:t>
      </w:r>
      <w:r w:rsidRPr="002F5DC5">
        <w:rPr>
          <w:rFonts w:ascii="Bookman Old Style" w:hAnsi="Bookman Old Style"/>
        </w:rPr>
        <w: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674A95">
        <w:rPr>
          <w:rFonts w:ascii="Bookman Old Style" w:hAnsi="Bookman Old Style"/>
        </w:rPr>
        <w:t>Lamson</w:t>
      </w:r>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Pantaenus, and, as seems apparent, </w:t>
      </w:r>
      <w:r w:rsidRPr="00674A95">
        <w:rPr>
          <w:rFonts w:ascii="Bookman Old Style" w:hAnsi="Bookman Old Style"/>
        </w:rPr>
        <w:t>by Anathegoras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Origen Adama</w:t>
      </w:r>
      <w:r w:rsidR="00D71C14" w:rsidRPr="004D0D71">
        <w:rPr>
          <w:rFonts w:ascii="Bookman Old Style" w:hAnsi="Bookman Old Style"/>
        </w:rPr>
        <w:t>ntius</w:t>
      </w:r>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w:t>
      </w:r>
      <w:r w:rsidRPr="002F5DC5">
        <w:rPr>
          <w:rFonts w:ascii="Bookman Old Style" w:hAnsi="Bookman Old Style"/>
        </w:rPr>
        <w:t>202</w:t>
      </w:r>
      <w:r w:rsidR="00524495">
        <w:rPr>
          <w:rFonts w:ascii="Bookman Old Style" w:hAnsi="Bookman Old Style"/>
        </w:rPr>
        <w:t xml:space="preserve"> AD</w:t>
      </w:r>
      <w:r w:rsidRPr="002F5DC5">
        <w:rPr>
          <w:rFonts w:ascii="Bookman Old Style" w:hAnsi="Bookman Old Style"/>
        </w:rPr>
        <w:t>,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AD</w:t>
      </w:r>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Maximinus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es and sufferings, a true martyr, in Tyre,</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AD</w:t>
      </w:r>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When Celsus</w:t>
      </w:r>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r w:rsidRPr="00125956">
        <w:rPr>
          <w:rFonts w:ascii="Bookman Old Style" w:hAnsi="Bookman Old Style"/>
        </w:rPr>
        <w:t>Ad</w:t>
      </w:r>
      <w:r w:rsidR="00986F4A" w:rsidRPr="00125956">
        <w:rPr>
          <w:rFonts w:ascii="Bookman Old Style" w:hAnsi="Bookman Old Style"/>
        </w:rPr>
        <w:t>amantius</w:t>
      </w:r>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De P</w:t>
      </w:r>
      <w:r w:rsidR="00986F4A" w:rsidRPr="00125956">
        <w:rPr>
          <w:rFonts w:ascii="Bookman Old Style" w:hAnsi="Bookman Old Style"/>
        </w:rPr>
        <w:t>ressense</w:t>
      </w:r>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r w:rsidR="00986F4A" w:rsidRPr="00125956">
        <w:rPr>
          <w:rFonts w:ascii="Bookman Old Style" w:hAnsi="Bookman Old Style"/>
        </w:rPr>
        <w:t xml:space="preserve">Gieseler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Heraclas, who in turn was </w:t>
      </w:r>
      <w:r w:rsidRPr="00125956">
        <w:rPr>
          <w:rFonts w:ascii="Bookman Old Style" w:hAnsi="Bookman Old Style"/>
        </w:rPr>
        <w:t>succeeded by Dionysiu</w:t>
      </w:r>
      <w:r w:rsidR="00986F4A" w:rsidRPr="00125956">
        <w:rPr>
          <w:rFonts w:ascii="Bookman Old Style" w:hAnsi="Bookman Old Style"/>
        </w:rPr>
        <w:t>s, another pupil, so that from Pantae</w:t>
      </w:r>
      <w:r w:rsidRPr="00125956">
        <w:rPr>
          <w:rFonts w:ascii="Bookman Old Style" w:hAnsi="Bookman Old Style"/>
        </w:rPr>
        <w:t>nus, to</w:t>
      </w:r>
      <w:r w:rsidR="00986F4A" w:rsidRPr="00125956">
        <w:rPr>
          <w:rFonts w:ascii="Bookman Old Style" w:hAnsi="Bookman Old Style"/>
        </w:rPr>
        <w:t xml:space="preserve"> Clemens, Origen, Heraclas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AD</w:t>
      </w:r>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and the Nicean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r w:rsidR="00CE2A68" w:rsidRPr="00125956">
        <w:rPr>
          <w:rFonts w:ascii="Bookman Old Style" w:hAnsi="Bookman Old Style"/>
        </w:rPr>
        <w:t>Migne'</w:t>
      </w:r>
      <w:r w:rsidR="00CE2A68" w:rsidRPr="002F5DC5">
        <w:rPr>
          <w:rFonts w:ascii="Bookman Old Style" w:hAnsi="Bookman Old Style"/>
        </w:rPr>
        <w:t xml:space="preserve">s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Contra Celsum</w:t>
      </w:r>
      <w:r w:rsidR="00CE2A68" w:rsidRPr="002F5DC5">
        <w:rPr>
          <w:rFonts w:ascii="Bookman Old Style" w:hAnsi="Bookman Old Style"/>
        </w:rPr>
        <w:t xml:space="preserve">, or </w:t>
      </w:r>
      <w:r w:rsidR="00CE2A68" w:rsidRPr="006C416E">
        <w:rPr>
          <w:rFonts w:ascii="Bookman Old Style" w:hAnsi="Bookman Old Style"/>
          <w:i/>
          <w:iCs/>
        </w:rPr>
        <w:t>Against Celsus</w:t>
      </w:r>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De Principiis</w:t>
      </w:r>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by Rufinus</w:t>
      </w:r>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r w:rsidRPr="00125956">
        <w:rPr>
          <w:rFonts w:ascii="Bookman Old Style" w:hAnsi="Bookman Old Style"/>
        </w:rPr>
        <w:t>Rufinus</w:t>
      </w:r>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Against Celsus</w:t>
      </w:r>
      <w:r w:rsidR="00CE2A68" w:rsidRPr="002F5DC5">
        <w:rPr>
          <w:rFonts w:ascii="Bookman Old Style" w:hAnsi="Bookman Old Style"/>
        </w:rPr>
        <w:t xml:space="preserve"> with the Latin version of </w:t>
      </w:r>
      <w:r w:rsidR="00CE2A68" w:rsidRPr="00125956">
        <w:rPr>
          <w:rFonts w:ascii="Bookman Old Style" w:hAnsi="Bookman Old Style"/>
        </w:rPr>
        <w:t>Rufinu</w:t>
      </w:r>
      <w:r w:rsidRPr="00125956">
        <w:rPr>
          <w:rFonts w:ascii="Bookman Old Style" w:hAnsi="Bookman Old Style"/>
        </w:rPr>
        <w:t>s</w:t>
      </w:r>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Rufinus</w:t>
      </w:r>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Says De Pressense</w:t>
      </w:r>
      <w:r w:rsidRPr="002F5DC5">
        <w:rPr>
          <w:rFonts w:ascii="Bookman Old Style" w:hAnsi="Bookman Old Style"/>
        </w:rPr>
        <w:t>: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 xml:space="preserve">sus,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 λόγος</w:t>
      </w:r>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AD</w:t>
      </w:r>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AD</w:t>
      </w:r>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De Principiis</w:t>
      </w:r>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r w:rsidR="0061358E" w:rsidRPr="00C22DAA">
        <w:rPr>
          <w:rFonts w:ascii="Bookman Old Style" w:hAnsi="Bookman Old Style"/>
          <w:i/>
          <w:iCs/>
        </w:rPr>
        <w:t>Tetrapla</w:t>
      </w:r>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r w:rsidR="0061358E" w:rsidRPr="00C22DAA">
        <w:rPr>
          <w:rFonts w:ascii="Bookman Old Style" w:hAnsi="Bookman Old Style"/>
          <w:i/>
          <w:iCs/>
        </w:rPr>
        <w:t>Octapla</w:t>
      </w:r>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r w:rsidR="006E10F7" w:rsidRPr="00C22DAA">
        <w:rPr>
          <w:rFonts w:ascii="Bookman Old Style" w:hAnsi="Bookman Old Style"/>
          <w:i/>
          <w:iCs/>
        </w:rPr>
        <w:t>aionios</w:t>
      </w:r>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lieve not that this wrath and indignation are passions of God; they are condescensions of language designed to convert and improve the child</w:t>
      </w:r>
      <w:r>
        <w:rPr>
          <w:rFonts w:ascii="Bookman Old Style" w:hAnsi="Bookman Old Style"/>
        </w:rPr>
        <w:t>….</w:t>
      </w:r>
      <w:r w:rsidR="00091D96" w:rsidRPr="002F5DC5">
        <w:rPr>
          <w:rFonts w:ascii="Bookman Old Style" w:hAnsi="Bookman Old Style"/>
        </w:rPr>
        <w:t xml:space="preserve"> So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w:t>
      </w:r>
      <w:r w:rsidRPr="00C22DAA">
        <w:rPr>
          <w:rFonts w:ascii="Bookman Old Style" w:hAnsi="Bookman Old Style"/>
          <w:i/>
          <w:iCs/>
        </w:rPr>
        <w:t>aeon</w:t>
      </w:r>
      <w:r w:rsidRPr="002F5DC5">
        <w:rPr>
          <w:rFonts w:ascii="Bookman Old Style" w:hAnsi="Bookman Old Style"/>
        </w:rPr>
        <w:t xml:space="preserve"> or the </w:t>
      </w:r>
      <w:r w:rsidRPr="00C22DAA">
        <w:rPr>
          <w:rFonts w:ascii="Bookman Old Style" w:hAnsi="Bookman Old Style"/>
          <w:i/>
          <w:iCs/>
        </w:rPr>
        <w:t>aeon</w:t>
      </w:r>
      <w:r w:rsidRPr="002F5DC5">
        <w:rPr>
          <w:rFonts w:ascii="Bookman Old Style" w:hAnsi="Bookman Old Style"/>
        </w:rPr>
        <w:t xml:space="preserve"> to come, would be in some one of the </w:t>
      </w:r>
      <w:r w:rsidRPr="00C22DAA">
        <w:rPr>
          <w:rFonts w:ascii="Bookman Old Style" w:hAnsi="Bookman Old Style"/>
          <w:i/>
          <w:iCs/>
        </w:rPr>
        <w:t>aeons</w:t>
      </w:r>
      <w:r w:rsidRPr="002F5DC5">
        <w:rPr>
          <w:rFonts w:ascii="Bookman Old Style" w:hAnsi="Bookman Old Style"/>
        </w:rPr>
        <w:t xml:space="preserve"> following. His argument that age (undoubtedly </w:t>
      </w:r>
      <w:r w:rsidRPr="00C22DAA">
        <w:rPr>
          <w:rFonts w:ascii="Bookman Old Style" w:hAnsi="Bookman Old Style"/>
          <w:i/>
          <w:iCs/>
        </w:rPr>
        <w:t>aion</w:t>
      </w:r>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De Principiis</w:t>
      </w:r>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r w:rsidRPr="00A01CA7">
        <w:rPr>
          <w:rFonts w:ascii="Bookman Old Style" w:hAnsi="Bookman Old Style"/>
        </w:rPr>
        <w:t>Huet</w:t>
      </w:r>
      <w:r w:rsidR="00091D96" w:rsidRPr="00A01CA7">
        <w:rPr>
          <w:rFonts w:ascii="Bookman Old Style" w:hAnsi="Bookman Old Style"/>
        </w:rPr>
        <w:t xml:space="preserve"> quotes Leontius</w:t>
      </w:r>
      <w:r w:rsidR="00091D96" w:rsidRPr="002F5DC5">
        <w:rPr>
          <w:rFonts w:ascii="Bookman Old Style" w:hAnsi="Bookman Old Style"/>
        </w:rPr>
        <w:t xml:space="preserve">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xml:space="preserve">. Barnabas, Hermas,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r w:rsidRPr="002F5DC5">
        <w:rPr>
          <w:rFonts w:ascii="Bookman Old Style" w:hAnsi="Bookman Old Style"/>
        </w:rPr>
        <w:t xml:space="preserve">Thus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so such ideas as Celsus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r w:rsidRPr="00A01CA7">
        <w:rPr>
          <w:rFonts w:ascii="Bookman Old Style" w:hAnsi="Bookman Old Style"/>
        </w:rPr>
        <w:t>Pamphilus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Contra Celsum</w:t>
      </w:r>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r w:rsidRPr="002F5DC5">
        <w:rPr>
          <w:rFonts w:ascii="Bookman Old Style" w:hAnsi="Bookman Old Style"/>
        </w:rPr>
        <w:t>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r w:rsidR="003F0D03" w:rsidRPr="002F5DC5">
        <w:rPr>
          <w:rFonts w:ascii="Bookman Old Style" w:hAnsi="Bookman Old Style"/>
        </w:rPr>
        <w:t xml:space="preserve">Heraclas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r w:rsidRPr="002F5DC5">
        <w:rPr>
          <w:rFonts w:ascii="Bookman Old Style" w:hAnsi="Bookman Old Style"/>
        </w:rPr>
        <w:lastRenderedPageBreak/>
        <w:t>Plumptre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r w:rsidR="00091D96" w:rsidRPr="001757FA">
        <w:rPr>
          <w:rFonts w:ascii="Bookman Old Style" w:hAnsi="Bookman Old Style"/>
          <w:i/>
          <w:iCs/>
        </w:rPr>
        <w:t>Denn wer den Be</w:t>
      </w:r>
      <w:r w:rsidR="001730C7" w:rsidRPr="001757FA">
        <w:rPr>
          <w:rFonts w:ascii="Bookman Old Style" w:hAnsi="Bookman Old Style"/>
          <w:i/>
          <w:iCs/>
        </w:rPr>
        <w:t xml:space="preserve">sten seiner Zeit genug gelebt, </w:t>
      </w:r>
      <w:r w:rsidR="001730C7" w:rsidRPr="001757FA">
        <w:rPr>
          <w:rFonts w:ascii="Bookman Old Style" w:hAnsi="Bookman Old Style"/>
          <w:i/>
          <w:iCs/>
        </w:rPr>
        <w:br/>
        <w:t>Der hat genug gelebt fu</w:t>
      </w:r>
      <w:r w:rsidR="00091D96" w:rsidRPr="001757FA">
        <w:rPr>
          <w:rFonts w:ascii="Bookman Old Style" w:hAnsi="Bookman Old Style"/>
          <w:i/>
          <w:iCs/>
        </w:rPr>
        <w:t>r</w:t>
      </w:r>
      <w:r w:rsidR="001730C7" w:rsidRPr="001757FA">
        <w:rPr>
          <w:rFonts w:ascii="Bookman Old Style" w:hAnsi="Bookman Old Style"/>
          <w:i/>
          <w:iCs/>
        </w:rPr>
        <w:t xml:space="preserve"> alle Zeiten.</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De Principiis</w:t>
      </w:r>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1757FA">
        <w:rPr>
          <w:rFonts w:ascii="Bookman Old Style" w:hAnsi="Bookman Old Style"/>
          <w:i/>
          <w:iCs/>
        </w:rPr>
        <w:t>Panarion</w:t>
      </w:r>
      <w:r w:rsidR="00091D96" w:rsidRPr="002F5DC5">
        <w:rPr>
          <w:rFonts w:ascii="Bookman Old Style" w:hAnsi="Bookman Old Style"/>
        </w:rPr>
        <w:t xml:space="preserve"> and epitom</w:t>
      </w:r>
      <w:r w:rsidRPr="002F5DC5">
        <w:rPr>
          <w:rFonts w:ascii="Bookman Old Style" w:hAnsi="Bookman Old Style"/>
        </w:rPr>
        <w:t xml:space="preserve">ized it in his </w:t>
      </w:r>
      <w:r w:rsidRPr="001757FA">
        <w:rPr>
          <w:rFonts w:ascii="Bookman Old Style" w:hAnsi="Bookman Old Style"/>
          <w:i/>
          <w:iCs/>
        </w:rPr>
        <w:t>Anacephalaeosis</w:t>
      </w:r>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r w:rsidRPr="002F5DC5">
        <w:rPr>
          <w:rFonts w:ascii="Bookman Old Style" w:hAnsi="Bookman Old Style"/>
          <w:i/>
        </w:rPr>
        <w:t>kolaston</w:t>
      </w:r>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 (greek),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001757FA">
        <w:rPr>
          <w:rFonts w:ascii="Bookman Old Style" w:hAnsi="Bookman Old Style"/>
        </w:rPr>
        <w:t>“</w:t>
      </w:r>
      <w:r w:rsidRPr="002F5DC5">
        <w:rPr>
          <w:rFonts w:ascii="Bookman Old Style" w:hAnsi="Bookman Old Style"/>
        </w:rPr>
        <w:t>tartarean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r w:rsidR="00556C34" w:rsidRPr="001757FA">
        <w:rPr>
          <w:rFonts w:ascii="Bookman Old Style" w:hAnsi="Bookman Old Style"/>
          <w:i/>
          <w:iCs/>
        </w:rPr>
        <w:t>Philosophumena</w:t>
      </w:r>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r w:rsidRPr="001757FA">
        <w:rPr>
          <w:rFonts w:ascii="Bookman Old Style" w:hAnsi="Bookman Old Style"/>
          <w:i/>
          <w:iCs/>
        </w:rPr>
        <w:t>Philosophumena</w:t>
      </w:r>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00091D96" w:rsidRPr="002F5DC5">
        <w:rPr>
          <w:rFonts w:ascii="Bookman Old Style" w:hAnsi="Bookman Old Style"/>
        </w:rPr>
        <w:t>Thus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1"/>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2"/>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160</w:t>
      </w:r>
      <w:r w:rsidR="001757FA">
        <w:rPr>
          <w:rFonts w:ascii="Bookman Old Style" w:hAnsi="Bookman Old Style"/>
        </w:rPr>
        <w:t xml:space="preserve"> AD</w:t>
      </w:r>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3"/>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85"/>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6"/>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7"/>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r w:rsidRPr="004A724F">
        <w:rPr>
          <w:rFonts w:ascii="Bookman Old Style" w:hAnsi="Bookman Old Style"/>
          <w:b/>
          <w:bCs/>
        </w:rPr>
        <w:t>Pressense</w:t>
      </w:r>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r w:rsidRPr="004A724F">
        <w:rPr>
          <w:rFonts w:ascii="Bookman Old Style" w:hAnsi="Bookman Old Style"/>
          <w:b/>
          <w:bCs/>
        </w:rPr>
        <w:t>Ha</w:t>
      </w:r>
      <w:r w:rsidR="0020134B" w:rsidRPr="004A724F">
        <w:rPr>
          <w:rFonts w:ascii="Bookman Old Style" w:hAnsi="Bookman Old Style"/>
          <w:b/>
          <w:bCs/>
        </w:rPr>
        <w:t>se</w:t>
      </w:r>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8"/>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9"/>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0"/>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is </w:t>
      </w:r>
      <w:r w:rsidR="00091D96" w:rsidRPr="002F5DC5">
        <w:rPr>
          <w:rFonts w:ascii="Bookman Old Style" w:hAnsi="Bookman Old Style"/>
        </w:rPr>
        <w:t>this religious histori</w:t>
      </w:r>
      <w:r w:rsidRPr="002F5DC5">
        <w:rPr>
          <w:rFonts w:ascii="Bookman Old Style" w:hAnsi="Bookman Old Style"/>
        </w:rPr>
        <w:t xml:space="preserve">an.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r w:rsidR="00091D96" w:rsidRPr="004A724F">
        <w:rPr>
          <w:rFonts w:ascii="Bookman Old Style" w:hAnsi="Bookman Old Style"/>
          <w:b/>
          <w:bCs/>
        </w:rPr>
        <w:t>Hagenbach</w:t>
      </w:r>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1"/>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r w:rsidRPr="004A724F">
        <w:rPr>
          <w:rFonts w:ascii="Bookman Old Style" w:hAnsi="Bookman Old Style"/>
          <w:b/>
          <w:bCs/>
        </w:rPr>
        <w:t>Hagenbach</w:t>
      </w:r>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r w:rsidR="00091D96" w:rsidRPr="004A724F">
        <w:rPr>
          <w:rFonts w:ascii="Bookman Old Style" w:hAnsi="Bookman Old Style"/>
          <w:b/>
          <w:bCs/>
        </w:rPr>
        <w:t>Hagenbac</w:t>
      </w:r>
      <w:r w:rsidRPr="004A724F">
        <w:rPr>
          <w:rFonts w:ascii="Bookman Old Style" w:hAnsi="Bookman Old Style"/>
          <w:b/>
          <w:bCs/>
        </w:rPr>
        <w:t>h</w:t>
      </w:r>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Guerike's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2"/>
      </w:r>
      <w:r w:rsidRPr="002F5DC5">
        <w:rPr>
          <w:rFonts w:ascii="Bookman Old Style" w:hAnsi="Bookman Old Style"/>
        </w:rPr>
        <w:t xml:space="preserve"> "It is noticeable that the </w:t>
      </w:r>
      <w:r w:rsidR="00091D96" w:rsidRPr="002F5DC5">
        <w:rPr>
          <w:rFonts w:ascii="Bookman Old Style" w:hAnsi="Bookman Old Style"/>
        </w:rPr>
        <w:t>exegetico-grammatical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r w:rsidRPr="003C42D0">
        <w:rPr>
          <w:rFonts w:ascii="Bookman Old Style" w:hAnsi="Bookman Old Style"/>
          <w:b/>
          <w:bCs/>
        </w:rPr>
        <w:t>Hagenbach</w:t>
      </w:r>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r w:rsidR="00091D96" w:rsidRPr="003C42D0">
        <w:rPr>
          <w:rFonts w:ascii="Bookman Old Style" w:hAnsi="Bookman Old Style"/>
          <w:b/>
          <w:bCs/>
        </w:rPr>
        <w:t>Ha</w:t>
      </w:r>
      <w:r w:rsidRPr="003C42D0">
        <w:rPr>
          <w:rFonts w:ascii="Bookman Old Style" w:hAnsi="Bookman Old Style"/>
          <w:b/>
          <w:bCs/>
        </w:rPr>
        <w:t>genbach</w:t>
      </w:r>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3"/>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r>
        <w:t>Firmilian.</w:t>
      </w:r>
      <w:bookmarkEnd w:id="62"/>
    </w:p>
    <w:p w14:paraId="0D68CAEA" w14:textId="18057CDC" w:rsidR="00091D96"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4"/>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AD</w:t>
      </w:r>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ceeded Heraclas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259 AD</w:t>
      </w:r>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r>
        <w:t>Theognostus and Pierius.</w:t>
      </w:r>
      <w:bookmarkEnd w:id="64"/>
    </w:p>
    <w:p w14:paraId="0D68CAEC" w14:textId="47AD15C7" w:rsidR="00091D96"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r w:rsidR="009240DE" w:rsidRPr="003C42D0">
        <w:rPr>
          <w:rFonts w:ascii="Bookman Old Style" w:hAnsi="Bookman Old Style"/>
          <w:i/>
          <w:iCs/>
        </w:rPr>
        <w:t>Origenes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r w:rsidRPr="003C42D0">
        <w:rPr>
          <w:rFonts w:ascii="Bookman Old Style" w:hAnsi="Bookman Old Style"/>
          <w:b/>
          <w:bCs/>
        </w:rPr>
        <w:t>Allin</w:t>
      </w:r>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r>
        <w:t>Pamphilus.</w:t>
      </w:r>
      <w:bookmarkEnd w:id="66"/>
    </w:p>
    <w:p w14:paraId="0D68CAEE" w14:textId="178A4BC9" w:rsidR="00091D96" w:rsidRPr="002F5DC5" w:rsidRDefault="009240DE" w:rsidP="009240DE">
      <w:pPr>
        <w:ind w:firstLine="720"/>
        <w:rPr>
          <w:rFonts w:ascii="Bookman Old Style" w:hAnsi="Bookman Old Style"/>
        </w:rPr>
      </w:pPr>
      <w:r w:rsidRPr="002F5DC5">
        <w:rPr>
          <w:rFonts w:ascii="Bookman Old Style" w:hAnsi="Bookman Old Style"/>
        </w:rPr>
        <w:t>Pamphilus,</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 xml:space="preserve">gen's books in their original Greek. Pamphilus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r w:rsidRPr="002F5DC5">
        <w:rPr>
          <w:rFonts w:ascii="Bookman Old Style" w:hAnsi="Bookman Old Style"/>
        </w:rPr>
        <w:t>Pamphilus's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6"/>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r w:rsidR="009240DE" w:rsidRPr="002F5DC5">
        <w:rPr>
          <w:rFonts w:ascii="Bookman Old Style" w:hAnsi="Bookman Old Style"/>
        </w:rPr>
        <w:t>Pamphilus</w:t>
      </w:r>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7"/>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and they have set me at nought.’</w:t>
      </w:r>
      <w:r w:rsidRPr="002F5DC5">
        <w:rPr>
          <w:rFonts w:ascii="Bookman Old Style" w:hAnsi="Bookman Old Style"/>
        </w:rPr>
        <w:t xml:space="preserve"> He spoke darkly then of those of the Jews who set at nought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r w:rsidRPr="002F5DC5">
        <w:rPr>
          <w:rFonts w:ascii="Bookman Old Style" w:hAnsi="Bookman Old Style"/>
          <w:i/>
        </w:rPr>
        <w:t>aionian</w:t>
      </w:r>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r w:rsidR="009240DE" w:rsidRPr="002F5DC5">
        <w:rPr>
          <w:rFonts w:ascii="Bookman Old Style" w:hAnsi="Bookman Old Style"/>
          <w:i/>
        </w:rPr>
        <w:t>aionian</w:t>
      </w:r>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r w:rsidR="00091D96" w:rsidRPr="002F5DC5">
        <w:rPr>
          <w:rFonts w:ascii="Bookman Old Style" w:hAnsi="Bookman Old Style"/>
        </w:rPr>
        <w:t xml:space="preserve">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8"/>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AD</w:t>
      </w:r>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9"/>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r w:rsidRPr="002F5DC5">
        <w:rPr>
          <w:rFonts w:ascii="Bookman Old Style" w:hAnsi="Bookman Old Style"/>
        </w:rPr>
        <w:t xml:space="preserve">Again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r w:rsidR="00C04506" w:rsidRPr="004B1413">
        <w:rPr>
          <w:rFonts w:ascii="Bookman Old Style" w:hAnsi="Bookman Old Style"/>
          <w:b/>
          <w:bCs/>
        </w:rPr>
        <w:t>Basnage</w:t>
      </w:r>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1"/>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Gieseler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AD</w:t>
      </w:r>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The Panarion</w:t>
      </w:r>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Methodius, bishop of Tyre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4"/>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AD</w:t>
      </w:r>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r w:rsidRPr="002F5DC5">
        <w:rPr>
          <w:rFonts w:ascii="Bookman Old Style" w:hAnsi="Bookman Old Style"/>
        </w:rPr>
        <w:t>Again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5"/>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6"/>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Petavius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A few drops of blood renew the whole world, and</w:t>
      </w:r>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7"/>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8"/>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Rufinus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9"/>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0"/>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16. Theodore of Mopsuestia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Theodore of Mopsuestia was born in Antioch, 350</w:t>
      </w:r>
      <w:r w:rsidR="00BC06B3">
        <w:rPr>
          <w:rFonts w:ascii="Bookman Old Style" w:hAnsi="Bookman Old Style"/>
        </w:rPr>
        <w:t xml:space="preserve"> AD</w:t>
      </w:r>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2"/>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Plumptre writes: </w:t>
      </w:r>
      <w:r w:rsidR="00E37426">
        <w:rPr>
          <w:rFonts w:ascii="Bookman Old Style" w:hAnsi="Bookman Old Style"/>
        </w:rPr>
        <w:t>“</w:t>
      </w:r>
      <w:r w:rsidRPr="002F5DC5">
        <w:rPr>
          <w:rFonts w:ascii="Bookman Old Style" w:hAnsi="Bookman Old Style"/>
        </w:rPr>
        <w:t>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in the </w:t>
      </w:r>
      <w:r w:rsidRPr="002F5DC5">
        <w:rPr>
          <w:rFonts w:ascii="Bookman Old Style" w:hAnsi="Bookman Old Style"/>
        </w:rPr>
        <w:t>cours</w:t>
      </w:r>
      <w:r w:rsidR="0073112A" w:rsidRPr="002F5DC5">
        <w:rPr>
          <w:rFonts w:ascii="Bookman Old Style" w:hAnsi="Bookman Old Style"/>
        </w:rPr>
        <w:t xml:space="preserve">e of a statement of Theodore's doctrine, Prof. </w:t>
      </w:r>
      <w:r w:rsidR="0073112A" w:rsidRPr="00E37426">
        <w:rPr>
          <w:rFonts w:ascii="Bookman Old Style" w:hAnsi="Bookman Old Style"/>
          <w:b/>
          <w:bCs/>
        </w:rPr>
        <w:t>Swete</w:t>
      </w:r>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3"/>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4"/>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5"/>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6"/>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Alexandrinus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Diodorus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odore of Mopsuestia,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8"/>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AD</w:t>
      </w:r>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9"/>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r w:rsidR="004C5AAD" w:rsidRPr="002F5DC5">
        <w:rPr>
          <w:rFonts w:ascii="Bookman Old Style" w:hAnsi="Bookman Old Style"/>
        </w:rPr>
        <w:t>Gezza</w:t>
      </w:r>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0"/>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Yeshua,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Living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ll arise, Why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1"/>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r w:rsidRPr="00332CF5">
        <w:rPr>
          <w:rFonts w:ascii="Bookman Old Style" w:hAnsi="Bookman Old Style"/>
          <w:b/>
          <w:bCs/>
        </w:rPr>
        <w:t>Olshausen</w:t>
      </w:r>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2"/>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"Macrina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4"/>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5"/>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r w:rsidR="00D20E66">
        <w:rPr>
          <w:rFonts w:ascii="Bookman Old Style" w:hAnsi="Bookman Old Style"/>
        </w:rPr>
        <w:t>….</w:t>
      </w:r>
      <w:r w:rsidR="00A70522" w:rsidRPr="002F5DC5">
        <w:rPr>
          <w:rFonts w:ascii="Bookman Old Style" w:hAnsi="Bookman Old Style"/>
        </w:rPr>
        <w:t xml:space="preserve">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6"/>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7"/>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8"/>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he says,</w:t>
      </w:r>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9"/>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0"/>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1"/>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4"/>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6"/>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8"/>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9"/>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0"/>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1"/>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2"/>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w:t>
      </w:r>
      <w:r w:rsidR="00D20E66">
        <w:rPr>
          <w:rFonts w:ascii="Bookman Old Style" w:hAnsi="Bookman Old Style"/>
        </w:rPr>
        <w:t>...</w:t>
      </w:r>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3"/>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4"/>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5"/>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6"/>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Titus of Bostra.</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7"/>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9"/>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0"/>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w:t>
      </w:r>
      <w:r w:rsidR="00D20E66">
        <w:rPr>
          <w:rFonts w:ascii="Bookman Old Style" w:hAnsi="Bookman Old Style"/>
        </w:rPr>
        <w:t>…</w:t>
      </w:r>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1"/>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2"/>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3"/>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5"/>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6"/>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7"/>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r w:rsidRPr="002F5DC5">
        <w:rPr>
          <w:rFonts w:ascii="Bookman Old Style" w:hAnsi="Bookman Old Style"/>
        </w:rPr>
        <w:t>Serapion.</w:t>
      </w:r>
      <w:bookmarkEnd w:id="8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8"/>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r w:rsidRPr="002F5DC5">
        <w:rPr>
          <w:rFonts w:ascii="Bookman Old Style" w:hAnsi="Bookman Old Style"/>
        </w:rPr>
        <w:t>Macarius Magnes.</w:t>
      </w:r>
      <w:bookmarkEnd w:id="8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9"/>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0"/>
      </w:r>
      <w:r w:rsidR="00652FD4">
        <w:rPr>
          <w:rFonts w:ascii="Bookman Old Style" w:hAnsi="Bookman Old Style"/>
        </w:rPr>
        <w:t>…</w:t>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Hilary, Bishop of Poictiers.</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at thou hast given him,</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all things,</w:t>
      </w:r>
      <w:r w:rsidR="00652FD4">
        <w:rPr>
          <w:rFonts w:ascii="Bookman Old Style" w:hAnsi="Bookman Old Style"/>
        </w:rPr>
        <w:t>…</w:t>
      </w:r>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61"/>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2"/>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isciple of Diodorus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r w:rsidRPr="002F5DC5">
        <w:rPr>
          <w:rFonts w:ascii="Bookman Old Style" w:hAnsi="Bookman Old Style"/>
        </w:rPr>
        <w:lastRenderedPageBreak/>
        <w:t>Theodoret, the Blessed.</w:t>
      </w:r>
      <w:bookmarkEnd w:id="8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3"/>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r w:rsidRPr="002F5DC5">
        <w:rPr>
          <w:rFonts w:ascii="Bookman Old Style" w:hAnsi="Bookman Old Style"/>
        </w:rPr>
        <w:t>Evagrius Ponticus.</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4"/>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r w:rsidRPr="002F5DC5">
        <w:rPr>
          <w:rFonts w:ascii="Bookman Old Style" w:hAnsi="Bookman Old Style"/>
        </w:rPr>
        <w:t>Rufinus.</w:t>
      </w:r>
      <w:bookmarkEnd w:id="92"/>
    </w:p>
    <w:p w14:paraId="0D68CB5F" w14:textId="42064F4F"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De Princi</w:t>
      </w:r>
      <w:r w:rsidR="00091D96" w:rsidRPr="00B134C5">
        <w:rPr>
          <w:rFonts w:ascii="Bookman Old Style" w:hAnsi="Bookman Old Style"/>
          <w:i/>
          <w:iCs/>
        </w:rPr>
        <w:t>piis</w:t>
      </w:r>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6"/>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7"/>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r w:rsidRPr="002F5DC5">
        <w:rPr>
          <w:rFonts w:ascii="Bookman Old Style" w:hAnsi="Bookman Old Style"/>
        </w:rPr>
        <w:t>Diodore, Bishop of Tarsus.</w:t>
      </w:r>
      <w:bookmarkEnd w:id="94"/>
    </w:p>
    <w:p w14:paraId="3BAB6DF2" w14:textId="77777777" w:rsidR="00B134C5" w:rsidRDefault="00C63A0F" w:rsidP="00AA46F5">
      <w:pPr>
        <w:ind w:firstLine="720"/>
        <w:rPr>
          <w:rFonts w:ascii="Bookman Old Style" w:hAnsi="Bookman Old Style"/>
        </w:rPr>
      </w:pPr>
      <w:r w:rsidRPr="002F5DC5">
        <w:rPr>
          <w:rFonts w:ascii="Bookman Old Style" w:hAnsi="Bookman Old Style"/>
        </w:rPr>
        <w:t xml:space="preserve">Diodore,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tude of the mercy to be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8"/>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“Dio</w:t>
      </w:r>
      <w:r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sa, and Salomo of Bassora,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r w:rsidRPr="002F5DC5">
        <w:rPr>
          <w:rFonts w:ascii="Bookman Old Style" w:hAnsi="Bookman Old Style"/>
        </w:rPr>
        <w:t>Dio</w:t>
      </w:r>
      <w:r w:rsidR="00091D96" w:rsidRPr="002F5DC5">
        <w:rPr>
          <w:rFonts w:ascii="Bookman Old Style" w:hAnsi="Bookman Old Style"/>
        </w:rPr>
        <w:t>dore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inasmuch as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r w:rsidR="00091D96" w:rsidRPr="002F5DC5">
        <w:rPr>
          <w:rFonts w:ascii="Bookman Old Style" w:hAnsi="Bookman Old Style"/>
        </w:rPr>
        <w:t>Diodore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ry, criticism and philology.</w:t>
      </w:r>
      <w:r w:rsidRPr="002F5DC5">
        <w:rPr>
          <w:rStyle w:val="FootnoteReference"/>
          <w:rFonts w:ascii="Bookman Old Style" w:hAnsi="Bookman Old Style"/>
        </w:rPr>
        <w:footnoteReference w:id="369"/>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Diodore's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Theodorus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0"/>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r w:rsidRPr="002F5DC5">
        <w:rPr>
          <w:rFonts w:ascii="Bookman Old Style" w:hAnsi="Bookman Old Style"/>
        </w:rPr>
        <w:lastRenderedPageBreak/>
        <w:t>Macarius.</w:t>
      </w:r>
      <w:bookmarkEnd w:id="96"/>
    </w:p>
    <w:p w14:paraId="0D68CB64" w14:textId="27AD0DC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Peter Chrysologus.</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Peter Chrysologus,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Bar-Sudaili.</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1"/>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r w:rsidR="00AA46F5" w:rsidRPr="007C025D">
        <w:rPr>
          <w:rFonts w:ascii="Bookman Old Style" w:hAnsi="Bookman Old Style"/>
          <w:b/>
          <w:bCs/>
        </w:rPr>
        <w:t>Ueberweg</w:t>
      </w:r>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2"/>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Emperor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r w:rsidRPr="002F5DC5">
        <w:rPr>
          <w:rFonts w:ascii="Bookman Old Style" w:hAnsi="Bookman Old Style"/>
        </w:rPr>
        <w:t xml:space="preserve">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ome had '</w:t>
      </w:r>
      <w:r w:rsidR="00E82C87">
        <w:rPr>
          <w:rFonts w:ascii="Bookman Old Style" w:hAnsi="Bookman Old Style"/>
        </w:rPr>
        <w:t>”</w:t>
      </w:r>
      <w:r w:rsidRPr="002F5DC5">
        <w:rPr>
          <w:rFonts w:ascii="Bookman Old Style" w:hAnsi="Bookman Old Style"/>
        </w:rPr>
        <w:t xml:space="preserve">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3"/>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 xml:space="preserve">Vigiliantius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4"/>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6"/>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Thus in his </w:t>
      </w:r>
      <w:r w:rsidR="00FE47DE" w:rsidRPr="00E82C87">
        <w:rPr>
          <w:rFonts w:ascii="Bookman Old Style" w:hAnsi="Bookman Old Style"/>
          <w:i/>
          <w:iCs/>
        </w:rPr>
        <w:t>Epis. ad Avit</w:t>
      </w:r>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7"/>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78"/>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every one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Jonah he says: </w:t>
      </w:r>
      <w:r w:rsidR="005E5788">
        <w:rPr>
          <w:rFonts w:ascii="Bookman Old Style" w:hAnsi="Bookman Old Style"/>
        </w:rPr>
        <w:t>“</w:t>
      </w:r>
      <w:r w:rsidR="008E649C" w:rsidRPr="002F5DC5">
        <w:rPr>
          <w:rFonts w:ascii="Bookman Old Style" w:hAnsi="Bookman Old Style"/>
        </w:rPr>
        <w:t>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r w:rsidRPr="002F5DC5">
        <w:rPr>
          <w:rFonts w:ascii="Bookman Old Style" w:hAnsi="Bookman Old Style"/>
        </w:rPr>
        <w:t>Gieseler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r w:rsidRPr="002F5DC5">
        <w:rPr>
          <w:rFonts w:ascii="Bookman Old Style" w:hAnsi="Bookman Old Style"/>
        </w:rPr>
        <w:t xml:space="preserve">at this time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period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9"/>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0"/>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2"/>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Diodorus,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of Di</w:t>
      </w:r>
      <w:r w:rsidRPr="002F5DC5">
        <w:rPr>
          <w:rFonts w:ascii="Bookman Old Style" w:hAnsi="Bookman Old Style"/>
        </w:rPr>
        <w:t>odore</w:t>
      </w:r>
      <w:r w:rsidR="00091D96" w:rsidRPr="002F5DC5">
        <w:rPr>
          <w:rFonts w:ascii="Bookman Old Style" w:hAnsi="Bookman Old Style"/>
        </w:rPr>
        <w:t>, of Tarsus</w:t>
      </w:r>
      <w:r w:rsidRPr="002F5DC5">
        <w:rPr>
          <w:rFonts w:ascii="Bookman Old Style" w:hAnsi="Bookman Old Style"/>
        </w:rPr>
        <w:t>, for six years, and a fellow-</w:t>
      </w:r>
      <w:r w:rsidR="00091D96" w:rsidRPr="002F5DC5">
        <w:rPr>
          <w:rFonts w:ascii="Bookman Old Style" w:hAnsi="Bookman Old Style"/>
        </w:rPr>
        <w:t>student with Theodore of Mopsuestia,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3"/>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Oh, wad ye tak a thought and mend,</w:t>
      </w:r>
      <w:r>
        <w:rPr>
          <w:rFonts w:ascii="Bookman Old Style" w:hAnsi="Bookman Old Style"/>
        </w:rPr>
        <w:t>”</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damned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5"/>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6"/>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8"/>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r w:rsidRPr="00586EE4">
        <w:rPr>
          <w:rFonts w:ascii="Bookman Old Style" w:hAnsi="Bookman Old Style"/>
          <w:i/>
          <w:iCs/>
        </w:rPr>
        <w:t>Ita</w:t>
      </w:r>
      <w:r w:rsidR="00AF07A4" w:rsidRPr="00586EE4">
        <w:rPr>
          <w:rFonts w:ascii="Bookman Old Style" w:hAnsi="Bookman Old Style"/>
          <w:i/>
          <w:iCs/>
        </w:rPr>
        <w:t>la</w:t>
      </w:r>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r w:rsidR="00AF07A4" w:rsidRPr="00586EE4">
        <w:rPr>
          <w:rFonts w:ascii="Bookman Old Style" w:hAnsi="Bookman Old Style"/>
          <w:i/>
          <w:iCs/>
        </w:rPr>
        <w:t>Principiis</w:t>
      </w:r>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gainst the Priscillianists and Origenists</w:t>
      </w:r>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Milman: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1"/>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2"/>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3"/>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4"/>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5"/>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r w:rsidR="003B5022" w:rsidRPr="002F5DC5">
        <w:rPr>
          <w:rFonts w:ascii="Bookman Old Style" w:hAnsi="Bookman Old Style"/>
        </w:rPr>
        <w:t xml:space="preserve">Huet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into an Africo-Romano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r w:rsidRPr="002F5DC5">
        <w:rPr>
          <w:rFonts w:ascii="Bookman Old Style" w:hAnsi="Bookman Old Style"/>
        </w:rPr>
        <w:t xml:space="preserve">Milman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6"/>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8"/>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r w:rsidR="007E057D">
        <w:rPr>
          <w:rFonts w:ascii="Bookman Old Style" w:hAnsi="Bookman Old Style"/>
        </w:rPr>
        <w:t>Chambré</w:t>
      </w:r>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Origenists, and all wh</w:t>
      </w:r>
      <w:r w:rsidR="00B17CCB" w:rsidRPr="002F5DC5">
        <w:rPr>
          <w:rFonts w:ascii="Bookman Old Style" w:hAnsi="Bookman Old Style"/>
        </w:rPr>
        <w:t xml:space="preserve">o held with them, that the Son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9"/>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w:t>
      </w:r>
      <w:r w:rsidR="000D78D9">
        <w:rPr>
          <w:rFonts w:ascii="Bookman Old Style" w:hAnsi="Bookman Old Style"/>
        </w:rPr>
        <w:t>“</w:t>
      </w:r>
      <w:r w:rsidRPr="002F5DC5">
        <w:rPr>
          <w:rFonts w:ascii="Bookman Old Style" w:hAnsi="Bookman Old Style"/>
        </w:rPr>
        <w:t xml:space="preserve">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r w:rsidR="00B17CCB" w:rsidRPr="000D78D9">
        <w:rPr>
          <w:rFonts w:ascii="Bookman Old Style" w:hAnsi="Bookman Old Style"/>
          <w:i/>
          <w:iCs/>
        </w:rPr>
        <w:t>Meteorologica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 xml:space="preserve">t.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 xml:space="preserve">Theodorus,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4"/>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5"/>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6"/>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Plumptre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7"/>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8"/>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ver opposed for his Universal</w:t>
      </w:r>
      <w:r w:rsidR="00091D96" w:rsidRPr="002F5DC5">
        <w:rPr>
          <w:rFonts w:ascii="Bookman Old Style" w:hAnsi="Bookman Old Style"/>
        </w:rPr>
        <w:t xml:space="preserve">ism;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 xml:space="preserve">versalism;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ears later Pamphilus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them;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Eustathius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items;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mankind;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r w:rsidRPr="002F5DC5">
        <w:rPr>
          <w:rFonts w:ascii="Bookman Old Style" w:hAnsi="Bookman Old Style"/>
        </w:rPr>
        <w:t xml:space="preserve">Milman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09"/>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work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r w:rsidRPr="002F5DC5">
        <w:rPr>
          <w:rFonts w:ascii="Bookman Old Style" w:hAnsi="Bookman Old Style"/>
        </w:rPr>
        <w:t xml:space="preserve">Harnack,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0"/>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1"/>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r w:rsidRPr="002F5DC5">
        <w:rPr>
          <w:rFonts w:ascii="Bookman Old Style" w:hAnsi="Bookman Old Style"/>
        </w:rPr>
        <w:t xml:space="preserve">Milman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2"/>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belonging to the </w:t>
      </w:r>
      <w:r w:rsidR="007913AB">
        <w:rPr>
          <w:rFonts w:ascii="Bookman Old Style" w:hAnsi="Bookman Old Style"/>
        </w:rPr>
        <w:t>“</w:t>
      </w:r>
      <w:r w:rsidR="004516FD" w:rsidRPr="002F5DC5">
        <w:rPr>
          <w:rFonts w:ascii="Bookman Old Style" w:hAnsi="Bookman Old Style"/>
        </w:rPr>
        <w:t>Or</w:t>
      </w:r>
      <w:r w:rsidRPr="002F5DC5">
        <w:rPr>
          <w:rFonts w:ascii="Bookman Old Style" w:hAnsi="Bookman Old Style"/>
        </w:rPr>
        <w:t xml:space="preserve">igenist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3"/>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4"/>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5"/>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6"/>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its lost ground, and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7"/>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8"/>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9"/>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st Celsus</w:t>
      </w:r>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r w:rsidRPr="00377200">
        <w:rPr>
          <w:rFonts w:ascii="Bookman Old Style" w:hAnsi="Bookman Old Style"/>
        </w:rPr>
        <w:t>A</w:t>
      </w:r>
      <w:bookmarkEnd w:id="109"/>
      <w:r w:rsidR="00844304">
        <w:rPr>
          <w:rFonts w:ascii="Bookman Old Style" w:hAnsi="Bookman Old Style"/>
        </w:rPr>
        <w:t>llin,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r w:rsidRPr="00377200">
        <w:rPr>
          <w:rFonts w:ascii="Bookman Old Style" w:hAnsi="Bookman Old Style"/>
        </w:rPr>
        <w:t>Bryennios, Philotheos</w:t>
      </w:r>
      <w:bookmarkEnd w:id="112"/>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r>
        <w:rPr>
          <w:rFonts w:ascii="Bookman Old Style" w:hAnsi="Bookman Old Style"/>
        </w:rPr>
        <w:t>Chambré</w:t>
      </w:r>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r w:rsidRPr="002F5DC5">
        <w:rPr>
          <w:rFonts w:ascii="Bookman Old Style" w:hAnsi="Bookman Old Style"/>
        </w:rPr>
        <w:t>Hagenbach,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r>
        <w:rPr>
          <w:rFonts w:ascii="Bookman Old Style" w:hAnsi="Bookman Old Style"/>
        </w:rPr>
        <w:t>Haweis</w:t>
      </w:r>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r>
        <w:rPr>
          <w:rFonts w:ascii="Bookman Old Style" w:hAnsi="Bookman Old Style"/>
        </w:rPr>
        <w:t>Milman,</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Encyclopedia Britannica notes Mosheim as being a “German Lutheran theologian who founded the pragmatic school of church historians, which insisted on objective, critical treatment of original sources.” He held positions at Helmstedt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r>
        <w:rPr>
          <w:rFonts w:ascii="Bookman Old Style" w:hAnsi="Bookman Old Style"/>
        </w:rPr>
        <w:t>Pressens</w:t>
      </w:r>
      <w:r w:rsidRPr="004A41F5">
        <w:rPr>
          <w:rFonts w:ascii="Bookman Old Style" w:hAnsi="Bookman Old Style"/>
        </w:rPr>
        <w:t>é</w:t>
      </w:r>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r>
        <w:rPr>
          <w:rFonts w:ascii="Bookman Old Style" w:hAnsi="Bookman Old Style"/>
        </w:rPr>
        <w:t>Chambré</w:t>
      </w:r>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I do not like when an author updates another individual’s work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I have not noted everywhere I have changed words – there are far to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187E" w14:textId="77777777" w:rsidR="001110FB" w:rsidRDefault="001110FB" w:rsidP="00661298">
      <w:pPr>
        <w:spacing w:after="0" w:line="240" w:lineRule="auto"/>
      </w:pPr>
      <w:r>
        <w:separator/>
      </w:r>
    </w:p>
  </w:endnote>
  <w:endnote w:type="continuationSeparator" w:id="0">
    <w:p w14:paraId="2DC2B2CB" w14:textId="77777777" w:rsidR="001110FB" w:rsidRDefault="001110FB"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7E8E" w14:textId="77777777" w:rsidR="001110FB" w:rsidRDefault="001110FB" w:rsidP="00661298">
      <w:pPr>
        <w:spacing w:after="0" w:line="240" w:lineRule="auto"/>
      </w:pPr>
      <w:r>
        <w:separator/>
      </w:r>
    </w:p>
  </w:footnote>
  <w:footnote w:type="continuationSeparator" w:id="0">
    <w:p w14:paraId="4BDC06D5" w14:textId="77777777" w:rsidR="001110FB" w:rsidRDefault="001110FB"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older I find myself convicted of hubris in determining that free will does not exist. The fact that I can logically not comprehend it’s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r w:rsidRPr="000628B5">
        <w:rPr>
          <w:i/>
        </w:rPr>
        <w:t>Text-book of Christian Doctrine</w:t>
      </w:r>
      <w:r w:rsidR="007E057D">
        <w:rPr>
          <w:i/>
        </w:rPr>
        <w:t>; Gieseler’s Text Book: Neander.</w:t>
      </w:r>
      <w:r>
        <w:t xml:space="preserve"> – th</w:t>
      </w:r>
      <w:r w:rsidR="007E057D">
        <w:t>e first</w:t>
      </w:r>
      <w:r>
        <w:t xml:space="preserve"> might be </w:t>
      </w:r>
      <w:r>
        <w:rPr>
          <w:i/>
        </w:rPr>
        <w:t>A Text-book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Aionion,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Lamson’s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Constans Augustus (AD 323-350).</w:t>
      </w:r>
    </w:p>
  </w:footnote>
  <w:footnote w:id="38">
    <w:p w14:paraId="0D68CC10" w14:textId="20A0895B" w:rsidR="00210409" w:rsidRDefault="00210409">
      <w:pPr>
        <w:pStyle w:val="FootnoteText"/>
      </w:pPr>
      <w:r>
        <w:rPr>
          <w:rStyle w:val="FootnoteReference"/>
        </w:rPr>
        <w:footnoteRef/>
      </w:r>
      <w:r>
        <w:t xml:space="preserve"> JW: Hort’s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καὶ ζωὴν του μέλλοντος ἀιῶνος.</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Harnack’s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πιστεύω εἰς θεὸν πατέρα παντοκράτορα. καὶ εἰς Χριστὸν Ἰησοῦν, υἱὸν αὐτοῦ τὸν μοναγενῆ, τὸν κύριον ἡμῶν, τὸν γεννηθέντα ἐκ πνεύματος ἁγίου καὶ Μαρίας τῆς παρθένου, τὸν ἐπὶ Ποντίου Πιλάτου σταυρωθέντα καὶ ταφέντα, τῆ τρίτη ἠμέρᾳ ἀναστάντα έκ νεκρῶν, ἀναβάντα εἰς τοὺς οὐρανοὺς, καθ ήμενον έν δεξιᾷ τοῦ πατρὸς, ὅθεν ἔρϰεται κρῖναι ζῶντας καὶ νκερούς. καὶ εἰς πνεῦμα ἅγιον, ἁγίαν ἐκκλησίαν, ἄφεσιν ἁμαρτιῶν, σαρκὸς ἀνάστασιν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antinatalism and an overview of the topic along with some historical notes can be found in Masahiro Morioka’s “What is Antinatalism?: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Uhlhorn’s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r>
        <w:t>Haweis.</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Haweis.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Haweis.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Plumptre’s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Milman.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quote, but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r w:rsidRPr="00252F18">
        <w:t>Pressensé</w:t>
      </w:r>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xml:space="preserve">, 1840) uses the quote (pg iv) and includes in the footnotes the Latin original. Since the source was not provided it seems Hanson was unable to discover it. I’ve been able to trace the quote down to a letter from Jerome to Demetrias.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Milman’s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aforementioned </w:t>
      </w:r>
      <w:r>
        <w:rPr>
          <w:i/>
          <w:iCs/>
        </w:rPr>
        <w:t>History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r>
        <w:t xml:space="preserve">Milman’s </w:t>
      </w:r>
      <w:r w:rsidRPr="00403B3E">
        <w:rPr>
          <w:i/>
          <w:iCs/>
        </w:rPr>
        <w:t>Latin Christianity</w:t>
      </w:r>
      <w:r>
        <w:t>. “The breath of the best Greek Fathers, such as Origen, or Clement of Alexandria, is a thousand times superior to the dry, harsh narrowness of the Latins.” Athanase Coquerel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Allin,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r>
        <w:t xml:space="preserve">Cutts,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See DeRossi,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JW: See DeRossi,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1877, pg. 113. If there is another source more directly from De Rossi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r w:rsidRPr="00A24A03">
        <w:rPr>
          <w:i/>
        </w:rPr>
        <w:t>Sempter in D. vivas,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Victorina dormit.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r>
        <w:rPr>
          <w:i/>
        </w:rPr>
        <w:t>Zoticus hic ad dormiendum.</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Raptus eterne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r>
        <w:t>Mariott,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r w:rsidR="00A16B9C">
        <w:rPr>
          <w:i/>
          <w:iCs/>
        </w:rPr>
        <w:t>Hom. De Coem. Et Cruc</w:t>
      </w:r>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r w:rsidRPr="002C4B8B">
        <w:rPr>
          <w:i/>
          <w:iCs/>
        </w:rPr>
        <w:t>Aion-Aionios</w:t>
      </w:r>
      <w:r>
        <w:t xml:space="preserve">, pp. 109-14; also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r w:rsidR="002C4B8B" w:rsidRPr="002C4B8B">
        <w:t>ζῆν ἀποθνἡσκοντα ἀεὶ καὶ τρότον τινα θάνατον αθάνατον ὡπομείνων καὶ ὰτελεὺτητον</w:t>
      </w:r>
      <w:r>
        <w:t xml:space="preserve"> </w:t>
      </w:r>
      <w:r w:rsidRPr="002C4B8B">
        <w:rPr>
          <w:i/>
          <w:iCs/>
        </w:rPr>
        <w:t>De Praemiis</w:t>
      </w:r>
      <w:r>
        <w:t xml:space="preserve"> and </w:t>
      </w:r>
      <w:r w:rsidRPr="002C4B8B">
        <w:rPr>
          <w:i/>
          <w:iCs/>
        </w:rPr>
        <w:t>Poenis</w:t>
      </w:r>
      <w:r>
        <w:t xml:space="preserve"> Tom. II, pp. 19-20. Mangey’s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“Solom. Parab.”</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r>
        <w:t>Donnegan,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“Aion-Aionios.”</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r w:rsidRPr="002C4B8B">
        <w:rPr>
          <w:i/>
          <w:iCs/>
        </w:rPr>
        <w:t>Aion-Aionios</w:t>
      </w:r>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r w:rsidRPr="002C4B8B">
        <w:rPr>
          <w:i/>
          <w:iCs/>
        </w:rPr>
        <w:t>aionion</w:t>
      </w:r>
      <w:r>
        <w:t xml:space="preserve"> correction (</w:t>
      </w:r>
      <w:r>
        <w:rPr>
          <w:i/>
        </w:rPr>
        <w:t>aionion kolasin</w:t>
      </w:r>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r>
        <w:t>Hagenbach,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The Book of Enoch, translated from the Ethiopian, with Introduction and Notes. By Rev. George H. Schodde.</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r>
        <w:t>Milman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Virgil’s Aeneid. Apollodorus, Hesiod, Herodotus, Plutarch, Diodorus,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r>
        <w:t>Milman’s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r>
        <w:t>Coquerel’s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Conybeare’s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Doct.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also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Doct.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Universalist Quarterly, January,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J.H. Newman, Arians; Apologia Pro Vita Sua.</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r>
        <w:t>Allin,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r w:rsidR="0084195D" w:rsidRPr="0084195D">
        <w:t>συμπεριϕερόμενοι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Against Celsus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r w:rsidR="0084195D" w:rsidRPr="0084195D">
        <w:t>κηρύγματα</w:t>
      </w:r>
      <w:r w:rsidR="0084195D">
        <w:t xml:space="preserve"> what is openly proclaimed and </w:t>
      </w:r>
      <w:r w:rsidR="0084195D" w:rsidRPr="0084195D">
        <w:t>δόγματα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Historia Dogmatica de Descensu Christi ad Inferos. J.A. Dietelmaier.</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De Passione et Cruce Domini. Migne,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r>
        <w:t>Carm.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Farrar’s “Early Days of Christianity,” ch.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r>
        <w:t>Asseman, IV, p. 344. See Prof. Plumptre’s “Spirits in Prison,” p. 141;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Book I, ch.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r>
        <w:t>Archs.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r w:rsidR="00595517" w:rsidRPr="00595517">
        <w:t>Θάνατον δυι τιμωριας έν ἀθαυασια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Bunsen, Hipp.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r>
        <w:t>Apol.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r>
        <w:t>Migne, II, p. 1184.</w:t>
      </w:r>
    </w:p>
  </w:footnote>
  <w:footnote w:id="169">
    <w:p w14:paraId="0D68CC7E" w14:textId="77777777" w:rsidR="00210409" w:rsidRDefault="00210409">
      <w:pPr>
        <w:pStyle w:val="FootnoteText"/>
      </w:pPr>
      <w:r>
        <w:rPr>
          <w:rStyle w:val="FootnoteReference"/>
        </w:rPr>
        <w:footnoteRef/>
      </w:r>
      <w:r>
        <w:t xml:space="preserve"> Hipp.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πᾶν τὸ κακὸν</w:t>
      </w:r>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r w:rsidR="00F82BFD" w:rsidRPr="00F82BFD">
        <w:t>εἰς τό ἀποκαταλλάξαι τὰ πᾶντα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See the long note in Stieren</w:t>
      </w:r>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r w:rsidR="00F82BFD">
        <w:t xml:space="preserve">   </w:t>
      </w:r>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Bunsen’s Hipp.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The standard authorities on Gnosticism are Neander, Baur, Matter, Bigg, Mansel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r>
        <w:t>Mansel,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r>
        <w:t>Stieren’s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B. VIII, ii, verses 195-340 Ed. Opsopoei,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r w:rsidRPr="008522DC">
        <w:rPr>
          <w:i/>
          <w:iCs/>
        </w:rPr>
        <w:t>Historum Deorum Fatidicorum, Vatam Sibyllorum</w:t>
      </w:r>
      <w:r>
        <w:t xml:space="preserve">, etc., p. 184: (1675) </w:t>
      </w:r>
      <w:r w:rsidRPr="008522DC">
        <w:rPr>
          <w:i/>
          <w:iCs/>
        </w:rPr>
        <w:t>Dicit damnatos liberandos postquam poenas infernales per aliquot secula erunt perpessi, qui Origenis fuit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Notes (p. 27) to Bib. Orac (Paris: 1607). “</w:t>
      </w:r>
      <w:r w:rsidRPr="008522DC">
        <w:rPr>
          <w:i/>
          <w:iCs/>
        </w:rPr>
        <w:t>Impil gehennae supplicio addicti post certi temporis et peccatorum per Dolores expiationem, ex poenis liberenteur. Quae sententia fuit Origenis,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“The Sibylline Oracles, Translated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B. II, vv: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Robertson Hist. Ch., Vol. I, p. 90; Bingham, Vol. III, x, 5; Neander, Hist., Ch. Ii,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Similar institutions were in Antioch, Athens, Edessa, Nisibis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l’Ecole d’Alexandrie;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Patrum Ecclesiae Graecorum, Pars. III. Titi Flaui Clementis Alexandrini Opera Omnia Tom</w:t>
      </w:r>
      <w:r>
        <w:t>. I, IV. Recognouit Reinholdus Klotz. Lipsiae, Sumptibus, E. B. Schwickerti, I, 182. Also Migne’s Patrologiae.</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r>
        <w:t>Hipp.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r>
        <w:t>Paed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r w:rsidR="001B3A3D" w:rsidRPr="001B3A3D">
        <w:t>Πυρ φρονιμον</w:t>
      </w:r>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r>
        <w:t>Poedag.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r>
        <w:t>Paed.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r w:rsidR="00674A95" w:rsidRPr="00674A95">
        <w:t>διὰ πὺρος κάθαρσιν τῶν κακῶς</w:t>
      </w:r>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Christian Doct.,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res on the Ecc. Hist. of the First and Second Cenrturies,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Hist. Christ. Church, Second and Third Centuries, Jeremie,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r>
        <w:t>Hom. VI., 4, in Exod. Qui salvus fit per ignem salvus fit, ut, si quid forte de specie plumbi habuerit admixtum, id ignis decoquat et resolvat, ut efficiantur omnes aurum purum.</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Eusebius Eccl. Hist. VI. Butler’s Lives of the Saints, Vol. IV, pp. 224-231, contains quite a full sketch of Origen’s life, though as he was not canonized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De Pressense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Bayle, Dict. Hist. Art. Origene.</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Cels.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Consult also, Mosheim, Dorner, and De Pressense.</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Homily XI in Numbers, in Migne.</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r>
        <w:t>Harnack’s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r w:rsidR="00125956" w:rsidRPr="00125956">
        <w:t>Περί Ἀρχῶν</w:t>
      </w:r>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r>
        <w:t xml:space="preserve">Uhlhorn (B. II, c. ii) says that in Celsus’s attack “Every argument is to be found which has been brought against Christianity up to the present day.” “The True Word of Celsus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r>
        <w:t>Kitto Cyclo;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De Principiis, Crombie’s Translation. Epist. ad Amicos.</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Hom. Xviii: 6, </w:t>
      </w:r>
      <w:r w:rsidR="004A329F">
        <w:t>Against Celsus</w:t>
      </w:r>
      <w:r>
        <w:t>. IV. Xxii.</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Selecta in Exodum:</w:t>
      </w:r>
      <w:r w:rsidR="00A01CA7">
        <w:t xml:space="preserve"> (Greek) </w:t>
      </w:r>
      <w:r w:rsidR="00A01CA7" w:rsidRPr="00A01CA7">
        <w:t>ἕκαστος οῦν συνειδὼς ἁμαρτίας ἑαυτῷ ευχέσθω κολασθήναι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De Prin. II. Iii: 5.</w:t>
      </w:r>
    </w:p>
  </w:footnote>
  <w:footnote w:id="240">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pg. 409, “For an exhaustive treatment of this word aionios see Hanson’s Aion Aionios.”</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Against Celsus</w:t>
      </w:r>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i. </w:t>
      </w:r>
      <w:r w:rsidR="004A329F">
        <w:t>Against Celsus</w:t>
      </w:r>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VIII. Lxii.</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Cels</w:t>
      </w:r>
      <w:r w:rsidR="004A329F">
        <w:t>us,</w:t>
      </w:r>
      <w:r>
        <w:t xml:space="preserve"> VI. Xxvi.</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Cels</w:t>
      </w:r>
      <w:r w:rsidR="00E303EF">
        <w:t>us</w:t>
      </w:r>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Cels</w:t>
      </w:r>
      <w:r w:rsidR="00E303EF">
        <w:t>us</w:t>
      </w:r>
      <w:r>
        <w:t>. VIII. Xxxix. Xl.</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r w:rsidR="00312381" w:rsidRPr="00312381">
        <w:t>ἀιὼν</w:t>
      </w:r>
      <w:r>
        <w:t xml:space="preserve"> meant limited duration, and consequently that </w:t>
      </w:r>
      <w:r w:rsidR="00312381" w:rsidRPr="00312381">
        <w:t>ἀιὼνεστῶν ἀιῶνων</w:t>
      </w:r>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Against Celsus</w:t>
      </w:r>
      <w:r>
        <w:t>. IV. Xiii;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“The theology of Christendom and its character for the first three centuries was shaped by three men. Ignatius, Irenaeus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Spirits in Prison, pg. 13. Dr. Ballou in his Ancient History of Universalism (p. 95, note) gives at length references to the passages in Delarue’s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Pressense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Routh, Reliquiae Sacrae,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Doct.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Socrates, the ecclesiastical historian, defends Origen from the attacks of his enemies, and finding him sound on the co-eternity of Christ with God, will not hear of any heresy in him. Eccl. Hist., b. vi, ch. Xiii.</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r>
        <w:t>Enchirid.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1">
    <w:p w14:paraId="0D68CCE3" w14:textId="77777777" w:rsidR="00210409" w:rsidRDefault="00210409">
      <w:pPr>
        <w:pStyle w:val="FootnoteText"/>
      </w:pPr>
      <w:r>
        <w:rPr>
          <w:rStyle w:val="FootnoteReference"/>
        </w:rPr>
        <w:footnoteRef/>
      </w:r>
      <w:r>
        <w:t xml:space="preserve"> Christ. Plat. Of Alex., p. 308.</w:t>
      </w:r>
    </w:p>
  </w:footnote>
  <w:footnote w:id="272">
    <w:p w14:paraId="0D68CCE4" w14:textId="77777777" w:rsidR="00210409" w:rsidRDefault="00210409">
      <w:pPr>
        <w:pStyle w:val="FootnoteText"/>
      </w:pPr>
      <w:r>
        <w:rPr>
          <w:rStyle w:val="FootnoteReference"/>
        </w:rPr>
        <w:footnoteRef/>
      </w:r>
      <w:r>
        <w:t xml:space="preserve"> Hipp. and his Age, pp. 285, 286.</w:t>
      </w:r>
    </w:p>
  </w:footnote>
  <w:footnote w:id="273">
    <w:p w14:paraId="0D68CCE5" w14:textId="77777777" w:rsidR="00210409" w:rsidRDefault="00210409">
      <w:pPr>
        <w:pStyle w:val="FootnoteText"/>
      </w:pPr>
      <w:r>
        <w:rPr>
          <w:rStyle w:val="FootnoteReference"/>
        </w:rPr>
        <w:footnoteRef/>
      </w:r>
      <w:r>
        <w:t xml:space="preserve"> Bunsen, pp. 326-327.</w:t>
      </w:r>
    </w:p>
  </w:footnote>
  <w:footnote w:id="274">
    <w:p w14:paraId="0D68CCE6" w14:textId="77777777" w:rsidR="00210409" w:rsidRDefault="00210409">
      <w:pPr>
        <w:pStyle w:val="FootnoteText"/>
      </w:pPr>
      <w:r>
        <w:rPr>
          <w:rStyle w:val="FootnoteReference"/>
        </w:rPr>
        <w:footnoteRef/>
      </w:r>
      <w:r>
        <w:t xml:space="preserve"> Essays, pp. 236-252.</w:t>
      </w:r>
    </w:p>
  </w:footnote>
  <w:footnote w:id="275">
    <w:p w14:paraId="0D68CCE7" w14:textId="77777777" w:rsidR="00210409" w:rsidRDefault="00210409">
      <w:pPr>
        <w:pStyle w:val="FootnoteText"/>
      </w:pPr>
      <w:r>
        <w:rPr>
          <w:rStyle w:val="FootnoteReference"/>
        </w:rPr>
        <w:footnoteRef/>
      </w:r>
      <w:r>
        <w:t xml:space="preserve"> Cred. Gos. Hist., Vol. II, pg. 488.</w:t>
      </w:r>
    </w:p>
  </w:footnote>
  <w:footnote w:id="276">
    <w:p w14:paraId="0D68CCE8" w14:textId="77777777" w:rsidR="00210409" w:rsidRDefault="00210409">
      <w:pPr>
        <w:pStyle w:val="FootnoteText"/>
      </w:pPr>
      <w:r>
        <w:rPr>
          <w:rStyle w:val="FootnoteReference"/>
        </w:rPr>
        <w:footnoteRef/>
      </w:r>
      <w:r>
        <w:t xml:space="preserve"> April, 1874.</w:t>
      </w:r>
    </w:p>
  </w:footnote>
  <w:footnote w:id="277">
    <w:p w14:paraId="0D68CCE9" w14:textId="77777777" w:rsidR="00210409" w:rsidRDefault="00210409">
      <w:pPr>
        <w:pStyle w:val="FootnoteText"/>
      </w:pPr>
      <w:r>
        <w:rPr>
          <w:rStyle w:val="FootnoteReference"/>
        </w:rPr>
        <w:footnoteRef/>
      </w:r>
      <w:r>
        <w:t xml:space="preserve"> Theos. Or Psych. Rel. Lect. XIII.</w:t>
      </w:r>
    </w:p>
  </w:footnote>
  <w:footnote w:id="278">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9">
    <w:p w14:paraId="0D68CCEB" w14:textId="77777777" w:rsidR="00210409" w:rsidRDefault="00210409">
      <w:pPr>
        <w:pStyle w:val="FootnoteText"/>
      </w:pPr>
      <w:r>
        <w:rPr>
          <w:rStyle w:val="FootnoteReference"/>
        </w:rPr>
        <w:footnoteRef/>
      </w:r>
      <w:r>
        <w:t xml:space="preserve"> Philosophumena or Refutation of Heresy.</w:t>
      </w:r>
    </w:p>
  </w:footnote>
  <w:footnote w:id="280">
    <w:p w14:paraId="0D68CCEC" w14:textId="77777777" w:rsidR="00210409" w:rsidRDefault="00210409">
      <w:pPr>
        <w:pStyle w:val="FootnoteText"/>
      </w:pPr>
      <w:r>
        <w:rPr>
          <w:rStyle w:val="FootnoteReference"/>
        </w:rPr>
        <w:footnoteRef/>
      </w:r>
      <w:r>
        <w:t xml:space="preserve"> See pg. 190 of original.</w:t>
      </w:r>
    </w:p>
  </w:footnote>
  <w:footnote w:id="281">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82">
    <w:p w14:paraId="0D68CCEE" w14:textId="77777777" w:rsidR="00210409" w:rsidRDefault="00210409">
      <w:pPr>
        <w:pStyle w:val="FootnoteText"/>
      </w:pPr>
      <w:r>
        <w:rPr>
          <w:rStyle w:val="FootnoteReference"/>
        </w:rPr>
        <w:footnoteRef/>
      </w:r>
      <w:r>
        <w:t xml:space="preserve"> Ad Autolicum, lib. II, cap. 26, Vol. VI, Migne’s Patrologiae.</w:t>
      </w:r>
    </w:p>
  </w:footnote>
  <w:footnote w:id="283">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84">
    <w:p w14:paraId="0D68CCF0" w14:textId="77777777" w:rsidR="00210409" w:rsidRDefault="00210409">
      <w:pPr>
        <w:pStyle w:val="FootnoteText"/>
      </w:pPr>
      <w:r>
        <w:rPr>
          <w:rStyle w:val="FootnoteReference"/>
        </w:rPr>
        <w:footnoteRef/>
      </w:r>
      <w:r>
        <w:t xml:space="preserve"> Oxford Tracts for the Times, No. XVII.</w:t>
      </w:r>
    </w:p>
  </w:footnote>
  <w:footnote w:id="285">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6">
    <w:p w14:paraId="0D68CCF2" w14:textId="77777777" w:rsidR="00210409" w:rsidRDefault="00210409">
      <w:pPr>
        <w:pStyle w:val="FootnoteText"/>
      </w:pPr>
      <w:r>
        <w:rPr>
          <w:rStyle w:val="FootnoteReference"/>
        </w:rPr>
        <w:footnoteRef/>
      </w:r>
      <w:r>
        <w:t xml:space="preserve"> Apol., cap. 18.</w:t>
      </w:r>
    </w:p>
  </w:footnote>
  <w:footnote w:id="287">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88">
    <w:p w14:paraId="0D68CCF4" w14:textId="77777777" w:rsidR="00210409" w:rsidRDefault="00210409">
      <w:pPr>
        <w:pStyle w:val="FootnoteText"/>
      </w:pPr>
      <w:r>
        <w:rPr>
          <w:rStyle w:val="FootnoteReference"/>
        </w:rPr>
        <w:footnoteRef/>
      </w:r>
      <w:r>
        <w:t xml:space="preserve"> Euseb. Hist. Eccl. B. vi.</w:t>
      </w:r>
    </w:p>
  </w:footnote>
  <w:footnote w:id="289">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90">
    <w:p w14:paraId="0D68CCF6" w14:textId="77777777" w:rsidR="00210409" w:rsidRDefault="00210409">
      <w:pPr>
        <w:pStyle w:val="FootnoteText"/>
      </w:pPr>
      <w:r>
        <w:rPr>
          <w:rStyle w:val="FootnoteReference"/>
        </w:rPr>
        <w:footnoteRef/>
      </w:r>
      <w:r>
        <w:t xml:space="preserve"> Vol. II, pp. 414-416.</w:t>
      </w:r>
    </w:p>
  </w:footnote>
  <w:footnote w:id="291">
    <w:p w14:paraId="0D68CCF7" w14:textId="77777777" w:rsidR="00210409" w:rsidRDefault="00210409">
      <w:pPr>
        <w:pStyle w:val="FootnoteText"/>
      </w:pPr>
      <w:r>
        <w:rPr>
          <w:rStyle w:val="FootnoteReference"/>
        </w:rPr>
        <w:footnoteRef/>
      </w:r>
      <w:r>
        <w:t xml:space="preserve"> Hist. Doct. II, Sec. 142. Edin. Ed. 1884.</w:t>
      </w:r>
    </w:p>
  </w:footnote>
  <w:footnote w:id="292">
    <w:p w14:paraId="0D68CCF8" w14:textId="77777777" w:rsidR="00210409" w:rsidRDefault="00210409">
      <w:pPr>
        <w:pStyle w:val="FootnoteText"/>
      </w:pPr>
      <w:r>
        <w:rPr>
          <w:rStyle w:val="FootnoteReference"/>
        </w:rPr>
        <w:footnoteRef/>
      </w:r>
      <w:r>
        <w:t xml:space="preserve"> P. 349, note.</w:t>
      </w:r>
    </w:p>
  </w:footnote>
  <w:footnote w:id="293">
    <w:p w14:paraId="0D68CCF9" w14:textId="77777777" w:rsidR="00210409" w:rsidRDefault="00210409">
      <w:pPr>
        <w:pStyle w:val="FootnoteText"/>
      </w:pPr>
      <w:r>
        <w:rPr>
          <w:rStyle w:val="FootnoteReference"/>
        </w:rPr>
        <w:footnoteRef/>
      </w:r>
      <w:r>
        <w:t xml:space="preserve"> Vol. II, pg. 676.</w:t>
      </w:r>
    </w:p>
  </w:footnote>
  <w:footnote w:id="294">
    <w:p w14:paraId="0D68CCFA" w14:textId="77777777" w:rsidR="00210409" w:rsidRDefault="00210409">
      <w:pPr>
        <w:pStyle w:val="FootnoteText"/>
      </w:pPr>
      <w:r>
        <w:rPr>
          <w:rStyle w:val="FootnoteReference"/>
        </w:rPr>
        <w:footnoteRef/>
      </w:r>
      <w:r>
        <w:t xml:space="preserve"> Eusebius, VI:26.</w:t>
      </w:r>
    </w:p>
  </w:footnote>
  <w:footnote w:id="295">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6">
    <w:p w14:paraId="0D68CCFC" w14:textId="77777777" w:rsidR="00210409" w:rsidRDefault="00210409">
      <w:pPr>
        <w:pStyle w:val="FootnoteText"/>
      </w:pPr>
      <w:r>
        <w:rPr>
          <w:rStyle w:val="FootnoteReference"/>
        </w:rPr>
        <w:footnoteRef/>
      </w:r>
      <w:r>
        <w:t xml:space="preserve"> Routh, Rel. Sac., III, p. 498. Oxford ed., 1846.</w:t>
      </w:r>
    </w:p>
  </w:footnote>
  <w:footnote w:id="297">
    <w:p w14:paraId="0D68CCFD" w14:textId="77777777" w:rsidR="00210409" w:rsidRDefault="00210409">
      <w:pPr>
        <w:pStyle w:val="FootnoteText"/>
      </w:pPr>
      <w:r>
        <w:rPr>
          <w:rStyle w:val="FootnoteReference"/>
        </w:rPr>
        <w:footnoteRef/>
      </w:r>
      <w:r>
        <w:t xml:space="preserve"> De Eccl. Theol., Migne, Vol. XXIV, pp. 1030-33.</w:t>
      </w:r>
    </w:p>
  </w:footnote>
  <w:footnote w:id="298">
    <w:p w14:paraId="0D68CCFE" w14:textId="77777777" w:rsidR="00210409" w:rsidRDefault="00210409">
      <w:pPr>
        <w:pStyle w:val="FootnoteText"/>
      </w:pPr>
      <w:r>
        <w:rPr>
          <w:rStyle w:val="FootnoteReference"/>
        </w:rPr>
        <w:footnoteRef/>
      </w:r>
      <w:r>
        <w:t xml:space="preserve"> Sermon Major de fide. Migne, vol. XXVI, pp. 1263-1294.</w:t>
      </w:r>
    </w:p>
  </w:footnote>
  <w:footnote w:id="299">
    <w:p w14:paraId="0D68CCFF" w14:textId="77777777" w:rsidR="00210409" w:rsidRDefault="00210409">
      <w:pPr>
        <w:pStyle w:val="FootnoteText"/>
      </w:pPr>
      <w:r>
        <w:rPr>
          <w:rStyle w:val="FootnoteReference"/>
        </w:rPr>
        <w:footnoteRef/>
      </w:r>
      <w:r>
        <w:t xml:space="preserve"> De Spir. Sanct., Ch. 44.</w:t>
      </w:r>
    </w:p>
  </w:footnote>
  <w:footnote w:id="300">
    <w:p w14:paraId="0D68CD00" w14:textId="77777777" w:rsidR="00210409" w:rsidRDefault="00210409">
      <w:pPr>
        <w:pStyle w:val="FootnoteText"/>
      </w:pPr>
      <w:r>
        <w:rPr>
          <w:rStyle w:val="FootnoteReference"/>
        </w:rPr>
        <w:footnoteRef/>
      </w:r>
      <w:r>
        <w:t xml:space="preserve"> See sketch of Jerome.</w:t>
      </w:r>
    </w:p>
  </w:footnote>
  <w:footnote w:id="301">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302">
    <w:p w14:paraId="0D68CD02" w14:textId="77777777" w:rsidR="00210409" w:rsidRDefault="00210409">
      <w:pPr>
        <w:pStyle w:val="FootnoteText"/>
      </w:pPr>
      <w:r>
        <w:rPr>
          <w:rStyle w:val="FootnoteReference"/>
        </w:rPr>
        <w:footnoteRef/>
      </w:r>
      <w:r>
        <w:t xml:space="preserve"> Dictionary of Christian Biography, II, p. 150.</w:t>
      </w:r>
    </w:p>
  </w:footnote>
  <w:footnote w:id="303">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304">
    <w:p w14:paraId="0D68CD04" w14:textId="77777777" w:rsidR="00210409" w:rsidRDefault="00210409">
      <w:pPr>
        <w:pStyle w:val="FootnoteText"/>
      </w:pPr>
      <w:r>
        <w:rPr>
          <w:rStyle w:val="FootnoteReference"/>
        </w:rPr>
        <w:footnoteRef/>
      </w:r>
      <w:r>
        <w:t xml:space="preserve"> De Resurr., VIII.</w:t>
      </w:r>
    </w:p>
  </w:footnote>
  <w:footnote w:id="305">
    <w:p w14:paraId="0D68CD05" w14:textId="77777777" w:rsidR="00210409" w:rsidRDefault="00210409">
      <w:pPr>
        <w:pStyle w:val="FootnoteText"/>
      </w:pPr>
      <w:r>
        <w:rPr>
          <w:rStyle w:val="FootnoteReference"/>
        </w:rPr>
        <w:footnoteRef/>
      </w:r>
      <w:r>
        <w:t xml:space="preserve"> See pg. 212 in original.</w:t>
      </w:r>
    </w:p>
  </w:footnote>
  <w:footnote w:id="306">
    <w:p w14:paraId="0D68CD06" w14:textId="77777777" w:rsidR="00210409" w:rsidRDefault="00210409">
      <w:pPr>
        <w:pStyle w:val="FootnoteText"/>
      </w:pPr>
      <w:r>
        <w:rPr>
          <w:rStyle w:val="FootnoteReference"/>
        </w:rPr>
        <w:footnoteRef/>
      </w:r>
      <w:r>
        <w:t xml:space="preserve"> See pg. 212 in original.</w:t>
      </w:r>
    </w:p>
  </w:footnote>
  <w:footnote w:id="307">
    <w:p w14:paraId="0D68CD07" w14:textId="77777777" w:rsidR="00210409" w:rsidRDefault="00210409">
      <w:pPr>
        <w:pStyle w:val="FootnoteText"/>
      </w:pPr>
      <w:r>
        <w:rPr>
          <w:rStyle w:val="FootnoteReference"/>
        </w:rPr>
        <w:footnoteRef/>
      </w:r>
      <w:r>
        <w:t xml:space="preserve"> Orat. xl, Carm. xlii.; Migne, Vols. XXXVI, XXI.</w:t>
      </w:r>
    </w:p>
  </w:footnote>
  <w:footnote w:id="308">
    <w:p w14:paraId="0D68CD08" w14:textId="77777777" w:rsidR="00210409" w:rsidRDefault="00210409">
      <w:pPr>
        <w:pStyle w:val="FootnoteText"/>
      </w:pPr>
      <w:r>
        <w:rPr>
          <w:rStyle w:val="FootnoteReference"/>
        </w:rPr>
        <w:footnoteRef/>
      </w:r>
      <w:r>
        <w:t xml:space="preserve"> See Newman’s Hist. Essays, Vol. III.</w:t>
      </w:r>
    </w:p>
  </w:footnote>
  <w:footnote w:id="309">
    <w:p w14:paraId="0D68CD09" w14:textId="77777777" w:rsidR="00210409" w:rsidRDefault="00210409">
      <w:pPr>
        <w:pStyle w:val="FootnoteText"/>
      </w:pPr>
      <w:r>
        <w:rPr>
          <w:rStyle w:val="FootnoteReference"/>
        </w:rPr>
        <w:footnoteRef/>
      </w:r>
      <w:r>
        <w:t xml:space="preserve"> Assemani Bibl. Orient. Tom. III, p. 323.</w:t>
      </w:r>
    </w:p>
  </w:footnote>
  <w:footnote w:id="310">
    <w:p w14:paraId="0D68CD0A" w14:textId="77777777" w:rsidR="00210409" w:rsidRDefault="00210409">
      <w:pPr>
        <w:pStyle w:val="FootnoteText"/>
      </w:pPr>
      <w:r>
        <w:rPr>
          <w:rStyle w:val="FootnoteReference"/>
        </w:rPr>
        <w:footnoteRef/>
      </w:r>
      <w:r>
        <w:t xml:space="preserve"> See pg. 215 in original.</w:t>
      </w:r>
    </w:p>
  </w:footnote>
  <w:footnote w:id="311">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12">
    <w:p w14:paraId="0D68CD0C" w14:textId="77777777" w:rsidR="00210409" w:rsidRDefault="00210409">
      <w:pPr>
        <w:pStyle w:val="FootnoteText"/>
      </w:pPr>
      <w:r>
        <w:rPr>
          <w:rStyle w:val="FootnoteReference"/>
        </w:rPr>
        <w:footnoteRef/>
      </w:r>
      <w:r>
        <w:t xml:space="preserve"> Assemani Bib. Orient. Tom. III.</w:t>
      </w:r>
    </w:p>
  </w:footnote>
  <w:footnote w:id="313">
    <w:p w14:paraId="0D68CD0D" w14:textId="77777777" w:rsidR="00210409" w:rsidRDefault="00210409">
      <w:pPr>
        <w:pStyle w:val="FootnoteText"/>
      </w:pPr>
      <w:r>
        <w:rPr>
          <w:rStyle w:val="FootnoteReference"/>
        </w:rPr>
        <w:footnoteRef/>
      </w:r>
      <w:r>
        <w:t xml:space="preserve"> Dictionary of Christian Biography, II, p. 194.</w:t>
      </w:r>
    </w:p>
  </w:footnote>
  <w:footnote w:id="314">
    <w:p w14:paraId="0D68CD0E" w14:textId="77777777" w:rsidR="00210409" w:rsidRDefault="00210409">
      <w:pPr>
        <w:pStyle w:val="FootnoteText"/>
      </w:pPr>
      <w:r>
        <w:rPr>
          <w:rStyle w:val="FootnoteReference"/>
        </w:rPr>
        <w:footnoteRef/>
      </w:r>
      <w:r>
        <w:t xml:space="preserve"> Ibid. IV, p. 946.</w:t>
      </w:r>
    </w:p>
  </w:footnote>
  <w:footnote w:id="315">
    <w:p w14:paraId="0D68CD0F" w14:textId="0B963D55" w:rsidR="00210409" w:rsidRDefault="00210409">
      <w:pPr>
        <w:pStyle w:val="FootnoteText"/>
      </w:pPr>
      <w:r>
        <w:rPr>
          <w:rStyle w:val="FootnoteReference"/>
        </w:rPr>
        <w:footnoteRef/>
      </w:r>
      <w:r>
        <w:t xml:space="preserve"> “Omnia </w:t>
      </w:r>
      <w:r w:rsidR="00D20E66">
        <w:t>…</w:t>
      </w:r>
      <w:r>
        <w:t xml:space="preserve"> recapitulavit in Christ quasi quandum compendiosam renovationem et adintegrationem totius faciens creaturae per eum </w:t>
      </w:r>
      <w:r w:rsidR="00D20E66">
        <w:t>…</w:t>
      </w:r>
      <w:r>
        <w:t xml:space="preserve"> hoc autem in future saeculo erit, quando homines cuncti necnon et rationabiles virtutes ad illum spiciant, ut fas exigit, et concordiam inter se pacemque firmam obtineant.”</w:t>
      </w:r>
    </w:p>
  </w:footnote>
  <w:footnote w:id="316">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7">
    <w:p w14:paraId="0D68CD11" w14:textId="77777777" w:rsidR="00210409" w:rsidRDefault="00210409">
      <w:pPr>
        <w:pStyle w:val="FootnoteText"/>
      </w:pPr>
      <w:r>
        <w:rPr>
          <w:rStyle w:val="FootnoteReference"/>
        </w:rPr>
        <w:footnoteRef/>
      </w:r>
      <w:r>
        <w:t xml:space="preserve"> Doct. And Per. Of Christ., Div. II, Vol. 1, p. 50.</w:t>
      </w:r>
    </w:p>
  </w:footnote>
  <w:footnote w:id="318">
    <w:p w14:paraId="0D68CD12" w14:textId="77777777" w:rsidR="00210409" w:rsidRDefault="00210409">
      <w:pPr>
        <w:pStyle w:val="FootnoteText"/>
      </w:pPr>
      <w:r>
        <w:rPr>
          <w:rStyle w:val="FootnoteReference"/>
        </w:rPr>
        <w:footnoteRef/>
      </w:r>
      <w:r>
        <w:t xml:space="preserve"> Renaudot’s Oriental Liturgies, Vol. II, p. 610.</w:t>
      </w:r>
    </w:p>
  </w:footnote>
  <w:footnote w:id="319">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20">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1">
    <w:p w14:paraId="0D68CD15" w14:textId="77777777" w:rsidR="00210409" w:rsidRDefault="00210409">
      <w:pPr>
        <w:pStyle w:val="FootnoteText"/>
      </w:pPr>
      <w:r>
        <w:rPr>
          <w:rStyle w:val="FootnoteReference"/>
        </w:rPr>
        <w:footnoteRef/>
      </w:r>
      <w:r>
        <w:t xml:space="preserve"> Universalism Asserted, p. 148.</w:t>
      </w:r>
    </w:p>
  </w:footnote>
  <w:footnote w:id="322">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23">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24">
    <w:p w14:paraId="0D68CD18" w14:textId="77777777" w:rsidR="00210409" w:rsidRDefault="00210409">
      <w:pPr>
        <w:pStyle w:val="FootnoteText"/>
      </w:pPr>
      <w:r>
        <w:rPr>
          <w:rStyle w:val="FootnoteReference"/>
        </w:rPr>
        <w:footnoteRef/>
      </w:r>
      <w:r>
        <w:t xml:space="preserve"> Dict. Christ. Biog. III, p. 780.</w:t>
      </w:r>
    </w:p>
  </w:footnote>
  <w:footnote w:id="325">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6">
    <w:p w14:paraId="0D68CD1A" w14:textId="77777777" w:rsidR="00210409" w:rsidRDefault="00210409">
      <w:pPr>
        <w:pStyle w:val="FootnoteText"/>
      </w:pPr>
      <w:r>
        <w:rPr>
          <w:rStyle w:val="FootnoteReference"/>
        </w:rPr>
        <w:footnoteRef/>
      </w:r>
      <w:r>
        <w:t xml:space="preserve"> P. 154. Oehler’s ed. Life and Resurrection.</w:t>
      </w:r>
    </w:p>
  </w:footnote>
  <w:footnote w:id="327">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28">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29">
    <w:p w14:paraId="0D68CD1D" w14:textId="77777777" w:rsidR="00210409" w:rsidRDefault="00210409">
      <w:pPr>
        <w:pStyle w:val="FootnoteText"/>
      </w:pPr>
      <w:r>
        <w:rPr>
          <w:rStyle w:val="FootnoteReference"/>
        </w:rPr>
        <w:footnoteRef/>
      </w:r>
      <w:r>
        <w:t xml:space="preserve"> History of the Church, pg. 176.</w:t>
      </w:r>
    </w:p>
  </w:footnote>
  <w:footnote w:id="330">
    <w:p w14:paraId="0D68CD1E" w14:textId="77777777" w:rsidR="00210409" w:rsidRDefault="00210409">
      <w:pPr>
        <w:pStyle w:val="FootnoteText"/>
      </w:pPr>
      <w:r>
        <w:rPr>
          <w:rStyle w:val="FootnoteReference"/>
        </w:rPr>
        <w:footnoteRef/>
      </w:r>
      <w:r>
        <w:t xml:space="preserve"> Lives of the Fathers, II, p. 451.</w:t>
      </w:r>
    </w:p>
  </w:footnote>
  <w:footnote w:id="331">
    <w:p w14:paraId="0D68CD1F" w14:textId="77777777" w:rsidR="00210409" w:rsidRDefault="00210409">
      <w:pPr>
        <w:pStyle w:val="FootnoteText"/>
      </w:pPr>
      <w:r>
        <w:rPr>
          <w:rStyle w:val="FootnoteReference"/>
        </w:rPr>
        <w:footnoteRef/>
      </w:r>
      <w:r>
        <w:t xml:space="preserve"> Ep. XLVI, Classis I, ad virginem.</w:t>
      </w:r>
    </w:p>
  </w:footnote>
  <w:footnote w:id="332">
    <w:p w14:paraId="0D68CD20" w14:textId="77777777" w:rsidR="00210409" w:rsidRDefault="00210409">
      <w:pPr>
        <w:pStyle w:val="FootnoteText"/>
      </w:pPr>
      <w:r>
        <w:rPr>
          <w:rStyle w:val="FootnoteReference"/>
        </w:rPr>
        <w:footnoteRef/>
      </w:r>
      <w:r>
        <w:t xml:space="preserve"> Cave, Lives of the Fathers, II, 397.</w:t>
      </w:r>
    </w:p>
  </w:footnote>
  <w:footnote w:id="333">
    <w:p w14:paraId="0D68CD21" w14:textId="77777777" w:rsidR="00210409" w:rsidRDefault="00210409">
      <w:pPr>
        <w:pStyle w:val="FootnoteText"/>
      </w:pPr>
      <w:r>
        <w:rPr>
          <w:rStyle w:val="FootnoteReference"/>
        </w:rPr>
        <w:footnoteRef/>
      </w:r>
      <w:r>
        <w:t xml:space="preserve"> De Ascetics.</w:t>
      </w:r>
    </w:p>
  </w:footnote>
  <w:footnote w:id="334">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35">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36">
    <w:p w14:paraId="0D68CD24" w14:textId="77777777" w:rsidR="00210409" w:rsidRDefault="00210409">
      <w:pPr>
        <w:pStyle w:val="FootnoteText"/>
      </w:pPr>
      <w:r>
        <w:rPr>
          <w:rStyle w:val="FootnoteReference"/>
        </w:rPr>
        <w:footnoteRef/>
      </w:r>
      <w:r>
        <w:t xml:space="preserve"> See original pg. 237.</w:t>
      </w:r>
    </w:p>
  </w:footnote>
  <w:footnote w:id="337">
    <w:p w14:paraId="0D68CD25" w14:textId="77777777" w:rsidR="00210409" w:rsidRDefault="00210409">
      <w:pPr>
        <w:pStyle w:val="FootnoteText"/>
      </w:pPr>
      <w:r>
        <w:rPr>
          <w:rStyle w:val="FootnoteReference"/>
        </w:rPr>
        <w:footnoteRef/>
      </w:r>
      <w:r>
        <w:t xml:space="preserve"> See pg. 238 in original.</w:t>
      </w:r>
    </w:p>
  </w:footnote>
  <w:footnote w:id="338">
    <w:p w14:paraId="0D68CD26" w14:textId="77777777" w:rsidR="00210409" w:rsidRDefault="00210409">
      <w:pPr>
        <w:pStyle w:val="FootnoteText"/>
      </w:pPr>
      <w:r>
        <w:rPr>
          <w:rStyle w:val="FootnoteReference"/>
        </w:rPr>
        <w:footnoteRef/>
      </w:r>
      <w:r>
        <w:t xml:space="preserve"> See pg. 238 in original.</w:t>
      </w:r>
    </w:p>
  </w:footnote>
  <w:footnote w:id="339">
    <w:p w14:paraId="0D68CD27" w14:textId="77777777" w:rsidR="00210409" w:rsidRDefault="00210409">
      <w:pPr>
        <w:pStyle w:val="FootnoteText"/>
      </w:pPr>
      <w:r>
        <w:rPr>
          <w:rStyle w:val="FootnoteReference"/>
        </w:rPr>
        <w:footnoteRef/>
      </w:r>
      <w:r>
        <w:t xml:space="preserve"> See pg. 238 in original.</w:t>
      </w:r>
    </w:p>
  </w:footnote>
  <w:footnote w:id="340">
    <w:p w14:paraId="0D68CD28" w14:textId="77777777" w:rsidR="00210409" w:rsidRDefault="00210409">
      <w:pPr>
        <w:pStyle w:val="FootnoteText"/>
      </w:pPr>
      <w:r>
        <w:rPr>
          <w:rStyle w:val="FootnoteReference"/>
        </w:rPr>
        <w:footnoteRef/>
      </w:r>
      <w:r>
        <w:t xml:space="preserve"> Photius, Cod., pg. 233.</w:t>
      </w:r>
    </w:p>
  </w:footnote>
  <w:footnote w:id="341">
    <w:p w14:paraId="0D68CD29" w14:textId="77777777" w:rsidR="00210409" w:rsidRDefault="00210409">
      <w:pPr>
        <w:pStyle w:val="FootnoteText"/>
      </w:pPr>
      <w:r>
        <w:rPr>
          <w:rStyle w:val="FootnoteReference"/>
        </w:rPr>
        <w:footnoteRef/>
      </w:r>
      <w:r>
        <w:t xml:space="preserve"> De Usu Patrum, lib. II, cap. 4.</w:t>
      </w:r>
    </w:p>
  </w:footnote>
  <w:footnote w:id="342">
    <w:p w14:paraId="0D68CD2A" w14:textId="77777777" w:rsidR="00210409" w:rsidRDefault="00210409">
      <w:pPr>
        <w:pStyle w:val="FootnoteText"/>
      </w:pPr>
      <w:r>
        <w:rPr>
          <w:rStyle w:val="FootnoteReference"/>
        </w:rPr>
        <w:footnoteRef/>
      </w:r>
      <w:r>
        <w:t xml:space="preserve"> Lecky’s Rationalism in Europe, I, pg. 316.</w:t>
      </w:r>
    </w:p>
  </w:footnote>
  <w:footnote w:id="343">
    <w:p w14:paraId="0D68CD2B" w14:textId="77777777" w:rsidR="00210409" w:rsidRDefault="00210409">
      <w:pPr>
        <w:pStyle w:val="FootnoteText"/>
      </w:pPr>
      <w:r>
        <w:rPr>
          <w:rStyle w:val="FootnoteReference"/>
        </w:rPr>
        <w:footnoteRef/>
      </w:r>
      <w:r>
        <w:t xml:space="preserve"> On the Psalms.</w:t>
      </w:r>
    </w:p>
  </w:footnote>
  <w:footnote w:id="344">
    <w:p w14:paraId="0D68CD2C" w14:textId="77777777" w:rsidR="00210409" w:rsidRDefault="00210409">
      <w:pPr>
        <w:pStyle w:val="FootnoteText"/>
      </w:pPr>
      <w:r>
        <w:rPr>
          <w:rStyle w:val="FootnoteReference"/>
        </w:rPr>
        <w:footnoteRef/>
      </w:r>
      <w:r>
        <w:t xml:space="preserve"> See original pg. 241. Orat. Catech.</w:t>
      </w:r>
    </w:p>
  </w:footnote>
  <w:footnote w:id="345">
    <w:p w14:paraId="0D68CD2D" w14:textId="77777777" w:rsidR="00210409" w:rsidRDefault="00210409">
      <w:pPr>
        <w:pStyle w:val="FootnoteText"/>
      </w:pPr>
      <w:r>
        <w:rPr>
          <w:rStyle w:val="FootnoteReference"/>
        </w:rPr>
        <w:footnoteRef/>
      </w:r>
      <w:r>
        <w:t xml:space="preserve"> Allin, Universalism Asserted, pg. 189.</w:t>
      </w:r>
    </w:p>
  </w:footnote>
  <w:footnote w:id="346">
    <w:p w14:paraId="0D68CD2E" w14:textId="77777777" w:rsidR="00210409" w:rsidRDefault="00210409">
      <w:pPr>
        <w:pStyle w:val="FootnoteText"/>
      </w:pPr>
      <w:r>
        <w:rPr>
          <w:rStyle w:val="FootnoteReference"/>
        </w:rPr>
        <w:footnoteRef/>
      </w:r>
      <w:r>
        <w:t xml:space="preserve"> Essays on Church and State.</w:t>
      </w:r>
    </w:p>
  </w:footnote>
  <w:footnote w:id="347">
    <w:p w14:paraId="0D68CD2F" w14:textId="77777777" w:rsidR="00210409" w:rsidRDefault="00210409">
      <w:pPr>
        <w:pStyle w:val="FootnoteText"/>
      </w:pPr>
      <w:r>
        <w:rPr>
          <w:rStyle w:val="FootnoteReference"/>
        </w:rPr>
        <w:footnoteRef/>
      </w:r>
      <w:r>
        <w:t xml:space="preserve"> Tillemont, pg. 671. Quoted by Lardner, Vol. III, pg. 273.</w:t>
      </w:r>
    </w:p>
  </w:footnote>
  <w:footnote w:id="348">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49">
    <w:p w14:paraId="0D68CD31" w14:textId="77777777" w:rsidR="00210409" w:rsidRDefault="00210409">
      <w:pPr>
        <w:pStyle w:val="FootnoteText"/>
      </w:pPr>
      <w:r>
        <w:rPr>
          <w:rStyle w:val="FootnoteReference"/>
        </w:rPr>
        <w:footnoteRef/>
      </w:r>
      <w:r>
        <w:t xml:space="preserve"> On Psalm 37.</w:t>
      </w:r>
    </w:p>
  </w:footnote>
  <w:footnote w:id="350">
    <w:p w14:paraId="0D68CD32" w14:textId="77777777" w:rsidR="00210409" w:rsidRDefault="00210409">
      <w:pPr>
        <w:pStyle w:val="FootnoteText"/>
      </w:pPr>
      <w:r>
        <w:rPr>
          <w:rStyle w:val="FootnoteReference"/>
        </w:rPr>
        <w:footnoteRef/>
      </w:r>
      <w:r>
        <w:t xml:space="preserve"> Epis. Lib. 1.</w:t>
      </w:r>
    </w:p>
  </w:footnote>
  <w:footnote w:id="351">
    <w:p w14:paraId="0D68CD33" w14:textId="77777777" w:rsidR="00210409" w:rsidRDefault="00210409">
      <w:pPr>
        <w:pStyle w:val="FootnoteText"/>
      </w:pPr>
      <w:r>
        <w:rPr>
          <w:rStyle w:val="FootnoteReference"/>
        </w:rPr>
        <w:footnoteRef/>
      </w:r>
      <w:r>
        <w:t xml:space="preserve"> De Fide.</w:t>
      </w:r>
    </w:p>
  </w:footnote>
  <w:footnote w:id="352">
    <w:p w14:paraId="0D68CD34" w14:textId="77777777" w:rsidR="00210409" w:rsidRDefault="00210409">
      <w:pPr>
        <w:pStyle w:val="FootnoteText"/>
      </w:pPr>
      <w:r>
        <w:rPr>
          <w:rStyle w:val="FootnoteReference"/>
        </w:rPr>
        <w:footnoteRef/>
      </w:r>
      <w:r>
        <w:t xml:space="preserve"> On Psalm 62.</w:t>
      </w:r>
    </w:p>
  </w:footnote>
  <w:footnote w:id="353">
    <w:p w14:paraId="0D68CD35" w14:textId="77777777" w:rsidR="00210409" w:rsidRDefault="00210409">
      <w:pPr>
        <w:pStyle w:val="FootnoteText"/>
      </w:pPr>
      <w:r>
        <w:rPr>
          <w:rStyle w:val="FootnoteReference"/>
        </w:rPr>
        <w:footnoteRef/>
      </w:r>
      <w:r>
        <w:t xml:space="preserve"> On Luke 15:3.</w:t>
      </w:r>
    </w:p>
  </w:footnote>
  <w:footnote w:id="354">
    <w:p w14:paraId="0D68CD36" w14:textId="77777777" w:rsidR="00210409" w:rsidRDefault="00210409">
      <w:pPr>
        <w:pStyle w:val="FootnoteText"/>
      </w:pPr>
      <w:r>
        <w:rPr>
          <w:rStyle w:val="FootnoteReference"/>
        </w:rPr>
        <w:footnoteRef/>
      </w:r>
      <w:r>
        <w:t xml:space="preserve"> Blessing of Death, Chapter 7.</w:t>
      </w:r>
    </w:p>
  </w:footnote>
  <w:footnote w:id="355">
    <w:p w14:paraId="0D68CD37" w14:textId="77777777" w:rsidR="00210409" w:rsidRDefault="00210409">
      <w:pPr>
        <w:pStyle w:val="FootnoteText"/>
      </w:pPr>
      <w:r>
        <w:rPr>
          <w:rStyle w:val="FootnoteReference"/>
        </w:rPr>
        <w:footnoteRef/>
      </w:r>
      <w:r>
        <w:t xml:space="preserve"> Conf. vi, 3, Ep. xivii, 1.</w:t>
      </w:r>
    </w:p>
  </w:footnote>
  <w:footnote w:id="356">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57">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58">
    <w:p w14:paraId="0D68CD3A" w14:textId="77777777" w:rsidR="00210409" w:rsidRDefault="00210409">
      <w:pPr>
        <w:pStyle w:val="FootnoteText"/>
      </w:pPr>
      <w:r>
        <w:rPr>
          <w:rStyle w:val="FootnoteReference"/>
        </w:rPr>
        <w:footnoteRef/>
      </w:r>
      <w:r>
        <w:t xml:space="preserve"> Adv. Man., Ch. iv.</w:t>
      </w:r>
    </w:p>
  </w:footnote>
  <w:footnote w:id="359">
    <w:p w14:paraId="0D68CD3B" w14:textId="77777777" w:rsidR="00210409" w:rsidRDefault="00210409">
      <w:pPr>
        <w:pStyle w:val="FootnoteText"/>
      </w:pPr>
      <w:r>
        <w:rPr>
          <w:rStyle w:val="FootnoteReference"/>
        </w:rPr>
        <w:footnoteRef/>
      </w:r>
      <w:r>
        <w:t xml:space="preserve"> Not. et Frag., xix.</w:t>
      </w:r>
    </w:p>
  </w:footnote>
  <w:footnote w:id="360">
    <w:p w14:paraId="0D68CD3C" w14:textId="77777777" w:rsidR="00210409" w:rsidRDefault="00210409">
      <w:pPr>
        <w:pStyle w:val="FootnoteText"/>
      </w:pPr>
      <w:r>
        <w:rPr>
          <w:rStyle w:val="FootnoteReference"/>
        </w:rPr>
        <w:footnoteRef/>
      </w:r>
      <w:r>
        <w:t xml:space="preserve"> Adv. Arium, lib. I:25, Migne, viii, p. 1059.</w:t>
      </w:r>
    </w:p>
  </w:footnote>
  <w:footnote w:id="361">
    <w:p w14:paraId="0D68CD3D" w14:textId="77777777" w:rsidR="00210409" w:rsidRDefault="00210409">
      <w:pPr>
        <w:pStyle w:val="FootnoteText"/>
      </w:pPr>
      <w:r>
        <w:rPr>
          <w:rStyle w:val="FootnoteReference"/>
        </w:rPr>
        <w:footnoteRef/>
      </w:r>
      <w:r>
        <w:t xml:space="preserve"> De Trin. lib. IX.</w:t>
      </w:r>
    </w:p>
  </w:footnote>
  <w:footnote w:id="362">
    <w:p w14:paraId="0D68CD3E" w14:textId="77777777" w:rsidR="00210409" w:rsidRDefault="00210409">
      <w:pPr>
        <w:pStyle w:val="FootnoteText"/>
      </w:pPr>
      <w:r>
        <w:rPr>
          <w:rStyle w:val="FootnoteReference"/>
        </w:rPr>
        <w:footnoteRef/>
      </w:r>
      <w:r>
        <w:t xml:space="preserve"> Hist. Christ Ch., ii:628. Hist. Christ. Dogmas, ii:877.</w:t>
      </w:r>
    </w:p>
  </w:footnote>
  <w:footnote w:id="363">
    <w:p w14:paraId="0D68CD3F" w14:textId="77777777" w:rsidR="00210409" w:rsidRDefault="00210409">
      <w:pPr>
        <w:pStyle w:val="FootnoteText"/>
      </w:pPr>
      <w:r>
        <w:rPr>
          <w:rStyle w:val="FootnoteReference"/>
        </w:rPr>
        <w:footnoteRef/>
      </w:r>
      <w:r>
        <w:t xml:space="preserve"> Migne, lxxxii, pg. 360.</w:t>
      </w:r>
    </w:p>
  </w:footnote>
  <w:footnote w:id="364">
    <w:p w14:paraId="0D68CD40" w14:textId="77777777" w:rsidR="00210409" w:rsidRDefault="00210409">
      <w:pPr>
        <w:pStyle w:val="FootnoteText"/>
      </w:pPr>
      <w:r>
        <w:rPr>
          <w:rStyle w:val="FootnoteReference"/>
        </w:rPr>
        <w:footnoteRef/>
      </w:r>
      <w:r>
        <w:t xml:space="preserve"> Homilia. Pasch. xx. Migne, lxxvii.</w:t>
      </w:r>
    </w:p>
  </w:footnote>
  <w:footnote w:id="365">
    <w:p w14:paraId="0D68CD41" w14:textId="77777777" w:rsidR="00210409" w:rsidRDefault="00210409">
      <w:pPr>
        <w:pStyle w:val="FootnoteText"/>
      </w:pPr>
      <w:r>
        <w:rPr>
          <w:rStyle w:val="FootnoteReference"/>
        </w:rPr>
        <w:footnoteRef/>
      </w:r>
      <w:r>
        <w:t xml:space="preserve"> Glaph. in Ex., lib. II.</w:t>
      </w:r>
    </w:p>
  </w:footnote>
  <w:footnote w:id="366">
    <w:p w14:paraId="0D68CD42" w14:textId="77777777" w:rsidR="00210409" w:rsidRDefault="00210409">
      <w:pPr>
        <w:pStyle w:val="FootnoteText"/>
      </w:pPr>
      <w:r>
        <w:rPr>
          <w:rStyle w:val="FootnoteReference"/>
        </w:rPr>
        <w:footnoteRef/>
      </w:r>
      <w:r>
        <w:t xml:space="preserve"> Origen. II, p. 160.</w:t>
      </w:r>
    </w:p>
  </w:footnote>
  <w:footnote w:id="367">
    <w:p w14:paraId="0D68CD43" w14:textId="77777777" w:rsidR="00210409" w:rsidRDefault="00210409">
      <w:pPr>
        <w:pStyle w:val="FootnoteText"/>
      </w:pPr>
      <w:r>
        <w:rPr>
          <w:rStyle w:val="FootnoteReference"/>
        </w:rPr>
        <w:footnoteRef/>
      </w:r>
      <w:r>
        <w:t xml:space="preserve"> Anc. Hist. Univ., pg. 265.</w:t>
      </w:r>
    </w:p>
  </w:footnote>
  <w:footnote w:id="368">
    <w:p w14:paraId="0D68CD44" w14:textId="77777777" w:rsidR="00210409" w:rsidRDefault="00210409">
      <w:pPr>
        <w:pStyle w:val="FootnoteText"/>
      </w:pPr>
      <w:r>
        <w:rPr>
          <w:rStyle w:val="FootnoteReference"/>
        </w:rPr>
        <w:footnoteRef/>
      </w:r>
      <w:r>
        <w:t xml:space="preserve"> Assemani Bib. Orientalis, III, pg. 324.</w:t>
      </w:r>
    </w:p>
  </w:footnote>
  <w:footnote w:id="369">
    <w:p w14:paraId="0D68CD45" w14:textId="77777777" w:rsidR="00210409" w:rsidRDefault="00210409">
      <w:pPr>
        <w:pStyle w:val="FootnoteText"/>
      </w:pPr>
      <w:r>
        <w:rPr>
          <w:rStyle w:val="FootnoteReference"/>
        </w:rPr>
        <w:footnoteRef/>
      </w:r>
      <w:r>
        <w:t xml:space="preserve"> Robertson’s Hist. Christ. Ch. I, pg. 455.</w:t>
      </w:r>
    </w:p>
  </w:footnote>
  <w:footnote w:id="370">
    <w:p w14:paraId="0D68CD46" w14:textId="77777777" w:rsidR="00210409" w:rsidRDefault="00210409">
      <w:pPr>
        <w:pStyle w:val="FootnoteText"/>
      </w:pPr>
      <w:r>
        <w:rPr>
          <w:rStyle w:val="FootnoteReference"/>
        </w:rPr>
        <w:footnoteRef/>
      </w:r>
      <w:r>
        <w:t xml:space="preserve"> What is of Faith, pg. 231.</w:t>
      </w:r>
    </w:p>
  </w:footnote>
  <w:footnote w:id="371">
    <w:p w14:paraId="0D68CD47" w14:textId="77777777" w:rsidR="00210409" w:rsidRDefault="00210409">
      <w:pPr>
        <w:pStyle w:val="FootnoteText"/>
      </w:pPr>
      <w:r>
        <w:rPr>
          <w:rStyle w:val="FootnoteReference"/>
        </w:rPr>
        <w:footnoteRef/>
      </w:r>
      <w:r>
        <w:t xml:space="preserve"> Assemani Bibl. Orient., II, pg. 291.</w:t>
      </w:r>
    </w:p>
  </w:footnote>
  <w:footnote w:id="372">
    <w:p w14:paraId="0D68CD48" w14:textId="77777777" w:rsidR="00210409" w:rsidRDefault="00210409">
      <w:pPr>
        <w:pStyle w:val="FootnoteText"/>
      </w:pPr>
      <w:r>
        <w:rPr>
          <w:rStyle w:val="FootnoteReference"/>
        </w:rPr>
        <w:footnoteRef/>
      </w:r>
      <w:r>
        <w:t xml:space="preserve"> Hipp. and His Age.</w:t>
      </w:r>
    </w:p>
  </w:footnote>
  <w:footnote w:id="373">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4">
    <w:p w14:paraId="0D68CD4A" w14:textId="77777777" w:rsidR="00210409" w:rsidRDefault="00210409">
      <w:pPr>
        <w:pStyle w:val="FootnoteText"/>
      </w:pPr>
      <w:r>
        <w:rPr>
          <w:rStyle w:val="FootnoteReference"/>
        </w:rPr>
        <w:footnoteRef/>
      </w:r>
      <w:r>
        <w:t xml:space="preserve"> Epist. xxxiii. Migne Vol. XXII.</w:t>
      </w:r>
    </w:p>
  </w:footnote>
  <w:footnote w:id="375">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76">
    <w:p w14:paraId="0D68CD4C" w14:textId="77777777" w:rsidR="00210409" w:rsidRDefault="00210409">
      <w:pPr>
        <w:pStyle w:val="FootnoteText"/>
      </w:pPr>
      <w:r>
        <w:rPr>
          <w:rStyle w:val="FootnoteReference"/>
        </w:rPr>
        <w:footnoteRef/>
      </w:r>
      <w:r>
        <w:t xml:space="preserve"> Commentary on Amos.</w:t>
      </w:r>
    </w:p>
  </w:footnote>
  <w:footnote w:id="377">
    <w:p w14:paraId="0D68CD4D" w14:textId="77777777" w:rsidR="00210409" w:rsidRDefault="00210409">
      <w:pPr>
        <w:pStyle w:val="FootnoteText"/>
      </w:pPr>
      <w:r>
        <w:rPr>
          <w:rStyle w:val="FootnoteReference"/>
        </w:rPr>
        <w:footnoteRef/>
      </w:r>
      <w:r>
        <w:t xml:space="preserve"> “alterum post apostolum ecclesarium magistrum.”</w:t>
      </w:r>
    </w:p>
  </w:footnote>
  <w:footnote w:id="378">
    <w:p w14:paraId="0D68CD4E" w14:textId="77777777" w:rsidR="00210409" w:rsidRDefault="00210409">
      <w:pPr>
        <w:pStyle w:val="FootnoteText"/>
      </w:pPr>
      <w:r>
        <w:rPr>
          <w:rStyle w:val="FootnoteReference"/>
        </w:rPr>
        <w:footnoteRef/>
      </w:r>
      <w:r>
        <w:t xml:space="preserve"> He calls Origen “that immortal intellect.”</w:t>
      </w:r>
    </w:p>
  </w:footnote>
  <w:footnote w:id="379">
    <w:p w14:paraId="0D68CD4F" w14:textId="77777777" w:rsidR="00210409" w:rsidRDefault="00210409">
      <w:pPr>
        <w:pStyle w:val="FootnoteText"/>
      </w:pPr>
      <w:r>
        <w:rPr>
          <w:rStyle w:val="FootnoteReference"/>
        </w:rPr>
        <w:footnoteRef/>
      </w:r>
      <w:r>
        <w:t xml:space="preserve"> Universalist Quarterly, May, 1838.</w:t>
      </w:r>
    </w:p>
  </w:footnote>
  <w:footnote w:id="380">
    <w:p w14:paraId="0D68CD50" w14:textId="77777777" w:rsidR="00210409" w:rsidRDefault="00210409">
      <w:pPr>
        <w:pStyle w:val="FootnoteText"/>
      </w:pPr>
      <w:r>
        <w:rPr>
          <w:rStyle w:val="FootnoteReference"/>
        </w:rPr>
        <w:footnoteRef/>
      </w:r>
      <w:r>
        <w:t xml:space="preserve"> Homily IX on I Cor. 3:12-18.</w:t>
      </w:r>
    </w:p>
  </w:footnote>
  <w:footnote w:id="381">
    <w:p w14:paraId="0D68CD51" w14:textId="77777777" w:rsidR="00210409" w:rsidRDefault="00210409">
      <w:pPr>
        <w:pStyle w:val="FootnoteText"/>
      </w:pPr>
      <w:r>
        <w:rPr>
          <w:rStyle w:val="FootnoteReference"/>
        </w:rPr>
        <w:footnoteRef/>
      </w:r>
      <w:r>
        <w:t xml:space="preserve"> Homily XI on I Cor. 4:3.</w:t>
      </w:r>
    </w:p>
  </w:footnote>
  <w:footnote w:id="382">
    <w:p w14:paraId="0D68CD52" w14:textId="77777777" w:rsidR="00210409" w:rsidRDefault="00210409">
      <w:pPr>
        <w:pStyle w:val="FootnoteText"/>
      </w:pPr>
      <w:r>
        <w:rPr>
          <w:rStyle w:val="FootnoteReference"/>
        </w:rPr>
        <w:footnoteRef/>
      </w:r>
      <w:r>
        <w:t xml:space="preserve"> Sermon xxxiv; on Psalm 148; Sermon xxx.</w:t>
      </w:r>
    </w:p>
  </w:footnote>
  <w:footnote w:id="383">
    <w:p w14:paraId="0D68CD53" w14:textId="77777777" w:rsidR="00210409" w:rsidRDefault="00210409">
      <w:pPr>
        <w:pStyle w:val="FootnoteText"/>
      </w:pPr>
      <w:r>
        <w:rPr>
          <w:rStyle w:val="FootnoteReference"/>
        </w:rPr>
        <w:footnoteRef/>
      </w:r>
      <w:r>
        <w:t xml:space="preserve"> Confessions, III, Chap. i-iii.</w:t>
      </w:r>
    </w:p>
  </w:footnote>
  <w:footnote w:id="384">
    <w:p w14:paraId="0D68CD54" w14:textId="77777777" w:rsidR="00210409" w:rsidRDefault="00210409">
      <w:pPr>
        <w:pStyle w:val="FootnoteText"/>
      </w:pPr>
      <w:r>
        <w:rPr>
          <w:rStyle w:val="FootnoteReference"/>
        </w:rPr>
        <w:footnoteRef/>
      </w:r>
      <w:r>
        <w:t xml:space="preserve"> Robert Burns’ Address to the De’il.</w:t>
      </w:r>
    </w:p>
  </w:footnote>
  <w:footnote w:id="385">
    <w:p w14:paraId="0D68CD55" w14:textId="77777777" w:rsidR="00210409" w:rsidRDefault="00210409">
      <w:pPr>
        <w:pStyle w:val="FootnoteText"/>
      </w:pPr>
      <w:r>
        <w:rPr>
          <w:rStyle w:val="FootnoteReference"/>
        </w:rPr>
        <w:footnoteRef/>
      </w:r>
      <w:r>
        <w:t xml:space="preserve"> Conspersio damnata, massa perditionis.</w:t>
      </w:r>
    </w:p>
  </w:footnote>
  <w:footnote w:id="386">
    <w:p w14:paraId="0D68CD56" w14:textId="77777777" w:rsidR="00210409" w:rsidRDefault="00210409">
      <w:pPr>
        <w:pStyle w:val="FootnoteText"/>
      </w:pPr>
      <w:r>
        <w:rPr>
          <w:rStyle w:val="FootnoteReference"/>
        </w:rPr>
        <w:footnoteRef/>
      </w:r>
      <w:r>
        <w:t xml:space="preserve"> Allen, Cont. Christ. Thought.</w:t>
      </w:r>
    </w:p>
  </w:footnote>
  <w:footnote w:id="387">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88">
    <w:p w14:paraId="0D68CD58" w14:textId="77777777" w:rsidR="00210409" w:rsidRDefault="00210409">
      <w:pPr>
        <w:pStyle w:val="FootnoteText"/>
      </w:pPr>
      <w:r>
        <w:rPr>
          <w:rStyle w:val="FootnoteReference"/>
        </w:rPr>
        <w:footnoteRef/>
      </w:r>
      <w:r>
        <w:t xml:space="preserve"> Misercordibus nostris. De Civ., Dei., xxi:17.</w:t>
      </w:r>
    </w:p>
  </w:footnote>
  <w:footnote w:id="389">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90">
    <w:p w14:paraId="0D68CD5A" w14:textId="77777777" w:rsidR="00210409" w:rsidRPr="00AF07A4" w:rsidRDefault="00210409">
      <w:pPr>
        <w:pStyle w:val="FootnoteText"/>
      </w:pPr>
      <w:r>
        <w:rPr>
          <w:rStyle w:val="FootnoteReference"/>
        </w:rPr>
        <w:footnoteRef/>
      </w:r>
      <w:r>
        <w:t xml:space="preserve"> See Preface to Confessions.</w:t>
      </w:r>
    </w:p>
  </w:footnote>
  <w:footnote w:id="391">
    <w:p w14:paraId="0D68CD5B" w14:textId="77777777" w:rsidR="00210409" w:rsidRDefault="00210409">
      <w:pPr>
        <w:pStyle w:val="FootnoteText"/>
      </w:pPr>
      <w:r>
        <w:rPr>
          <w:rStyle w:val="FootnoteReference"/>
        </w:rPr>
        <w:footnoteRef/>
      </w:r>
      <w:r>
        <w:t xml:space="preserve"> Latin Christ. I.</w:t>
      </w:r>
    </w:p>
  </w:footnote>
  <w:footnote w:id="392">
    <w:p w14:paraId="0D68CD5C" w14:textId="77777777" w:rsidR="00210409" w:rsidRDefault="00210409">
      <w:pPr>
        <w:pStyle w:val="FootnoteText"/>
      </w:pPr>
      <w:r>
        <w:rPr>
          <w:rStyle w:val="FootnoteReference"/>
        </w:rPr>
        <w:footnoteRef/>
      </w:r>
      <w:r>
        <w:t xml:space="preserve"> Allen, Cont. Christ. Thought, pg. 156.</w:t>
      </w:r>
    </w:p>
  </w:footnote>
  <w:footnote w:id="393">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94">
    <w:p w14:paraId="0D68CD5E" w14:textId="77777777" w:rsidR="00210409" w:rsidRDefault="00210409">
      <w:pPr>
        <w:pStyle w:val="FootnoteText"/>
      </w:pPr>
      <w:r>
        <w:rPr>
          <w:rStyle w:val="FootnoteReference"/>
        </w:rPr>
        <w:footnoteRef/>
      </w:r>
      <w:r>
        <w:t xml:space="preserve"> De Civ. Del. “non redarguo, quia forsitan verum est.”</w:t>
      </w:r>
    </w:p>
  </w:footnote>
  <w:footnote w:id="395">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6">
    <w:p w14:paraId="0D68CD5F" w14:textId="77777777" w:rsidR="00210409" w:rsidRDefault="00210409">
      <w:pPr>
        <w:pStyle w:val="FootnoteText"/>
      </w:pPr>
      <w:r>
        <w:rPr>
          <w:rStyle w:val="FootnoteReference"/>
        </w:rPr>
        <w:footnoteRef/>
      </w:r>
      <w:r>
        <w:t xml:space="preserve"> Latin Christianity, I, 127.</w:t>
      </w:r>
    </w:p>
  </w:footnote>
  <w:footnote w:id="397">
    <w:p w14:paraId="0D68CD60" w14:textId="77777777" w:rsidR="00210409" w:rsidRDefault="00210409">
      <w:pPr>
        <w:pStyle w:val="FootnoteText"/>
      </w:pPr>
      <w:r>
        <w:rPr>
          <w:rStyle w:val="FootnoteReference"/>
        </w:rPr>
        <w:footnoteRef/>
      </w:r>
      <w:r>
        <w:t xml:space="preserve"> Farrar’s Lives of the Fathers.</w:t>
      </w:r>
    </w:p>
  </w:footnote>
  <w:footnote w:id="398">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99">
    <w:p w14:paraId="0D68CD62" w14:textId="77777777" w:rsidR="00210409" w:rsidRDefault="00210409">
      <w:pPr>
        <w:pStyle w:val="FootnoteText"/>
      </w:pPr>
      <w:r>
        <w:rPr>
          <w:rStyle w:val="FootnoteReference"/>
        </w:rPr>
        <w:footnoteRef/>
      </w:r>
      <w:r>
        <w:t xml:space="preserve"> Nicephorus, Eccle. Hist., xvii: 27. Hefele, iv: 220.</w:t>
      </w:r>
    </w:p>
  </w:footnote>
  <w:footnote w:id="400">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401">
    <w:p w14:paraId="0D68CD64" w14:textId="77777777" w:rsidR="00210409" w:rsidRDefault="00210409">
      <w:pPr>
        <w:pStyle w:val="FootnoteText"/>
      </w:pPr>
      <w:r>
        <w:rPr>
          <w:rStyle w:val="FootnoteReference"/>
        </w:rPr>
        <w:footnoteRef/>
      </w:r>
      <w:r>
        <w:t xml:space="preserve"> Vol. I, pg. 282. Ideler’s edition.</w:t>
      </w:r>
    </w:p>
  </w:footnote>
  <w:footnote w:id="402">
    <w:p w14:paraId="0D68CD65" w14:textId="77777777" w:rsidR="00210409" w:rsidRDefault="00210409">
      <w:pPr>
        <w:pStyle w:val="FootnoteText"/>
      </w:pPr>
      <w:r>
        <w:rPr>
          <w:rStyle w:val="FootnoteReference"/>
        </w:rPr>
        <w:footnoteRef/>
      </w:r>
      <w:r>
        <w:t xml:space="preserve"> See pg. 284 in original.</w:t>
      </w:r>
    </w:p>
  </w:footnote>
  <w:footnote w:id="403">
    <w:p w14:paraId="0D68CD66" w14:textId="77777777" w:rsidR="00210409" w:rsidRDefault="00210409">
      <w:pPr>
        <w:pStyle w:val="FootnoteText"/>
      </w:pPr>
      <w:r>
        <w:rPr>
          <w:rStyle w:val="FootnoteReference"/>
        </w:rPr>
        <w:footnoteRef/>
      </w:r>
      <w:r>
        <w:t xml:space="preserve"> Landon, pp. 177-8.</w:t>
      </w:r>
    </w:p>
  </w:footnote>
  <w:footnote w:id="404">
    <w:p w14:paraId="0D68CD67" w14:textId="77777777" w:rsidR="00210409" w:rsidRDefault="00210409">
      <w:pPr>
        <w:pStyle w:val="FootnoteText"/>
      </w:pPr>
      <w:r>
        <w:rPr>
          <w:rStyle w:val="FootnoteReference"/>
        </w:rPr>
        <w:footnoteRef/>
      </w:r>
      <w:r>
        <w:t xml:space="preserve"> Landon, Manual of Councils, London, 1846, pg. 174.</w:t>
      </w:r>
    </w:p>
  </w:footnote>
  <w:footnote w:id="405">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406">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407">
    <w:p w14:paraId="0D68CD6A" w14:textId="77777777" w:rsidR="00210409" w:rsidRDefault="00210409">
      <w:pPr>
        <w:pStyle w:val="FootnoteText"/>
      </w:pPr>
      <w:r>
        <w:rPr>
          <w:rStyle w:val="FootnoteReference"/>
        </w:rPr>
        <w:footnoteRef/>
      </w:r>
      <w:r>
        <w:t xml:space="preserve"> See pg. 288 in original.</w:t>
      </w:r>
    </w:p>
  </w:footnote>
  <w:footnote w:id="408">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9">
    <w:p w14:paraId="0D68CD6C" w14:textId="77777777" w:rsidR="00210409" w:rsidRDefault="00210409">
      <w:pPr>
        <w:pStyle w:val="FootnoteText"/>
      </w:pPr>
      <w:r>
        <w:rPr>
          <w:rStyle w:val="FootnoteReference"/>
        </w:rPr>
        <w:footnoteRef/>
      </w:r>
      <w:r>
        <w:t xml:space="preserve"> Latin Christ. I, pg. 227.</w:t>
      </w:r>
    </w:p>
  </w:footnote>
  <w:footnote w:id="410">
    <w:p w14:paraId="0D68CD6D" w14:textId="77777777" w:rsidR="00210409" w:rsidRDefault="00210409">
      <w:pPr>
        <w:pStyle w:val="FootnoteText"/>
      </w:pPr>
      <w:r>
        <w:rPr>
          <w:rStyle w:val="FootnoteReference"/>
        </w:rPr>
        <w:footnoteRef/>
      </w:r>
      <w:r>
        <w:t xml:space="preserve"> Outlines Hist. Dog., pp. 204, 208, 320, 323.</w:t>
      </w:r>
    </w:p>
  </w:footnote>
  <w:footnote w:id="411">
    <w:p w14:paraId="0D68CD6E" w14:textId="77777777" w:rsidR="00210409" w:rsidRDefault="00210409">
      <w:pPr>
        <w:pStyle w:val="FootnoteText"/>
      </w:pPr>
      <w:r>
        <w:rPr>
          <w:rStyle w:val="FootnoteReference"/>
        </w:rPr>
        <w:footnoteRef/>
      </w:r>
      <w:r>
        <w:t xml:space="preserve"> Sozomen, Eccl. Hist.; Gibbon, Decline and Fall.</w:t>
      </w:r>
    </w:p>
  </w:footnote>
  <w:footnote w:id="412">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3">
    <w:p w14:paraId="0D68CD70" w14:textId="77777777" w:rsidR="00210409" w:rsidRDefault="00210409">
      <w:pPr>
        <w:pStyle w:val="FootnoteText"/>
      </w:pPr>
      <w:r>
        <w:rPr>
          <w:rStyle w:val="FootnoteReference"/>
        </w:rPr>
        <w:footnoteRef/>
      </w:r>
      <w:r>
        <w:t xml:space="preserve"> Alexandria and her Schools.</w:t>
      </w:r>
    </w:p>
  </w:footnote>
  <w:footnote w:id="414">
    <w:p w14:paraId="0D68CD71" w14:textId="77777777" w:rsidR="00210409" w:rsidRDefault="00210409">
      <w:pPr>
        <w:pStyle w:val="FootnoteText"/>
      </w:pPr>
      <w:r>
        <w:rPr>
          <w:rStyle w:val="FootnoteReference"/>
        </w:rPr>
        <w:footnoteRef/>
      </w:r>
      <w:r>
        <w:t xml:space="preserve"> Rev. S. S. Hebberd.</w:t>
      </w:r>
    </w:p>
  </w:footnote>
  <w:footnote w:id="415">
    <w:p w14:paraId="0D68CD72" w14:textId="77777777" w:rsidR="00210409" w:rsidRDefault="00210409">
      <w:pPr>
        <w:pStyle w:val="FootnoteText"/>
      </w:pPr>
      <w:r>
        <w:rPr>
          <w:rStyle w:val="FootnoteReference"/>
        </w:rPr>
        <w:footnoteRef/>
      </w:r>
      <w:r>
        <w:t xml:space="preserve"> Rev. S. Crane, D.D., in The Universalist.</w:t>
      </w:r>
    </w:p>
  </w:footnote>
  <w:footnote w:id="416">
    <w:p w14:paraId="0D68CD73" w14:textId="77777777" w:rsidR="00210409" w:rsidRDefault="00210409">
      <w:pPr>
        <w:pStyle w:val="FootnoteText"/>
      </w:pPr>
      <w:r>
        <w:rPr>
          <w:rStyle w:val="FootnoteReference"/>
        </w:rPr>
        <w:footnoteRef/>
      </w:r>
      <w:r>
        <w:t xml:space="preserve"> Grimm’s Michael Angelo.</w:t>
      </w:r>
    </w:p>
  </w:footnote>
  <w:footnote w:id="417">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8">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19">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0FB"/>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68B9"/>
    <w:rsid w:val="00A370DF"/>
    <w:rsid w:val="00A40991"/>
    <w:rsid w:val="00A6358D"/>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189</Pages>
  <Words>71707</Words>
  <Characters>408731</Characters>
  <Application>Microsoft Office Word</Application>
  <DocSecurity>0</DocSecurity>
  <Lines>3406</Lines>
  <Paragraphs>958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47</cp:revision>
  <cp:lastPrinted>2022-11-05T15:35:00Z</cp:lastPrinted>
  <dcterms:created xsi:type="dcterms:W3CDTF">2021-12-30T21:50:00Z</dcterms:created>
  <dcterms:modified xsi:type="dcterms:W3CDTF">2022-11-05T22:16:00Z</dcterms:modified>
</cp:coreProperties>
</file>