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5C57E0A6" w:rsidR="00F24BEA" w:rsidRPr="002F5DC5" w:rsidRDefault="004F535B" w:rsidP="004F535B">
      <w:pPr>
        <w:jc w:val="center"/>
        <w:rPr>
          <w:rFonts w:ascii="Bookman Old Style" w:hAnsi="Bookman Old Style"/>
        </w:rPr>
      </w:pPr>
      <w:r>
        <w:rPr>
          <w:rFonts w:ascii="Bookman Old Style" w:hAnsi="Bookman Old Style"/>
        </w:rPr>
        <w:t>Version: 0.</w:t>
      </w:r>
      <w:r w:rsidR="00696784">
        <w:rPr>
          <w:rFonts w:ascii="Bookman Old Style" w:hAnsi="Bookman Old Style"/>
        </w:rPr>
        <w:t>5</w:t>
      </w:r>
      <w:r>
        <w:rPr>
          <w:rFonts w:ascii="Bookman Old Style" w:hAnsi="Bookman Old Style"/>
        </w:rPr>
        <w:t>.0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w:t>
      </w:r>
      <w:r w:rsidR="007E057D" w:rsidRPr="007E057D">
        <w:rPr>
          <w:rFonts w:ascii="Bookman Old Style" w:hAnsi="Bookman Old Style"/>
        </w:rPr>
        <w:t>é</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The Niceo-Constantinopolitan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w:t>
      </w:r>
      <w:r w:rsidRPr="002F5DC5">
        <w:rPr>
          <w:rFonts w:ascii="Bookman Old Style" w:hAnsi="Bookman Old Style"/>
        </w:rPr>
        <w:lastRenderedPageBreak/>
        <w:t xml:space="preserve">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Plumptre</w:t>
      </w:r>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FE4790">
        <w:rPr>
          <w:rFonts w:ascii="Bookman Old Style" w:hAnsi="Bookman Old Style"/>
        </w:rPr>
        <w:t>Co</w:t>
      </w:r>
      <w:r w:rsidR="00DC0350" w:rsidRPr="00FE4790">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FE4790">
        <w:rPr>
          <w:rFonts w:ascii="Bookman Old Style" w:hAnsi="Bookman Old Style"/>
        </w:rPr>
        <w:t>Milman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r w:rsidRPr="00FE4790">
        <w:rPr>
          <w:rFonts w:ascii="Bookman Old Style" w:hAnsi="Bookman Old Style"/>
        </w:rPr>
        <w:t>Hagenbach</w:t>
      </w:r>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FE4790">
        <w:rPr>
          <w:rFonts w:ascii="Bookman Old Style" w:hAnsi="Bookman Old Style"/>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BF4849">
        <w:rPr>
          <w:rFonts w:ascii="Bookman Old Style" w:hAnsi="Bookman Old Style"/>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r w:rsidRPr="00BF4849">
        <w:rPr>
          <w:rFonts w:ascii="Bookman Old Style" w:hAnsi="Bookman Old Style"/>
        </w:rPr>
        <w:t>Giesele</w:t>
      </w:r>
      <w:r w:rsidR="00526CC2" w:rsidRPr="00BF4849">
        <w:rPr>
          <w:rFonts w:ascii="Bookman Old Style" w:hAnsi="Bookman Old Style"/>
        </w:rPr>
        <w:t xml:space="preserve">r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and </w:t>
      </w:r>
      <w:r w:rsidR="00091D96" w:rsidRPr="0084195D">
        <w:rPr>
          <w:rFonts w:ascii="Bookman Old Style" w:hAnsi="Bookman Old Style"/>
        </w:rPr>
        <w:t>also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Synes</w:t>
      </w:r>
      <w:r w:rsidRPr="00D94373">
        <w:rPr>
          <w:rFonts w:ascii="Bookman Old Style" w:hAnsi="Bookman Old Style"/>
        </w:rPr>
        <w:t>ius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3A369B">
        <w:rPr>
          <w:rFonts w:ascii="Bookman Old Style" w:hAnsi="Bookman Old Style"/>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3A369B">
        <w:rPr>
          <w:rFonts w:ascii="Bookman Old Style" w:hAnsi="Bookman Old Style"/>
        </w:rPr>
        <w:t xml:space="preserve">Dietelmaier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3A369B">
        <w:rPr>
          <w:rFonts w:ascii="Bookman Old Style" w:hAnsi="Bookman Old Style"/>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3A369B">
        <w:rPr>
          <w:rFonts w:ascii="Bookman Old Style" w:hAnsi="Bookman Old Style"/>
        </w:rPr>
        <w:t>Uhlhorn</w:t>
      </w:r>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3A369B">
        <w:rPr>
          <w:rFonts w:ascii="Bookman Old Style" w:hAnsi="Bookman Old Style"/>
        </w:rPr>
        <w:t xml:space="preserve">Hagenbach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3A369B">
        <w:rPr>
          <w:rFonts w:ascii="Bookman Old Style" w:hAnsi="Bookman Old Style"/>
        </w:rPr>
        <w:t>Plumptre</w:t>
      </w:r>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3A369B">
        <w:rPr>
          <w:rFonts w:ascii="Bookman Old Style" w:hAnsi="Bookman Old Style"/>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3A369B">
        <w:rPr>
          <w:rFonts w:ascii="Bookman Old Style" w:hAnsi="Bookman Old Style"/>
        </w:rPr>
        <w:t xml:space="preserve">Uhlhorn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r w:rsidR="007E057D" w:rsidRPr="00595517">
        <w:rPr>
          <w:rFonts w:ascii="Bookman Old Style" w:hAnsi="Bookman Old Style"/>
        </w:rPr>
        <w:t>Chambré</w:t>
      </w:r>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r w:rsidRPr="00595517">
        <w:rPr>
          <w:rFonts w:ascii="Bookman Old Style" w:hAnsi="Bookman Old Style"/>
        </w:rPr>
        <w:t>Ru</w:t>
      </w:r>
      <w:r w:rsidR="00D90996" w:rsidRPr="00595517">
        <w:rPr>
          <w:rFonts w:ascii="Bookman Old Style" w:hAnsi="Bookman Old Style"/>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7E057D" w:rsidRPr="00595517">
        <w:rPr>
          <w:rFonts w:ascii="Bookman Old Style" w:hAnsi="Bookman Old Style"/>
        </w:rPr>
        <w:t>Chambré</w:t>
      </w:r>
      <w:r w:rsidR="00D90996" w:rsidRPr="00595517">
        <w:rPr>
          <w:rFonts w:ascii="Bookman Old Style" w:hAnsi="Bookman Old Style"/>
        </w:rPr>
        <w:t xml:space="preserve"> and </w:t>
      </w:r>
      <w:r w:rsidRPr="00595517">
        <w:rPr>
          <w:rFonts w:ascii="Bookman Old Style" w:hAnsi="Bookman Old Style"/>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r w:rsidR="007B2444" w:rsidRPr="002F5DC5">
        <w:rPr>
          <w:rFonts w:ascii="Bookman Old Style" w:hAnsi="Bookman Old Style"/>
          <w:i/>
        </w:rPr>
        <w:t>aionion</w:t>
      </w:r>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of Hermas.</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Eusebius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Rothe,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The Epistle to Diognetus.</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F82BFD">
        <w:rPr>
          <w:rFonts w:ascii="Bookman Old Style" w:hAnsi="Bookman Old Style"/>
        </w:rPr>
        <w:t>Marcion</w:t>
      </w:r>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as Diognetus's</w:t>
      </w:r>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0A3846">
        <w:rPr>
          <w:rFonts w:ascii="Bookman Old Style" w:hAnsi="Bookman Old Style"/>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0A3846">
        <w:rPr>
          <w:rFonts w:ascii="Bookman Old Style" w:hAnsi="Bookman Old Style"/>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r w:rsidR="0040099B" w:rsidRPr="002F5DC5">
        <w:rPr>
          <w:rFonts w:ascii="Bookman Old Style" w:hAnsi="Bookman Old Style"/>
        </w:rPr>
        <w:t>Basilidians</w:t>
      </w:r>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Basilidians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of 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that 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r w:rsidRPr="00B44D23">
        <w:rPr>
          <w:rFonts w:ascii="Bookman Old Style" w:hAnsi="Bookman Old Style"/>
        </w:rPr>
        <w:t xml:space="preserve">Harnack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8522DC">
        <w:rPr>
          <w:rFonts w:ascii="Bookman Old Style" w:hAnsi="Bookman Old Style"/>
        </w:rPr>
        <w:t>Musardus</w:t>
      </w:r>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8522DC">
        <w:rPr>
          <w:rFonts w:ascii="Bookman Old Style" w:hAnsi="Bookman Old Style"/>
        </w:rPr>
        <w:t xml:space="preserve">Opsopoeus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Sir John Floyer’s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8522DC">
        <w:rPr>
          <w:rFonts w:ascii="Bookman Old Style" w:hAnsi="Bookman Old Style"/>
        </w:rPr>
        <w:t xml:space="preserve">Lactantius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r w:rsidRPr="002F5DC5">
        <w:rPr>
          <w:rFonts w:ascii="Bookman Old Style" w:hAnsi="Bookman Old Style"/>
        </w:rPr>
        <w:t>Pantaenus</w:t>
      </w:r>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EE0823">
        <w:rPr>
          <w:rFonts w:ascii="Bookman Old Style" w:hAnsi="Bookman Old Style"/>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EE0823">
        <w:rPr>
          <w:rFonts w:ascii="Bookman Old Style" w:hAnsi="Bookman Old Style"/>
        </w:rPr>
        <w:t>Panta</w:t>
      </w:r>
      <w:r w:rsidRPr="00EE0823">
        <w:rPr>
          <w:rFonts w:ascii="Bookman Old Style" w:hAnsi="Bookman Old Style"/>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r w:rsidRPr="00EE0823">
        <w:rPr>
          <w:rFonts w:ascii="Bookman Old Style" w:hAnsi="Bookman Old Style"/>
        </w:rPr>
        <w:t xml:space="preserve">Pantaenus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EE0823">
        <w:rPr>
          <w:rFonts w:ascii="Bookman Old Style" w:hAnsi="Bookman Old Style"/>
        </w:rPr>
        <w:t>Pantaenus, 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Pantae</w:t>
      </w:r>
      <w:r w:rsidR="00091D96" w:rsidRPr="00EE0823">
        <w:rPr>
          <w:rFonts w:ascii="Bookman Old Style" w:hAnsi="Bookman Old Style"/>
        </w:rPr>
        <w:t>nus</w:t>
      </w:r>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EE0823">
        <w:rPr>
          <w:rFonts w:ascii="Bookman Old Style" w:hAnsi="Bookman Old Style"/>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r w:rsidRPr="00EE0823">
        <w:rPr>
          <w:rFonts w:ascii="Bookman Old Style" w:hAnsi="Bookman Old Style"/>
        </w:rPr>
        <w:t>Pantaenus</w:t>
      </w:r>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EE0823">
        <w:rPr>
          <w:rFonts w:ascii="Bookman Old Style" w:hAnsi="Bookman Old Style"/>
        </w:rPr>
        <w:t>Abulpharag</w:t>
      </w:r>
      <w:r w:rsidRPr="00EE0823">
        <w:rPr>
          <w:rFonts w:ascii="Bookman Old Style" w:hAnsi="Bookman Old Style"/>
        </w:rPr>
        <w:t>ius</w:t>
      </w:r>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ius Clemens, Clemens Alexandrin</w:t>
      </w:r>
      <w:r w:rsidRPr="00EE0823">
        <w:rPr>
          <w:rFonts w:ascii="Bookman Old Style" w:hAnsi="Bookman Old Style"/>
        </w:rPr>
        <w:t xml:space="preserve">us,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EE0823">
        <w:rPr>
          <w:rFonts w:ascii="Bookman Old Style" w:hAnsi="Bookman Old Style"/>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EE0823">
        <w:rPr>
          <w:rFonts w:ascii="Bookman Old Style" w:hAnsi="Bookman Old Style"/>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EE0823">
        <w:rPr>
          <w:rFonts w:ascii="Bookman Old Style" w:hAnsi="Bookman Old Style"/>
        </w:rPr>
        <w:t>Pantaenus,</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r>
        <w:t>Clement’s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r>
        <w:t>Clement’s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674A95">
        <w:rPr>
          <w:rFonts w:ascii="Bookman Old Style" w:hAnsi="Bookman Old Style"/>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674A95">
        <w:rPr>
          <w:rFonts w:ascii="Bookman Old Style" w:hAnsi="Bookman Old Style"/>
        </w:rPr>
        <w:t>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r w:rsidRPr="00674A95">
        <w:rPr>
          <w:rFonts w:ascii="Bookman Old Style" w:hAnsi="Bookman Old Style"/>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674A95">
        <w:rPr>
          <w:rFonts w:ascii="Bookman Old Style" w:hAnsi="Bookman Old Style"/>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Pantaenus, and, as seems apparent, </w:t>
      </w:r>
      <w:r w:rsidRPr="00674A95">
        <w:rPr>
          <w:rFonts w:ascii="Bookman Old Style" w:hAnsi="Bookman Old Style"/>
        </w:rPr>
        <w:t>by Anathegoras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Origen Adama</w:t>
      </w:r>
      <w:r w:rsidR="00D71C14" w:rsidRPr="004D0D71">
        <w:rPr>
          <w:rFonts w:ascii="Bookman Old Style" w:hAnsi="Bookman Old Style"/>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AD</w:t>
      </w:r>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Maximinus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es and sufferings, a true martyr, in Tyre,</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AD</w:t>
      </w:r>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When 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125956">
        <w:rPr>
          <w:rFonts w:ascii="Bookman Old Style" w:hAnsi="Bookman Old Style"/>
        </w:rPr>
        <w:t>Ad</w:t>
      </w:r>
      <w:r w:rsidR="00986F4A" w:rsidRPr="00125956">
        <w:rPr>
          <w:rFonts w:ascii="Bookman Old Style" w:hAnsi="Bookman Old Style"/>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De P</w:t>
      </w:r>
      <w:r w:rsidR="00986F4A" w:rsidRPr="00125956">
        <w:rPr>
          <w:rFonts w:ascii="Bookman Old Style" w:hAnsi="Bookman Old Style"/>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125956">
        <w:rPr>
          <w:rFonts w:ascii="Bookman Old Style" w:hAnsi="Bookman Old Style"/>
        </w:rPr>
        <w:t xml:space="preserve">Gieseler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Heraclas, who in turn was </w:t>
      </w:r>
      <w:r w:rsidRPr="00125956">
        <w:rPr>
          <w:rFonts w:ascii="Bookman Old Style" w:hAnsi="Bookman Old Style"/>
        </w:rPr>
        <w:t>succeeded by Dionysiu</w:t>
      </w:r>
      <w:r w:rsidR="00986F4A" w:rsidRPr="00125956">
        <w:rPr>
          <w:rFonts w:ascii="Bookman Old Style" w:hAnsi="Bookman Old Style"/>
        </w:rPr>
        <w:t>s, another pupil, so that from Pantae</w:t>
      </w:r>
      <w:r w:rsidRPr="00125956">
        <w:rPr>
          <w:rFonts w:ascii="Bookman Old Style" w:hAnsi="Bookman Old Style"/>
        </w:rPr>
        <w:t>nus, to</w:t>
      </w:r>
      <w:r w:rsidR="00986F4A" w:rsidRPr="00125956">
        <w:rPr>
          <w:rFonts w:ascii="Bookman Old Style" w:hAnsi="Bookman Old Style"/>
        </w:rPr>
        <w:t xml:space="preserve"> Clemens, Origen, Heraclas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125956">
        <w:rPr>
          <w:rFonts w:ascii="Bookman Old Style" w:hAnsi="Bookman Old Style"/>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De Principiis</w:t>
      </w:r>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by Rufinus</w:t>
      </w:r>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125956">
        <w:rPr>
          <w:rFonts w:ascii="Bookman Old Style" w:hAnsi="Bookman Old Style"/>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125956">
        <w:rPr>
          <w:rFonts w:ascii="Bookman Old Style" w:hAnsi="Bookman Old Style"/>
        </w:rPr>
        <w:t>Rufinu</w:t>
      </w:r>
      <w:r w:rsidRPr="00125956">
        <w:rPr>
          <w:rFonts w:ascii="Bookman Old Style" w:hAnsi="Bookman Old Style"/>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Rufinus</w:t>
      </w:r>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Says 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 λόγος</w:t>
      </w:r>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AD</w:t>
      </w:r>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A01CA7">
        <w:rPr>
          <w:rFonts w:ascii="Bookman Old Style" w:hAnsi="Bookman Old Style"/>
        </w:rPr>
        <w:t>Huet</w:t>
      </w:r>
      <w:r w:rsidR="00091D96" w:rsidRPr="00A01CA7">
        <w:rPr>
          <w:rFonts w:ascii="Bookman Old Style" w:hAnsi="Bookman Old Style"/>
        </w:rPr>
        <w:t xml:space="preserve"> quotes 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A01CA7">
        <w:rPr>
          <w:rFonts w:ascii="Bookman Old Style" w:hAnsi="Bookman Old Style"/>
        </w:rPr>
        <w:t>Pamphilus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Contra Celsum</w:t>
      </w:r>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r w:rsidRPr="002F5DC5">
        <w:rPr>
          <w:rFonts w:ascii="Bookman Old Style" w:hAnsi="Bookman Old Style"/>
        </w:rPr>
        <w:t>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indeed remains,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 xml:space="preserve">rean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Hagenbach,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Hagenbach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traces in Gregory of Nyssa; while Hagenbac</w:t>
      </w:r>
      <w:r w:rsidRPr="00B36B49">
        <w:rPr>
          <w:rFonts w:ascii="Bookman Old Style" w:hAnsi="Bookman Old Style"/>
        </w:rPr>
        <w:t xml:space="preserve">h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B36B49">
        <w:rPr>
          <w:rFonts w:ascii="Bookman Old Style" w:hAnsi="Bookman Old Style"/>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B36B49">
        <w:rPr>
          <w:rFonts w:ascii="Bookman Old Style" w:hAnsi="Bookman Old Style"/>
        </w:rPr>
        <w:t>Ha</w:t>
      </w:r>
      <w:r w:rsidRPr="00B36B49">
        <w:rPr>
          <w:rFonts w:ascii="Bookman Old Style" w:hAnsi="Bookman Old Style"/>
        </w:rPr>
        <w:t xml:space="preserve">genbach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r>
        <w:t>Firmilian.</w:t>
      </w:r>
      <w:bookmarkEnd w:id="62"/>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r>
        <w:t>Theognostus and Pierius.</w:t>
      </w:r>
      <w:bookmarkEnd w:id="64"/>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B35CA3">
        <w:rPr>
          <w:rFonts w:ascii="Bookman Old Style" w:hAnsi="Bookman Old Style"/>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r>
        <w:t>Pamphilus.</w:t>
      </w:r>
      <w:bookmarkEnd w:id="66"/>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by 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ποκατάστασις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16. Theodore of Mopsuestia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4F5B91">
        <w:rPr>
          <w:rFonts w:ascii="Bookman Old Style" w:hAnsi="Bookman Old Style"/>
        </w:rPr>
        <w:t xml:space="preserve">Swete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r w:rsidRPr="00A333E3">
        <w:rPr>
          <w:rFonts w:ascii="Bookman Old Style" w:hAnsi="Bookman Old Style"/>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"Macrina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r>
        <w:t>A Saintly Woman.</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r>
        <w:t>Macrina’s Religious Sentiments.</w:t>
      </w:r>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r>
        <w:lastRenderedPageBreak/>
        <w:t>Her Last Days.</w:t>
      </w:r>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r>
        <w:t>Macrina a Representative Universalist.</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lastRenderedPageBreak/>
        <w:t>Basil the Great.</w:t>
      </w:r>
      <w:bookmarkEnd w:id="78"/>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r>
        <w:t>Basil’s Language.</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r>
        <w:t>Cave’s Error.</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r>
        <w:t>Eulogies of Basil.</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r>
        <w:t>The Mass of Christians Universalists.</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r>
        <w:t>Gregory’s Language.</w:t>
      </w:r>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r w:rsidRPr="009874A0">
        <w:rPr>
          <w:rFonts w:ascii="Bookman Old Style" w:hAnsi="Bookman Old Style"/>
          <w:i/>
          <w:iCs/>
        </w:rPr>
        <w:t>Sermo Catecheticus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r>
        <w:t>Perversions of Historians.</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the Antiochan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r>
        <w:t>Opinions in the Fourth Century.</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Titus of Bostra.</w:t>
      </w:r>
      <w:bookmarkEnd w:id="82"/>
    </w:p>
    <w:p w14:paraId="24A50B95" w14:textId="77777777" w:rsidR="007230A0"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r w:rsidRPr="002F5DC5">
        <w:rPr>
          <w:rFonts w:ascii="Bookman Old Style" w:hAnsi="Bookman Old Style"/>
        </w:rPr>
        <w:t>Serapion.</w:t>
      </w:r>
      <w:bookmarkEnd w:id="8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r w:rsidRPr="002F5DC5">
        <w:rPr>
          <w:rFonts w:ascii="Bookman Old Style" w:hAnsi="Bookman Old Style"/>
        </w:rPr>
        <w:t>Macarius Magnes.</w:t>
      </w:r>
      <w:bookmarkEnd w:id="8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lastRenderedPageBreak/>
        <w:t>Hilary, Bishop of Poictiers.</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r w:rsidRPr="002F5DC5">
        <w:rPr>
          <w:rFonts w:ascii="Bookman Old Style" w:hAnsi="Bookman Old Style"/>
        </w:rPr>
        <w:t>Theodoret, the Blessed.</w:t>
      </w:r>
      <w:bookmarkEnd w:id="8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r>
        <w:t>Works of Theodoret.</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r w:rsidRPr="002F5DC5">
        <w:rPr>
          <w:rFonts w:ascii="Bookman Old Style" w:hAnsi="Bookman Old Style"/>
        </w:rPr>
        <w:t>Evagrius Ponticus.</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r w:rsidRPr="002F5DC5">
        <w:rPr>
          <w:rFonts w:ascii="Bookman Old Style" w:hAnsi="Bookman Old Style"/>
        </w:rPr>
        <w:t>Rufinus.</w:t>
      </w:r>
      <w:bookmarkEnd w:id="92"/>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r w:rsidRPr="002F5DC5">
        <w:rPr>
          <w:rFonts w:ascii="Bookman Old Style" w:hAnsi="Bookman Old Style"/>
        </w:rPr>
        <w:t>Diodore, Bishop of Tarsus.</w:t>
      </w:r>
      <w:bookmarkEnd w:id="94"/>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r w:rsidRPr="002F5DC5">
        <w:rPr>
          <w:rFonts w:ascii="Bookman Old Style" w:hAnsi="Bookman Old Style"/>
        </w:rPr>
        <w:t>Macarius.</w:t>
      </w:r>
      <w:bookmarkEnd w:id="96"/>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Peter Chrysologus.</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Bar-Sudaili.</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37AEEA87" w14:textId="6ECA0044" w:rsidR="008C5543" w:rsidRPr="008C5543" w:rsidRDefault="008C5543" w:rsidP="008C5543">
      <w:pPr>
        <w:pStyle w:val="Heading2"/>
      </w:pPr>
      <w:r>
        <w:t>Transition of Christianity.</w:t>
      </w:r>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r>
        <w:t>Jerome’s Politic Course.</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r>
        <w:lastRenderedPageBreak/>
        <w:t>A Miserable Story.</w:t>
      </w:r>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r>
        <w:t>Chrysostom’s Views.</w:t>
      </w:r>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3055D0D3" w14:textId="0EB380DA" w:rsidR="008C5543" w:rsidRPr="002F5DC5" w:rsidRDefault="008C5543" w:rsidP="008C5543">
      <w:pPr>
        <w:pStyle w:val="Heading3"/>
      </w:pPr>
      <w:r>
        <w:lastRenderedPageBreak/>
        <w:t>Neander and Schaff.</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79E38E2F" w14:textId="793DA5DF" w:rsidR="00AF4CF9" w:rsidRPr="002F5DC5" w:rsidRDefault="00AF4CF9" w:rsidP="00AF4CF9">
      <w:pPr>
        <w:pStyle w:val="Heading2"/>
      </w:pPr>
      <w:r>
        <w:t>Augustine’s Acknowledgment.</w:t>
      </w:r>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r>
        <w:t>Augustine’s Criticisms and Mistakes.</w:t>
      </w:r>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Priscillianists </w:t>
      </w:r>
      <w:r w:rsidR="003B5022" w:rsidRPr="00586EE4">
        <w:rPr>
          <w:rFonts w:ascii="Bookman Old Style" w:hAnsi="Bookman Old Style"/>
          <w:i/>
          <w:iCs/>
        </w:rPr>
        <w:lastRenderedPageBreak/>
        <w:t>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r>
        <w:t>Milman on Augustinianism.</w:t>
      </w:r>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Milman: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3"/>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ne appeared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4"/>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652BE116" w14:textId="60FC743A" w:rsidR="00AF4CF9" w:rsidRPr="002F5DC5" w:rsidRDefault="00AF4CF9" w:rsidP="00AF4CF9">
      <w:pPr>
        <w:pStyle w:val="Heading2"/>
      </w:pPr>
      <w:r>
        <w:t>Augustine Less Severe Than Modern Orthodoxy.</w:t>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r>
        <w:t>Decadence and Deterioration.</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r>
        <w:t>Christianity Plagiarized.</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10EBB763" w14:textId="09560437" w:rsidR="00AF4CF9" w:rsidRPr="002F5DC5" w:rsidRDefault="00AF4CF9" w:rsidP="00AF4CF9">
      <w:pPr>
        <w:pStyle w:val="Heading2"/>
      </w:pPr>
      <w:r>
        <w:t>Augustinianism Cruel.</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r w:rsidR="007E057D">
        <w:rPr>
          <w:rFonts w:ascii="Bookman Old Style" w:hAnsi="Bookman Old Style"/>
        </w:rPr>
        <w:t>Chambré</w:t>
      </w:r>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A4BF159" w:rsidR="00091D96"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E76C138" w14:textId="5FA59708" w:rsidR="003A6E78" w:rsidRPr="002F5DC5" w:rsidRDefault="003A6E78" w:rsidP="003A6E78">
      <w:pPr>
        <w:pStyle w:val="Heading2"/>
      </w:pPr>
      <w:r>
        <w:t>Justinian’s Views.</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29ABB4"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w:t>
      </w:r>
      <w:r w:rsidR="00B17CCB" w:rsidRPr="002F5DC5">
        <w:rPr>
          <w:rFonts w:ascii="Bookman Old Style" w:hAnsi="Bookman Old Style"/>
        </w:rPr>
        <w:lastRenderedPageBreak/>
        <w:t>end</w:t>
      </w:r>
      <w:r w:rsidRPr="002F5DC5">
        <w:rPr>
          <w:rFonts w:ascii="Bookman Old Style" w:hAnsi="Bookman Old Style"/>
        </w:rPr>
        <w:t>less ages</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12F563C1" w:rsidR="00091D96"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6B0093AA" w14:textId="53136744" w:rsidR="00FE7E86" w:rsidRPr="002F5DC5" w:rsidRDefault="00FE7E86" w:rsidP="00FE7E86">
      <w:pPr>
        <w:pStyle w:val="Heading2"/>
      </w:pPr>
      <w:r>
        <w:t>Home Synod Canons.</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A6D7039" w:rsidR="00091D96" w:rsidRDefault="00091D96" w:rsidP="00B17CCB">
      <w:pPr>
        <w:ind w:firstLine="720"/>
        <w:rPr>
          <w:rFonts w:ascii="Bookman Old Style" w:hAnsi="Bookman Old Style"/>
        </w:rPr>
      </w:pPr>
      <w:r w:rsidRPr="002F5DC5">
        <w:rPr>
          <w:rFonts w:ascii="Bookman Old Style" w:hAnsi="Bookman Old Style"/>
        </w:rPr>
        <w:t xml:space="preserve">The bishops, says </w:t>
      </w:r>
      <w:r w:rsidRPr="00FE7E86">
        <w:rPr>
          <w:rFonts w:ascii="Bookman Old Style" w:hAnsi="Bookman Old Style"/>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4377105A" w14:textId="5F4D4068" w:rsidR="00FE7E86" w:rsidRPr="002F5DC5" w:rsidRDefault="00FE7E86" w:rsidP="00FE7E86">
      <w:pPr>
        <w:pStyle w:val="Heading2"/>
      </w:pPr>
      <w:r>
        <w:t>The Council Refused to Condemn Universalism.</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 xml:space="preserve">Synod </w:t>
      </w:r>
      <w:r w:rsidRPr="002F5DC5">
        <w:rPr>
          <w:rFonts w:ascii="Bookman Old Style" w:hAnsi="Bookman Old Style"/>
        </w:rPr>
        <w:lastRenderedPageBreak/>
        <w:t>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3676B8DE" w14:textId="77777777" w:rsidR="00FE7E86"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FE7E86">
        <w:rPr>
          <w:rFonts w:ascii="Bookman Old Style" w:hAnsi="Bookman Old Style"/>
        </w:rPr>
        <w:t>He</w:t>
      </w:r>
      <w:r w:rsidR="00FC41E0" w:rsidRPr="00FE7E86">
        <w:rPr>
          <w:rFonts w:ascii="Bookman Old Style" w:hAnsi="Bookman Old Style"/>
        </w:rPr>
        <w:t>fele</w:t>
      </w:r>
      <w:r w:rsidR="00FC41E0" w:rsidRPr="002F5DC5">
        <w:rPr>
          <w:rFonts w:ascii="Bookman Old Style" w:hAnsi="Bookman Old Style"/>
        </w:rPr>
        <w:t xml:space="preserve"> has disentangled the per</w:t>
      </w:r>
      <w:r w:rsidRPr="002F5DC5">
        <w:rPr>
          <w:rFonts w:ascii="Bookman Old Style" w:hAnsi="Bookman Old Style"/>
        </w:rPr>
        <w:t>plexities.</w:t>
      </w:r>
    </w:p>
    <w:p w14:paraId="0D68CBA7" w14:textId="5269DF29" w:rsidR="00091D96" w:rsidRPr="002F5DC5" w:rsidRDefault="00FE7E86" w:rsidP="00FE7E86">
      <w:pPr>
        <w:pStyle w:val="Heading2"/>
      </w:pPr>
      <w:r>
        <w:t>Universalism Not Condemned</w:t>
      </w:r>
      <w:r w:rsidR="00091D96" w:rsidRPr="002F5DC5">
        <w:t xml:space="preserve"> </w:t>
      </w:r>
      <w:r>
        <w:t>for Five Centuries.</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r w:rsidR="00FC41E0" w:rsidRPr="002F5DC5">
        <w:rPr>
          <w:rFonts w:ascii="Bookman Old Style" w:hAnsi="Bookman Old Style"/>
        </w:rPr>
        <w:lastRenderedPageBreak/>
        <w:t xml:space="preserve">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259AE1D8"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00FE7E86">
        <w:rPr>
          <w:rFonts w:ascii="Bookman Old Style" w:hAnsi="Bookman Old Style"/>
          <w:i/>
          <w:iCs/>
        </w:rPr>
        <w:t>apokatastasis</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lastRenderedPageBreak/>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2C46D3B0" w:rsidR="00091D96"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3433DBFB" w14:textId="6EDB64BC" w:rsidR="00FE7E86" w:rsidRPr="002F5DC5" w:rsidRDefault="00FE7E86" w:rsidP="00FE7E86">
      <w:pPr>
        <w:pStyle w:val="Heading2"/>
      </w:pPr>
      <w:r>
        <w:t>The Ancient Councils.</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 xml:space="preserve">mnation imprecated </w:t>
      </w:r>
      <w:r w:rsidRPr="002F5DC5">
        <w:rPr>
          <w:rFonts w:ascii="Bookman Old Style" w:hAnsi="Bookman Old Style"/>
        </w:rPr>
        <w:lastRenderedPageBreak/>
        <w:t>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43E6BC8B" w:rsidR="004516FD"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5DBFFA9" w14:textId="28CAE808" w:rsidR="00FE7E86" w:rsidRPr="00FE7E86" w:rsidRDefault="00FE7E86" w:rsidP="00FE7E86">
      <w:pPr>
        <w:pStyle w:val="Heading2"/>
      </w:pPr>
      <w:r>
        <w:t>Justinian’s Suppression of the Truth.</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7056840F" w14:textId="10F07999" w:rsidR="00FE7E86" w:rsidRDefault="00FE7E86" w:rsidP="00FE7E86">
      <w:pPr>
        <w:pStyle w:val="Heading2"/>
      </w:pPr>
      <w:r>
        <w:t>Justinian and His Age.</w:t>
      </w:r>
    </w:p>
    <w:p w14:paraId="0D68CBB3" w14:textId="0B344C0F"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289B6FAE" w:rsidR="00091D96"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6E183ACD" w14:textId="76CFE5CB" w:rsidR="00FE7E86" w:rsidRPr="002F5DC5" w:rsidRDefault="00FE7E86" w:rsidP="00FE7E86">
      <w:pPr>
        <w:pStyle w:val="Heading2"/>
      </w:pPr>
      <w:r>
        <w:t>The Divine Light Eclipsed.</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74C3D942" w:rsidR="00091D96"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1872B390" w14:textId="087CB324" w:rsidR="00850420" w:rsidRPr="002F5DC5" w:rsidRDefault="00850420" w:rsidP="00850420">
      <w:pPr>
        <w:pStyle w:val="Heading2"/>
      </w:pPr>
      <w:r>
        <w:t>Disappearance of the Truth.</w:t>
      </w:r>
    </w:p>
    <w:p w14:paraId="0D68CBBC" w14:textId="42E0227E" w:rsidR="00091D96" w:rsidRPr="002F5DC5" w:rsidRDefault="00091D96" w:rsidP="004516FD">
      <w:pPr>
        <w:ind w:firstLine="720"/>
        <w:rPr>
          <w:rFonts w:ascii="Bookman Old Style" w:hAnsi="Bookman Old Style"/>
        </w:rPr>
      </w:pPr>
      <w:r w:rsidRPr="00850420">
        <w:rPr>
          <w:rFonts w:ascii="Bookman Old Style" w:hAnsi="Bookman Old Style"/>
        </w:rPr>
        <w:t>K</w:t>
      </w:r>
      <w:r w:rsidR="004516FD" w:rsidRPr="00850420">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75917F8E" w14:textId="077127A0" w:rsidR="00850420" w:rsidRDefault="00850420" w:rsidP="00850420">
      <w:pPr>
        <w:pStyle w:val="Heading2"/>
      </w:pPr>
      <w:r>
        <w:lastRenderedPageBreak/>
        <w:t>Christianity’s Eclipse.</w:t>
      </w:r>
    </w:p>
    <w:p w14:paraId="0D68CBBE" w14:textId="5B6D8B6D" w:rsidR="00091D96"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148ABCC1" w14:textId="37D8C2E0" w:rsidR="00850420" w:rsidRPr="002F5DC5" w:rsidRDefault="00850420" w:rsidP="00850420">
      <w:pPr>
        <w:pStyle w:val="Heading2"/>
      </w:pPr>
      <w:r>
        <w:t>The Caricatures of Dante and Angelo.</w:t>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w:t>
      </w:r>
      <w:r w:rsidR="00B728FA" w:rsidRPr="002F5DC5">
        <w:rPr>
          <w:rFonts w:ascii="Bookman Old Style" w:hAnsi="Bookman Old Style"/>
        </w:rPr>
        <w:lastRenderedPageBreak/>
        <w:t xml:space="preserve">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29F5C61" w14:textId="36A7B5C1" w:rsidR="00850420"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p>
    <w:p w14:paraId="5AF46FA7" w14:textId="4DF5062A" w:rsidR="00850420" w:rsidRDefault="00850420" w:rsidP="00850420">
      <w:pPr>
        <w:pStyle w:val="Heading2"/>
      </w:pPr>
      <w:r>
        <w:t>Re-birth of Universalism.</w:t>
      </w:r>
    </w:p>
    <w:p w14:paraId="0D68CBBF" w14:textId="7B83995C" w:rsidR="00091D96" w:rsidRPr="002F5DC5" w:rsidRDefault="00091D96" w:rsidP="00B728FA">
      <w:pPr>
        <w:ind w:firstLine="720"/>
        <w:rPr>
          <w:rFonts w:ascii="Bookman Old Style" w:hAnsi="Bookman Old Style"/>
        </w:rPr>
      </w:pP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w:t>
      </w:r>
      <w:r w:rsidR="007803F9">
        <w:rPr>
          <w:rFonts w:ascii="Bookman Old Style" w:hAnsi="Bookman Old Style"/>
        </w:rPr>
        <w:t>“</w:t>
      </w:r>
      <w:r w:rsidR="00B728FA" w:rsidRPr="002F5DC5">
        <w:rPr>
          <w:rFonts w:ascii="Bookman Old Style" w:hAnsi="Bookman Old Style"/>
        </w:rPr>
        <w:t xml:space="preserve">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stablish itself there in peace.</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 xml:space="preserve">To truth belong </w:t>
      </w:r>
      <w:r w:rsidR="007803F9">
        <w:rPr>
          <w:rFonts w:ascii="Bookman Old Style" w:hAnsi="Bookman Old Style"/>
        </w:rPr>
        <w:t>“</w:t>
      </w:r>
      <w:r w:rsidR="00B728FA" w:rsidRPr="002F5DC5">
        <w:rPr>
          <w:rFonts w:ascii="Bookman Old Style" w:hAnsi="Bookman Old Style"/>
        </w:rPr>
        <w:t>God's eternal years,</w:t>
      </w:r>
      <w:r w:rsidR="007803F9">
        <w:rPr>
          <w:rFonts w:ascii="Bookman Old Style" w:hAnsi="Bookman Old Style"/>
        </w:rPr>
        <w:t>”</w:t>
      </w:r>
      <w:r w:rsidR="00B728FA" w:rsidRPr="002F5DC5">
        <w:rPr>
          <w:rFonts w:ascii="Bookman Old Style" w:hAnsi="Bookman Old Style"/>
        </w:rPr>
        <w:t xml:space="preserve">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w:t>
      </w:r>
      <w:r w:rsidR="007803F9">
        <w:rPr>
          <w:rFonts w:ascii="Bookman Old Style" w:hAnsi="Bookman Old Style"/>
        </w:rPr>
        <w:t>“</w:t>
      </w:r>
      <w:r w:rsidRPr="002F5DC5">
        <w:rPr>
          <w:rFonts w:ascii="Bookman Old Style" w:hAnsi="Bookman Old Style"/>
        </w:rPr>
        <w:t>risen again,</w:t>
      </w:r>
      <w:r w:rsidR="007803F9">
        <w:rPr>
          <w:rFonts w:ascii="Bookman Old Style" w:hAnsi="Bookman Old Style"/>
        </w:rPr>
        <w:t>”</w:t>
      </w:r>
      <w:r w:rsidRPr="002F5DC5">
        <w:rPr>
          <w:rFonts w:ascii="Bookman Old Style" w:hAnsi="Bookman Old Style"/>
        </w:rPr>
        <w:t xml:space="preserve"> and is </w:t>
      </w:r>
      <w:r w:rsidR="00B728FA" w:rsidRPr="002F5DC5">
        <w:rPr>
          <w:rFonts w:ascii="Bookman Old Style" w:hAnsi="Bookman Old Style"/>
        </w:rPr>
        <w:t xml:space="preserve">fast being accepted by a regenerated Christendom. </w:t>
      </w:r>
    </w:p>
    <w:p w14:paraId="5EE440E3" w14:textId="4D69DDDF" w:rsidR="00850420" w:rsidRDefault="00850420" w:rsidP="00850420">
      <w:pPr>
        <w:pStyle w:val="Heading2"/>
      </w:pPr>
      <w:r>
        <w:t>The Dawn of Truth.</w:t>
      </w:r>
    </w:p>
    <w:p w14:paraId="0D68CBC0" w14:textId="7C122361"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w:t>
      </w:r>
      <w:r w:rsidR="00B728FA" w:rsidRPr="002F5DC5">
        <w:rPr>
          <w:rFonts w:ascii="Bookman Old Style" w:hAnsi="Bookman Old Style"/>
        </w:rPr>
        <w:lastRenderedPageBreak/>
        <w:t xml:space="preserve">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r w:rsidRPr="00377200">
        <w:rPr>
          <w:rFonts w:ascii="Bookman Old Style" w:hAnsi="Bookman Old Style"/>
        </w:rPr>
        <w:t>A</w:t>
      </w:r>
      <w:bookmarkEnd w:id="109"/>
      <w:r w:rsidR="00844304">
        <w:rPr>
          <w:rFonts w:ascii="Bookman Old Style" w:hAnsi="Bookman Old Style"/>
        </w:rPr>
        <w:t>llin,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r w:rsidRPr="00377200">
        <w:rPr>
          <w:rFonts w:ascii="Bookman Old Style" w:hAnsi="Bookman Old Style"/>
        </w:rPr>
        <w:t>Bryennios, Philotheos</w:t>
      </w:r>
      <w:bookmarkEnd w:id="112"/>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r>
        <w:rPr>
          <w:rFonts w:ascii="Bookman Old Style" w:hAnsi="Bookman Old Style"/>
        </w:rPr>
        <w:t>Chambré</w:t>
      </w:r>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r w:rsidRPr="002F5DC5">
        <w:rPr>
          <w:rFonts w:ascii="Bookman Old Style" w:hAnsi="Bookman Old Style"/>
        </w:rPr>
        <w:t>Hagenbach,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r>
        <w:rPr>
          <w:rFonts w:ascii="Bookman Old Style" w:hAnsi="Bookman Old Style"/>
        </w:rPr>
        <w:t>Haweis</w:t>
      </w:r>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r>
        <w:rPr>
          <w:rFonts w:ascii="Bookman Old Style" w:hAnsi="Bookman Old Style"/>
        </w:rPr>
        <w:t>Milman,</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r>
        <w:rPr>
          <w:rFonts w:ascii="Bookman Old Style" w:hAnsi="Bookman Old Style"/>
        </w:rPr>
        <w:t>Pressens</w:t>
      </w:r>
      <w:r w:rsidRPr="004A41F5">
        <w:rPr>
          <w:rFonts w:ascii="Bookman Old Style" w:hAnsi="Bookman Old Style"/>
        </w:rPr>
        <w:t>é</w:t>
      </w:r>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r>
        <w:rPr>
          <w:rFonts w:ascii="Bookman Old Style" w:hAnsi="Bookman Old Style"/>
        </w:rPr>
        <w:t>Chambré</w:t>
      </w:r>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78C2" w14:textId="77777777" w:rsidR="00EE436A" w:rsidRDefault="00EE436A" w:rsidP="00661298">
      <w:pPr>
        <w:spacing w:after="0" w:line="240" w:lineRule="auto"/>
      </w:pPr>
      <w:r>
        <w:separator/>
      </w:r>
    </w:p>
  </w:endnote>
  <w:endnote w:type="continuationSeparator" w:id="0">
    <w:p w14:paraId="1E4F34AF" w14:textId="77777777" w:rsidR="00EE436A" w:rsidRDefault="00EE436A"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9D10" w14:textId="77777777" w:rsidR="00EE436A" w:rsidRDefault="00EE436A" w:rsidP="00661298">
      <w:pPr>
        <w:spacing w:after="0" w:line="240" w:lineRule="auto"/>
      </w:pPr>
      <w:r>
        <w:separator/>
      </w:r>
    </w:p>
  </w:footnote>
  <w:footnote w:type="continuationSeparator" w:id="0">
    <w:p w14:paraId="6BF661E4" w14:textId="77777777" w:rsidR="00EE436A" w:rsidRDefault="00EE436A"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r w:rsidRPr="000628B5">
        <w:rPr>
          <w:i/>
        </w:rPr>
        <w:t>Text-book of Christian Doctrine</w:t>
      </w:r>
      <w:r w:rsidR="007E057D">
        <w:rPr>
          <w:i/>
        </w:rPr>
        <w:t>; Gieseler’s Text Book: Neander.</w:t>
      </w:r>
      <w:r>
        <w:t xml:space="preserve"> – th</w:t>
      </w:r>
      <w:r w:rsidR="007E057D">
        <w:t>e first</w:t>
      </w:r>
      <w:r>
        <w:t xml:space="preserve"> might be </w:t>
      </w:r>
      <w:r>
        <w:rPr>
          <w:i/>
        </w:rPr>
        <w:t>A Text-book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Aionion,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Constans Augustus (AD 323-350).</w:t>
      </w:r>
    </w:p>
  </w:footnote>
  <w:footnote w:id="38">
    <w:p w14:paraId="0D68CC10" w14:textId="20A0895B" w:rsidR="00210409" w:rsidRDefault="00210409">
      <w:pPr>
        <w:pStyle w:val="FootnoteText"/>
      </w:pPr>
      <w:r>
        <w:rPr>
          <w:rStyle w:val="FootnoteReference"/>
        </w:rPr>
        <w:footnoteRef/>
      </w:r>
      <w:r>
        <w:t xml:space="preserve"> JW: Hort’s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69">
    <w:p w14:paraId="0D68CC7E" w14:textId="77777777" w:rsidR="00210409" w:rsidRDefault="00210409">
      <w:pPr>
        <w:pStyle w:val="FootnoteText"/>
      </w:pPr>
      <w:r>
        <w:rPr>
          <w:rStyle w:val="FootnoteReference"/>
        </w:rPr>
        <w:footnoteRef/>
      </w:r>
      <w:r>
        <w:t xml:space="preserve"> Hipp.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0">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r>
        <w:t>Hipp.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Gos.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r>
        <w:t>April,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r>
        <w:t>Philosophumena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r w:rsidR="00B36B49" w:rsidRPr="00B36B49">
        <w:t>ὐθάνατον</w:t>
      </w:r>
      <w:r w:rsidR="00B36B49">
        <w:t>.</w:t>
      </w:r>
    </w:p>
  </w:footnote>
  <w:footnote w:id="281">
    <w:p w14:paraId="64DABC57" w14:textId="450034B6" w:rsidR="00B36B49" w:rsidRDefault="00B36B49">
      <w:pPr>
        <w:pStyle w:val="FootnoteText"/>
      </w:pPr>
      <w:r>
        <w:rPr>
          <w:rStyle w:val="FootnoteReference"/>
        </w:rPr>
        <w:footnoteRef/>
      </w:r>
      <w:r>
        <w:t xml:space="preserve"> JW: Greek: </w:t>
      </w:r>
      <w:r w:rsidRPr="00B36B49">
        <w:t>ἀφθαρτον</w:t>
      </w:r>
      <w:r>
        <w:t>.</w:t>
      </w:r>
    </w:p>
  </w:footnote>
  <w:footnote w:id="282">
    <w:p w14:paraId="5D964DCF" w14:textId="73095700" w:rsidR="00B36B49" w:rsidRDefault="00B36B49">
      <w:pPr>
        <w:pStyle w:val="FootnoteText"/>
      </w:pPr>
      <w:r>
        <w:rPr>
          <w:rStyle w:val="FootnoteReference"/>
        </w:rPr>
        <w:footnoteRef/>
      </w:r>
      <w:r>
        <w:t xml:space="preserve"> JW: Greek: </w:t>
      </w:r>
      <w:r w:rsidRPr="00B36B49">
        <w:t>φυχῆ</w:t>
      </w:r>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Pantaenus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Ad Autolicum, lib. II, cap. 26, Vol. VI, Migne’s Patrologiae.</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De resur. Carn., chap. 59. “Ego me scio neque alia carne adulteria commisse, neque nunc alia carne ad continentian eniti.”</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r>
        <w:t>Apol.,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Quid admirer? Quid rideam? ubi gaudeam, ubi exsulte, spectans tot et tantos, etc. De Spectaculis,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r>
        <w:t>Euseb.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Beausobre, Hist. de Manich., I, 9, chs.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Doct.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De Eccl. Theol., Migne,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Sermon Major de fide. Migne, vol. XXVI, pp. 1263-1294.</w:t>
      </w:r>
    </w:p>
  </w:footnote>
  <w:footnote w:id="300">
    <w:p w14:paraId="0D68CCFF" w14:textId="77777777" w:rsidR="00210409" w:rsidRDefault="00210409">
      <w:pPr>
        <w:pStyle w:val="FootnoteText"/>
      </w:pPr>
      <w:r>
        <w:rPr>
          <w:rStyle w:val="FootnoteReference"/>
        </w:rPr>
        <w:footnoteRef/>
      </w:r>
      <w:r>
        <w:t xml:space="preserve"> De Spir. Sanct.,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Neander, Hist. Christ. Dogmas, I, p. 265 (London, 1866), who cites Nieder (Kirchengeschichte),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r>
        <w:t>Epiph. Epist. ad Johan. Inter Hieron.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De Resurr.,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καθαρτήριον</w:t>
      </w:r>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r w:rsidR="00FA3773" w:rsidRPr="00FA3773">
        <w:t>κολαστήριον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r>
        <w:t>Orat. xl, Carm. xlii.; Migne,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r>
        <w:t>Assemani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Hist. Christ. Dogmas, Vol. II. Hagenbach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r>
        <w:t>Assemani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r>
        <w:t>Doct.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r>
        <w:t>Renaudot’s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r>
        <w:t>Theodoret, Hist. of Ch., pp. 2, 3. Theodore wrote two works on Heresies in which he professes to condemn all the heresies of his times, but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Olshausen. </w:t>
      </w:r>
      <w:r w:rsidRPr="00AF0D0B">
        <w:rPr>
          <w:i/>
          <w:iCs/>
        </w:rPr>
        <w:t>Biblischer Commentar über sämmtliche Schriften des Neuen Testaments zunächst für Prediger und Studirende</w:t>
      </w:r>
      <w:r>
        <w:t xml:space="preserve">. </w:t>
      </w:r>
      <w:r>
        <w:t>Volume 2</w:t>
      </w:r>
      <w:r>
        <w:t>. A.W. Unzer,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r w:rsidR="009874A0" w:rsidRPr="009874A0">
        <w:t>Πάντα ἐν 'πᾶσιν</w:t>
      </w:r>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154. Oehler’s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Life and Resurrection, pg. 68. In this passage Macrina employs the word aionion in its proper sense of ages. The German version translate it centuries (jahrhunderte).</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Ep. XLVI, Classis I, ad virginem.</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Life and Resurrection and Letter to the Monk Olympius.</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Cat. Orat. Ch. 26, Migne, Tract, Filius subjicietur,--on I Cor. 15:28—pasa he anthropine phusis,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ἀποκατάστασις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r w:rsidR="00843C6F" w:rsidRPr="00843C6F">
        <w:t>κεκολασμένων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καθάρσει</w:t>
      </w:r>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καθάρσεως</w:t>
      </w:r>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r>
        <w:t>Photius,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De Usu Patrum,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r>
        <w:t>Orat. Catech.</w:t>
      </w:r>
      <w:r w:rsidR="00843C6F">
        <w:t xml:space="preserve"> Greek: </w:t>
      </w:r>
      <w:r w:rsidR="00843C6F" w:rsidRPr="00843C6F">
        <w:t>Εἰ δὲ ἀθεράπευτος μένει ἐν τῷ μετὰ ταῦτα βιῳ ταμιεύεται ἡ θεραπεία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r>
        <w:t>Allin,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Tillemont,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r>
        <w:t>Migne, Vol. XVIII, pg. 1118. Observe here that aionios is used in the sense of endless; also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Conf. vi, 3, Ep. xivii,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r>
        <w:t>Ideo Dives ille in Evangelio, licet peccator, poenalibus torquetur aerumnis, ut citicus possit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Adv. Arium, lib. I:25, Migne,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De Trin.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r>
        <w:t>Migne,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r>
        <w:t>Homilia. Pasch. xx. Migne,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r>
        <w:t>Glaph.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r>
        <w:t>Assemani Bib. Orientalis,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r>
        <w:t>Assemani Bibl. Orient., II, pg. 291.</w:t>
      </w:r>
    </w:p>
  </w:footnote>
  <w:footnote w:id="374">
    <w:p w14:paraId="0D68CD48" w14:textId="5C53026B" w:rsidR="00210409" w:rsidRDefault="00210409">
      <w:pPr>
        <w:pStyle w:val="FootnoteText"/>
      </w:pPr>
      <w:r>
        <w:rPr>
          <w:rStyle w:val="FootnoteReference"/>
        </w:rPr>
        <w:footnoteRef/>
      </w:r>
      <w:r>
        <w:t xml:space="preserve"> </w:t>
      </w:r>
      <w:r w:rsidR="008C5543">
        <w:t xml:space="preserve">JW: </w:t>
      </w:r>
      <w:r>
        <w:t>Hipp. and His Age.</w:t>
      </w:r>
    </w:p>
  </w:footnote>
  <w:footnote w:id="375">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6">
    <w:p w14:paraId="0D68CD4A" w14:textId="35B19FC1" w:rsidR="00210409" w:rsidRDefault="00210409">
      <w:pPr>
        <w:pStyle w:val="FootnoteText"/>
      </w:pPr>
      <w:r>
        <w:rPr>
          <w:rStyle w:val="FootnoteReference"/>
        </w:rPr>
        <w:footnoteRef/>
      </w:r>
      <w:r>
        <w:t xml:space="preserve"> </w:t>
      </w:r>
      <w:r w:rsidR="008C5543">
        <w:t xml:space="preserve">JW: </w:t>
      </w:r>
      <w:r>
        <w:t>Epist. xxxiii. Migne Vol. XXII.</w:t>
      </w:r>
    </w:p>
  </w:footnote>
  <w:footnote w:id="377">
    <w:p w14:paraId="0D68CD4B" w14:textId="257A8928" w:rsidR="00210409" w:rsidRDefault="00210409">
      <w:pPr>
        <w:pStyle w:val="FootnoteText"/>
      </w:pPr>
      <w:r>
        <w:rPr>
          <w:rStyle w:val="FootnoteReference"/>
        </w:rPr>
        <w:footnoteRef/>
      </w:r>
      <w:r>
        <w:t xml:space="preserve"> </w:t>
      </w:r>
      <w:r w:rsidR="008C5543">
        <w:t xml:space="preserve">JW: </w:t>
      </w:r>
      <w:r>
        <w:t>Plumptre, Dictionary of Christian Biography, II, Art. “Eschatology.”</w:t>
      </w:r>
    </w:p>
  </w:footnote>
  <w:footnote w:id="378">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79">
    <w:p w14:paraId="0D68CD4D" w14:textId="0B239C66" w:rsidR="00210409" w:rsidRDefault="00210409">
      <w:pPr>
        <w:pStyle w:val="FootnoteText"/>
      </w:pPr>
      <w:r>
        <w:rPr>
          <w:rStyle w:val="FootnoteReference"/>
        </w:rPr>
        <w:footnoteRef/>
      </w:r>
      <w:r>
        <w:t xml:space="preserve"> </w:t>
      </w:r>
      <w:r w:rsidR="008C5543">
        <w:t xml:space="preserve">JW: Latin: </w:t>
      </w:r>
      <w:r>
        <w:t>“alterum post apostolum ecclesarium magistrum.”</w:t>
      </w:r>
    </w:p>
  </w:footnote>
  <w:footnote w:id="380">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1">
    <w:p w14:paraId="0D68CD4F" w14:textId="60EE6379" w:rsidR="00210409" w:rsidRDefault="00210409">
      <w:pPr>
        <w:pStyle w:val="FootnoteText"/>
      </w:pPr>
      <w:r>
        <w:rPr>
          <w:rStyle w:val="FootnoteReference"/>
        </w:rPr>
        <w:footnoteRef/>
      </w:r>
      <w:r>
        <w:t xml:space="preserve"> </w:t>
      </w:r>
      <w:r w:rsidR="008C5543">
        <w:t xml:space="preserve">JW: </w:t>
      </w:r>
      <w:r>
        <w:t>Universalist Quarterly, May, 1838.</w:t>
      </w:r>
    </w:p>
  </w:footnote>
  <w:footnote w:id="382">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3">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4">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5">
    <w:p w14:paraId="0D68CD53" w14:textId="7BA1FB7C" w:rsidR="00210409" w:rsidRDefault="00210409">
      <w:pPr>
        <w:pStyle w:val="FootnoteText"/>
      </w:pPr>
      <w:r>
        <w:rPr>
          <w:rStyle w:val="FootnoteReference"/>
        </w:rPr>
        <w:footnoteRef/>
      </w:r>
      <w:r>
        <w:t xml:space="preserve"> </w:t>
      </w:r>
      <w:r w:rsidR="00AF4CF9">
        <w:t xml:space="preserve">JW: </w:t>
      </w:r>
      <w:r>
        <w:t>Confessions, III, Chap. i-iii.</w:t>
      </w:r>
    </w:p>
  </w:footnote>
  <w:footnote w:id="386">
    <w:p w14:paraId="0D68CD54" w14:textId="5B16C716" w:rsidR="00210409" w:rsidRDefault="00210409">
      <w:pPr>
        <w:pStyle w:val="FootnoteText"/>
      </w:pPr>
      <w:r>
        <w:rPr>
          <w:rStyle w:val="FootnoteReference"/>
        </w:rPr>
        <w:footnoteRef/>
      </w:r>
      <w:r>
        <w:t xml:space="preserve"> </w:t>
      </w:r>
      <w:r w:rsidR="00AF4CF9">
        <w:t xml:space="preserve">JW: </w:t>
      </w:r>
      <w:r>
        <w:t>Robert Burns’ Address to the De’il.</w:t>
      </w:r>
    </w:p>
  </w:footnote>
  <w:footnote w:id="387">
    <w:p w14:paraId="0D68CD55" w14:textId="030975D4" w:rsidR="00210409" w:rsidRDefault="00210409">
      <w:pPr>
        <w:pStyle w:val="FootnoteText"/>
      </w:pPr>
      <w:r>
        <w:rPr>
          <w:rStyle w:val="FootnoteReference"/>
        </w:rPr>
        <w:footnoteRef/>
      </w:r>
      <w:r>
        <w:t xml:space="preserve"> </w:t>
      </w:r>
      <w:r w:rsidR="00AF4CF9">
        <w:t xml:space="preserve">JW: </w:t>
      </w:r>
      <w:r>
        <w:t>Conspersio damnata, massa perditionis.</w:t>
      </w:r>
    </w:p>
  </w:footnote>
  <w:footnote w:id="388">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89">
    <w:p w14:paraId="0D68CD57" w14:textId="4E3168A3" w:rsidR="00210409" w:rsidRDefault="00210409">
      <w:pPr>
        <w:pStyle w:val="FootnoteText"/>
      </w:pPr>
      <w:r>
        <w:rPr>
          <w:rStyle w:val="FootnoteReference"/>
        </w:rPr>
        <w:footnoteRef/>
      </w:r>
      <w:r>
        <w:t xml:space="preserve"> </w:t>
      </w:r>
      <w:r w:rsidR="00AF4CF9">
        <w:t xml:space="preserve">JW: </w:t>
      </w:r>
      <w:r>
        <w:t>Enchiridion cxii: “Frustra itaque nonulli, imo quam plurimi, aeternam damnatorum poenam et cruciatus sine intermission perpetous humano miserantur affect, atque ita futurum esse non credunt.”</w:t>
      </w:r>
    </w:p>
  </w:footnote>
  <w:footnote w:id="390">
    <w:p w14:paraId="0D68CD58" w14:textId="6D445D54" w:rsidR="00210409" w:rsidRDefault="00210409">
      <w:pPr>
        <w:pStyle w:val="FootnoteText"/>
      </w:pPr>
      <w:r>
        <w:rPr>
          <w:rStyle w:val="FootnoteReference"/>
        </w:rPr>
        <w:footnoteRef/>
      </w:r>
      <w:r>
        <w:t xml:space="preserve"> </w:t>
      </w:r>
      <w:r w:rsidR="00AF4CF9">
        <w:t xml:space="preserve">JW: </w:t>
      </w:r>
      <w:r>
        <w:t>Misercordibus nostris. De Civ., Dei., xxi:17.</w:t>
      </w:r>
    </w:p>
  </w:footnote>
  <w:footnote w:id="391">
    <w:p w14:paraId="0D68CD59" w14:textId="26B04FA5" w:rsidR="00210409" w:rsidRDefault="00210409">
      <w:pPr>
        <w:pStyle w:val="FootnoteText"/>
      </w:pPr>
      <w:r>
        <w:rPr>
          <w:rStyle w:val="FootnoteReference"/>
        </w:rPr>
        <w:footnoteRef/>
      </w:r>
      <w:r>
        <w:t xml:space="preserve"> </w:t>
      </w:r>
      <w:r w:rsidR="00AF4CF9">
        <w:t xml:space="preserve">JW: </w:t>
      </w:r>
      <w:r>
        <w:t>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3">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4">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5">
    <w:p w14:paraId="0D68CD5D" w14:textId="2F5808AD" w:rsidR="00210409" w:rsidRDefault="00210409">
      <w:pPr>
        <w:pStyle w:val="FootnoteText"/>
      </w:pPr>
      <w:r>
        <w:rPr>
          <w:rStyle w:val="FootnoteReference"/>
        </w:rPr>
        <w:footnoteRef/>
      </w:r>
      <w:r>
        <w:t xml:space="preserve"> </w:t>
      </w:r>
      <w:r w:rsidR="00AF4CF9">
        <w:t xml:space="preserve">JW: </w:t>
      </w:r>
      <w:r w:rsidRPr="003B5022">
        <w:t>He says, "Non autem omnes veniunt in sempiternas poenas, quae post illud judicium sunt futurae, qui post mortem sustinent temporalis."</w:t>
      </w:r>
      <w:r>
        <w:t xml:space="preserve"> (De Civ. Dei).</w:t>
      </w:r>
    </w:p>
  </w:footnote>
  <w:footnote w:id="396">
    <w:p w14:paraId="0D68CD5E" w14:textId="27D73141" w:rsidR="00210409" w:rsidRDefault="00210409">
      <w:pPr>
        <w:pStyle w:val="FootnoteText"/>
      </w:pPr>
      <w:r>
        <w:rPr>
          <w:rStyle w:val="FootnoteReference"/>
        </w:rPr>
        <w:footnoteRef/>
      </w:r>
      <w:r>
        <w:t xml:space="preserve"> </w:t>
      </w:r>
      <w:r w:rsidR="00AF4CF9">
        <w:t xml:space="preserve">JW: </w:t>
      </w:r>
      <w:r>
        <w:t>De Civ. Del. “non redarguo, quia forsitan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399">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0">
    <w:p w14:paraId="0D68CD61" w14:textId="0C25DFA1" w:rsidR="00210409" w:rsidRDefault="00210409">
      <w:pPr>
        <w:pStyle w:val="FootnoteText"/>
      </w:pPr>
      <w:r>
        <w:rPr>
          <w:rStyle w:val="FootnoteReference"/>
        </w:rPr>
        <w:footnoteRef/>
      </w:r>
      <w:r>
        <w:t xml:space="preserve"> </w:t>
      </w:r>
      <w:r w:rsidR="00AF4CF9">
        <w:t xml:space="preserve">JW: </w:t>
      </w:r>
      <w:r>
        <w:t>“L’ Eglise Romain s’est porte le dernier coup: elle a consommé son suicide le jour on elle a fait Dieu implacable et la damnation eternelle.” Spiridion.</w:t>
      </w:r>
    </w:p>
  </w:footnote>
  <w:footnote w:id="401">
    <w:p w14:paraId="0D68CD62" w14:textId="494E7733" w:rsidR="00210409" w:rsidRDefault="00210409">
      <w:pPr>
        <w:pStyle w:val="FootnoteText"/>
      </w:pPr>
      <w:r>
        <w:rPr>
          <w:rStyle w:val="FootnoteReference"/>
        </w:rPr>
        <w:footnoteRef/>
      </w:r>
      <w:r>
        <w:t xml:space="preserve"> </w:t>
      </w:r>
      <w:r w:rsidR="003A6E78">
        <w:t xml:space="preserve">JW: </w:t>
      </w:r>
      <w:r>
        <w:t>Nicephorus, Eccle. Hist., xvii: 27. Hefele, iv: 220.</w:t>
      </w:r>
    </w:p>
  </w:footnote>
  <w:footnote w:id="402">
    <w:p w14:paraId="0D68CD63" w14:textId="061D7FDC" w:rsidR="00210409" w:rsidRDefault="00210409">
      <w:pPr>
        <w:pStyle w:val="FootnoteText"/>
      </w:pPr>
      <w:r>
        <w:rPr>
          <w:rStyle w:val="FootnoteReference"/>
        </w:rPr>
        <w:footnoteRef/>
      </w:r>
      <w:r>
        <w:t xml:space="preserve"> </w:t>
      </w:r>
      <w:r w:rsidR="003A6E78">
        <w:t xml:space="preserve">JW: </w:t>
      </w:r>
      <w:r>
        <w:t>Murdock’s Mosheim I, pp. 410-411; Gieseler, Hist. vi, p. 478. Also Hagenbach and Neander. Cave’s Historia Literaria.</w:t>
      </w:r>
    </w:p>
  </w:footnote>
  <w:footnote w:id="403">
    <w:p w14:paraId="0D68CD64" w14:textId="177F5881" w:rsidR="00210409" w:rsidRDefault="00210409">
      <w:pPr>
        <w:pStyle w:val="FootnoteText"/>
      </w:pPr>
      <w:r>
        <w:rPr>
          <w:rStyle w:val="FootnoteReference"/>
        </w:rPr>
        <w:footnoteRef/>
      </w:r>
      <w:r>
        <w:t xml:space="preserve"> </w:t>
      </w:r>
      <w:r w:rsidR="00FE7E86">
        <w:t xml:space="preserve">JW: </w:t>
      </w:r>
      <w:r>
        <w:t>Vol. I, pg. 282. Ideler’s edition.</w:t>
      </w:r>
    </w:p>
  </w:footnote>
  <w:footnote w:id="404">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ἀπείρους ἀιῶνας</w:t>
      </w:r>
      <w:r>
        <w:t>.</w:t>
      </w:r>
    </w:p>
  </w:footnote>
  <w:footnote w:id="405">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6">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7">
    <w:p w14:paraId="0D68CD68" w14:textId="4542548D" w:rsidR="00210409" w:rsidRDefault="00210409">
      <w:pPr>
        <w:pStyle w:val="FootnoteText"/>
      </w:pPr>
      <w:r>
        <w:rPr>
          <w:rStyle w:val="FootnoteReference"/>
        </w:rPr>
        <w:footnoteRef/>
      </w:r>
      <w:r>
        <w:t xml:space="preserve"> </w:t>
      </w:r>
      <w:r w:rsidR="00FE7E86">
        <w:t xml:space="preserve">JW: </w:t>
      </w:r>
      <w:r>
        <w:t>The canon reads: “Si quis non anathematizat Arium, Eunomium, Macedonium, Apollinarium, Nestorium, Eutychen, Orgenem cum impiis eorum conscriptis, et alios omnes haereticos, qui condemnati et anathematizati sunt a Catholic et Apostolica Ecclesia,” etc.</w:t>
      </w:r>
    </w:p>
  </w:footnote>
  <w:footnote w:id="408">
    <w:p w14:paraId="0D68CD69" w14:textId="1E0ECFF1" w:rsidR="00210409" w:rsidRDefault="00210409">
      <w:pPr>
        <w:pStyle w:val="FootnoteText"/>
      </w:pPr>
      <w:r>
        <w:rPr>
          <w:rStyle w:val="FootnoteReference"/>
        </w:rPr>
        <w:footnoteRef/>
      </w:r>
      <w:r>
        <w:t xml:space="preserve"> </w:t>
      </w:r>
      <w:r w:rsidR="00FE7E86">
        <w:t xml:space="preserve">JW: </w:t>
      </w:r>
      <w:r>
        <w:t>Dietelmaier declares that many of the church doctors agreed with Origen in advocating the salvability of the devil.</w:t>
      </w:r>
    </w:p>
  </w:footnote>
  <w:footnote w:id="409">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ἀποκατάστασις</w:t>
      </w:r>
      <w:r w:rsidR="00FE7E86">
        <w:t>.</w:t>
      </w:r>
    </w:p>
  </w:footnote>
  <w:footnote w:id="410">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1">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2">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3">
    <w:p w14:paraId="0D68CD6E" w14:textId="052A382A" w:rsidR="00210409" w:rsidRDefault="00210409">
      <w:pPr>
        <w:pStyle w:val="FootnoteText"/>
      </w:pPr>
      <w:r>
        <w:rPr>
          <w:rStyle w:val="FootnoteReference"/>
        </w:rPr>
        <w:footnoteRef/>
      </w:r>
      <w:r>
        <w:t xml:space="preserve"> </w:t>
      </w:r>
      <w:r w:rsidR="00FE7E86">
        <w:t xml:space="preserve">JW: </w:t>
      </w:r>
      <w:r>
        <w:t>Sozomen, Eccl. Hist.; Gibbon, Decline and Fall.</w:t>
      </w:r>
    </w:p>
  </w:footnote>
  <w:footnote w:id="414">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5">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16">
    <w:p w14:paraId="0D68CD71" w14:textId="01D4CA9D" w:rsidR="00210409" w:rsidRDefault="00210409">
      <w:pPr>
        <w:pStyle w:val="FootnoteText"/>
      </w:pPr>
      <w:r>
        <w:rPr>
          <w:rStyle w:val="FootnoteReference"/>
        </w:rPr>
        <w:footnoteRef/>
      </w:r>
      <w:r>
        <w:t xml:space="preserve"> </w:t>
      </w:r>
      <w:r w:rsidR="00850420">
        <w:t xml:space="preserve">JW: </w:t>
      </w:r>
      <w:r>
        <w:t>Rev. S. S. Hebberd.</w:t>
      </w:r>
    </w:p>
  </w:footnote>
  <w:footnote w:id="417">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18">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19">
    <w:p w14:paraId="0D68CD74" w14:textId="03ADE09E" w:rsidR="00210409" w:rsidRDefault="00210409">
      <w:pPr>
        <w:pStyle w:val="FootnoteText"/>
      </w:pPr>
      <w:r>
        <w:rPr>
          <w:rStyle w:val="FootnoteReference"/>
        </w:rPr>
        <w:footnoteRef/>
      </w:r>
      <w:r>
        <w:t xml:space="preserve"> </w:t>
      </w:r>
      <w:r w:rsidR="00850420">
        <w:t xml:space="preserve">JW: </w:t>
      </w:r>
      <w:r>
        <w:t>“In Germany alone, in six years from the promulgation of the ninety-five theses at Wittenberg, the number of annual publications increased twelvefold.” Rev. W. W. Ramsay, Methodism and Literature, pg. 232.</w:t>
      </w:r>
    </w:p>
  </w:footnote>
  <w:footnote w:id="420">
    <w:p w14:paraId="0D68CD75" w14:textId="6A8E9C61" w:rsidR="00210409" w:rsidRDefault="00210409">
      <w:pPr>
        <w:pStyle w:val="FootnoteText"/>
      </w:pPr>
      <w:r>
        <w:rPr>
          <w:rStyle w:val="FootnoteReference"/>
        </w:rPr>
        <w:footnoteRef/>
      </w:r>
      <w:r>
        <w:t xml:space="preserve"> </w:t>
      </w:r>
      <w:r w:rsidR="00850420">
        <w:t xml:space="preserve">JW: </w:t>
      </w:r>
      <w:r>
        <w:t>Paper read at the World’s Parliament of Religions, Chicago, September,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36A"/>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192</Pages>
  <Words>71904</Words>
  <Characters>409855</Characters>
  <Application>Microsoft Office Word</Application>
  <DocSecurity>0</DocSecurity>
  <Lines>3415</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59</cp:revision>
  <cp:lastPrinted>2022-11-05T15:35:00Z</cp:lastPrinted>
  <dcterms:created xsi:type="dcterms:W3CDTF">2021-12-30T21:50:00Z</dcterms:created>
  <dcterms:modified xsi:type="dcterms:W3CDTF">2022-11-05T23:27:00Z</dcterms:modified>
</cp:coreProperties>
</file>