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77710"/>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0D9FA6E0" w14:textId="5BBA5788" w:rsidR="00A16B9C"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77710" w:history="1">
            <w:r w:rsidR="00A16B9C" w:rsidRPr="00C554E8">
              <w:rPr>
                <w:rStyle w:val="Hyperlink"/>
                <w:rFonts w:ascii="Bookman Old Style" w:hAnsi="Bookman Old Style"/>
                <w:noProof/>
              </w:rPr>
              <w:t>Table of Contents</w:t>
            </w:r>
            <w:r w:rsidR="00A16B9C">
              <w:rPr>
                <w:noProof/>
                <w:webHidden/>
              </w:rPr>
              <w:tab/>
            </w:r>
            <w:r w:rsidR="00A16B9C">
              <w:rPr>
                <w:noProof/>
                <w:webHidden/>
              </w:rPr>
              <w:fldChar w:fldCharType="begin"/>
            </w:r>
            <w:r w:rsidR="00A16B9C">
              <w:rPr>
                <w:noProof/>
                <w:webHidden/>
              </w:rPr>
              <w:instrText xml:space="preserve"> PAGEREF _Toc118377710 \h </w:instrText>
            </w:r>
            <w:r w:rsidR="00A16B9C">
              <w:rPr>
                <w:noProof/>
                <w:webHidden/>
              </w:rPr>
            </w:r>
            <w:r w:rsidR="00A16B9C">
              <w:rPr>
                <w:noProof/>
                <w:webHidden/>
              </w:rPr>
              <w:fldChar w:fldCharType="separate"/>
            </w:r>
            <w:r w:rsidR="00A16B9C">
              <w:rPr>
                <w:noProof/>
                <w:webHidden/>
              </w:rPr>
              <w:t>2</w:t>
            </w:r>
            <w:r w:rsidR="00A16B9C">
              <w:rPr>
                <w:noProof/>
                <w:webHidden/>
              </w:rPr>
              <w:fldChar w:fldCharType="end"/>
            </w:r>
          </w:hyperlink>
        </w:p>
        <w:p w14:paraId="40D19433" w14:textId="7C89F5D0" w:rsidR="00A16B9C" w:rsidRDefault="00000000">
          <w:pPr>
            <w:pStyle w:val="TOC1"/>
            <w:tabs>
              <w:tab w:val="right" w:leader="dot" w:pos="9350"/>
            </w:tabs>
            <w:rPr>
              <w:rFonts w:eastAsiaTheme="minorEastAsia"/>
              <w:noProof/>
            </w:rPr>
          </w:pPr>
          <w:hyperlink w:anchor="_Toc118377711" w:history="1">
            <w:r w:rsidR="00A16B9C" w:rsidRPr="00C554E8">
              <w:rPr>
                <w:rStyle w:val="Hyperlink"/>
                <w:rFonts w:ascii="Bookman Old Style" w:hAnsi="Bookman Old Style"/>
                <w:noProof/>
              </w:rPr>
              <w:t>Dedication.</w:t>
            </w:r>
            <w:r w:rsidR="00A16B9C">
              <w:rPr>
                <w:noProof/>
                <w:webHidden/>
              </w:rPr>
              <w:tab/>
            </w:r>
            <w:r w:rsidR="00A16B9C">
              <w:rPr>
                <w:noProof/>
                <w:webHidden/>
              </w:rPr>
              <w:fldChar w:fldCharType="begin"/>
            </w:r>
            <w:r w:rsidR="00A16B9C">
              <w:rPr>
                <w:noProof/>
                <w:webHidden/>
              </w:rPr>
              <w:instrText xml:space="preserve"> PAGEREF _Toc118377711 \h </w:instrText>
            </w:r>
            <w:r w:rsidR="00A16B9C">
              <w:rPr>
                <w:noProof/>
                <w:webHidden/>
              </w:rPr>
            </w:r>
            <w:r w:rsidR="00A16B9C">
              <w:rPr>
                <w:noProof/>
                <w:webHidden/>
              </w:rPr>
              <w:fldChar w:fldCharType="separate"/>
            </w:r>
            <w:r w:rsidR="00A16B9C">
              <w:rPr>
                <w:noProof/>
                <w:webHidden/>
              </w:rPr>
              <w:t>6</w:t>
            </w:r>
            <w:r w:rsidR="00A16B9C">
              <w:rPr>
                <w:noProof/>
                <w:webHidden/>
              </w:rPr>
              <w:fldChar w:fldCharType="end"/>
            </w:r>
          </w:hyperlink>
        </w:p>
        <w:p w14:paraId="432F448A" w14:textId="1136E1D0" w:rsidR="00A16B9C" w:rsidRDefault="00000000">
          <w:pPr>
            <w:pStyle w:val="TOC1"/>
            <w:tabs>
              <w:tab w:val="right" w:leader="dot" w:pos="9350"/>
            </w:tabs>
            <w:rPr>
              <w:rFonts w:eastAsiaTheme="minorEastAsia"/>
              <w:noProof/>
            </w:rPr>
          </w:pPr>
          <w:hyperlink w:anchor="_Toc118377712" w:history="1">
            <w:r w:rsidR="00A16B9C" w:rsidRPr="00C554E8">
              <w:rPr>
                <w:rStyle w:val="Hyperlink"/>
                <w:rFonts w:ascii="Bookman Old Style" w:hAnsi="Bookman Old Style"/>
                <w:noProof/>
              </w:rPr>
              <w:t>Foreword (2021).</w:t>
            </w:r>
            <w:r w:rsidR="00A16B9C">
              <w:rPr>
                <w:noProof/>
                <w:webHidden/>
              </w:rPr>
              <w:tab/>
            </w:r>
            <w:r w:rsidR="00A16B9C">
              <w:rPr>
                <w:noProof/>
                <w:webHidden/>
              </w:rPr>
              <w:fldChar w:fldCharType="begin"/>
            </w:r>
            <w:r w:rsidR="00A16B9C">
              <w:rPr>
                <w:noProof/>
                <w:webHidden/>
              </w:rPr>
              <w:instrText xml:space="preserve"> PAGEREF _Toc118377712 \h </w:instrText>
            </w:r>
            <w:r w:rsidR="00A16B9C">
              <w:rPr>
                <w:noProof/>
                <w:webHidden/>
              </w:rPr>
            </w:r>
            <w:r w:rsidR="00A16B9C">
              <w:rPr>
                <w:noProof/>
                <w:webHidden/>
              </w:rPr>
              <w:fldChar w:fldCharType="separate"/>
            </w:r>
            <w:r w:rsidR="00A16B9C">
              <w:rPr>
                <w:noProof/>
                <w:webHidden/>
              </w:rPr>
              <w:t>7</w:t>
            </w:r>
            <w:r w:rsidR="00A16B9C">
              <w:rPr>
                <w:noProof/>
                <w:webHidden/>
              </w:rPr>
              <w:fldChar w:fldCharType="end"/>
            </w:r>
          </w:hyperlink>
        </w:p>
        <w:p w14:paraId="07653E13" w14:textId="484289FB" w:rsidR="00A16B9C" w:rsidRDefault="00000000">
          <w:pPr>
            <w:pStyle w:val="TOC1"/>
            <w:tabs>
              <w:tab w:val="right" w:leader="dot" w:pos="9350"/>
            </w:tabs>
            <w:rPr>
              <w:rFonts w:eastAsiaTheme="minorEastAsia"/>
              <w:noProof/>
            </w:rPr>
          </w:pPr>
          <w:hyperlink w:anchor="_Toc118377713" w:history="1">
            <w:r w:rsidR="00A16B9C" w:rsidRPr="00C554E8">
              <w:rPr>
                <w:rStyle w:val="Hyperlink"/>
                <w:rFonts w:ascii="Bookman Old Style" w:hAnsi="Bookman Old Style"/>
                <w:noProof/>
              </w:rPr>
              <w:t>Conventions</w:t>
            </w:r>
            <w:r w:rsidR="00A16B9C">
              <w:rPr>
                <w:noProof/>
                <w:webHidden/>
              </w:rPr>
              <w:tab/>
            </w:r>
            <w:r w:rsidR="00A16B9C">
              <w:rPr>
                <w:noProof/>
                <w:webHidden/>
              </w:rPr>
              <w:fldChar w:fldCharType="begin"/>
            </w:r>
            <w:r w:rsidR="00A16B9C">
              <w:rPr>
                <w:noProof/>
                <w:webHidden/>
              </w:rPr>
              <w:instrText xml:space="preserve"> PAGEREF _Toc118377713 \h </w:instrText>
            </w:r>
            <w:r w:rsidR="00A16B9C">
              <w:rPr>
                <w:noProof/>
                <w:webHidden/>
              </w:rPr>
            </w:r>
            <w:r w:rsidR="00A16B9C">
              <w:rPr>
                <w:noProof/>
                <w:webHidden/>
              </w:rPr>
              <w:fldChar w:fldCharType="separate"/>
            </w:r>
            <w:r w:rsidR="00A16B9C">
              <w:rPr>
                <w:noProof/>
                <w:webHidden/>
              </w:rPr>
              <w:t>9</w:t>
            </w:r>
            <w:r w:rsidR="00A16B9C">
              <w:rPr>
                <w:noProof/>
                <w:webHidden/>
              </w:rPr>
              <w:fldChar w:fldCharType="end"/>
            </w:r>
          </w:hyperlink>
        </w:p>
        <w:p w14:paraId="520B0D82" w14:textId="11C6F40D" w:rsidR="00A16B9C" w:rsidRDefault="00000000">
          <w:pPr>
            <w:pStyle w:val="TOC1"/>
            <w:tabs>
              <w:tab w:val="right" w:leader="dot" w:pos="9350"/>
            </w:tabs>
            <w:rPr>
              <w:rFonts w:eastAsiaTheme="minorEastAsia"/>
              <w:noProof/>
            </w:rPr>
          </w:pPr>
          <w:hyperlink w:anchor="_Toc118377714" w:history="1">
            <w:r w:rsidR="00A16B9C" w:rsidRPr="00C554E8">
              <w:rPr>
                <w:rStyle w:val="Hyperlink"/>
                <w:rFonts w:ascii="Bookman Old Style" w:hAnsi="Bookman Old Style"/>
                <w:noProof/>
              </w:rPr>
              <w:t>Foreword (1899).</w:t>
            </w:r>
            <w:r w:rsidR="00A16B9C">
              <w:rPr>
                <w:noProof/>
                <w:webHidden/>
              </w:rPr>
              <w:tab/>
            </w:r>
            <w:r w:rsidR="00A16B9C">
              <w:rPr>
                <w:noProof/>
                <w:webHidden/>
              </w:rPr>
              <w:fldChar w:fldCharType="begin"/>
            </w:r>
            <w:r w:rsidR="00A16B9C">
              <w:rPr>
                <w:noProof/>
                <w:webHidden/>
              </w:rPr>
              <w:instrText xml:space="preserve"> PAGEREF _Toc118377714 \h </w:instrText>
            </w:r>
            <w:r w:rsidR="00A16B9C">
              <w:rPr>
                <w:noProof/>
                <w:webHidden/>
              </w:rPr>
            </w:r>
            <w:r w:rsidR="00A16B9C">
              <w:rPr>
                <w:noProof/>
                <w:webHidden/>
              </w:rPr>
              <w:fldChar w:fldCharType="separate"/>
            </w:r>
            <w:r w:rsidR="00A16B9C">
              <w:rPr>
                <w:noProof/>
                <w:webHidden/>
              </w:rPr>
              <w:t>10</w:t>
            </w:r>
            <w:r w:rsidR="00A16B9C">
              <w:rPr>
                <w:noProof/>
                <w:webHidden/>
              </w:rPr>
              <w:fldChar w:fldCharType="end"/>
            </w:r>
          </w:hyperlink>
        </w:p>
        <w:p w14:paraId="0D120D52" w14:textId="13D6233A" w:rsidR="00A16B9C" w:rsidRDefault="00000000">
          <w:pPr>
            <w:pStyle w:val="TOC1"/>
            <w:tabs>
              <w:tab w:val="right" w:leader="dot" w:pos="9350"/>
            </w:tabs>
            <w:rPr>
              <w:rFonts w:eastAsiaTheme="minorEastAsia"/>
              <w:noProof/>
            </w:rPr>
          </w:pPr>
          <w:hyperlink w:anchor="_Toc118377715" w:history="1">
            <w:r w:rsidR="00A16B9C" w:rsidRPr="00C554E8">
              <w:rPr>
                <w:rStyle w:val="Hyperlink"/>
                <w:rFonts w:ascii="Bookman Old Style" w:hAnsi="Bookman Old Style"/>
                <w:noProof/>
              </w:rPr>
              <w:t>Introduction.</w:t>
            </w:r>
            <w:r w:rsidR="00A16B9C">
              <w:rPr>
                <w:noProof/>
                <w:webHidden/>
              </w:rPr>
              <w:tab/>
            </w:r>
            <w:r w:rsidR="00A16B9C">
              <w:rPr>
                <w:noProof/>
                <w:webHidden/>
              </w:rPr>
              <w:fldChar w:fldCharType="begin"/>
            </w:r>
            <w:r w:rsidR="00A16B9C">
              <w:rPr>
                <w:noProof/>
                <w:webHidden/>
              </w:rPr>
              <w:instrText xml:space="preserve"> PAGEREF _Toc118377715 \h </w:instrText>
            </w:r>
            <w:r w:rsidR="00A16B9C">
              <w:rPr>
                <w:noProof/>
                <w:webHidden/>
              </w:rPr>
            </w:r>
            <w:r w:rsidR="00A16B9C">
              <w:rPr>
                <w:noProof/>
                <w:webHidden/>
              </w:rPr>
              <w:fldChar w:fldCharType="separate"/>
            </w:r>
            <w:r w:rsidR="00A16B9C">
              <w:rPr>
                <w:noProof/>
                <w:webHidden/>
              </w:rPr>
              <w:t>11</w:t>
            </w:r>
            <w:r w:rsidR="00A16B9C">
              <w:rPr>
                <w:noProof/>
                <w:webHidden/>
              </w:rPr>
              <w:fldChar w:fldCharType="end"/>
            </w:r>
          </w:hyperlink>
        </w:p>
        <w:p w14:paraId="0895B525" w14:textId="4F33B78B" w:rsidR="00A16B9C" w:rsidRDefault="00000000">
          <w:pPr>
            <w:pStyle w:val="TOC1"/>
            <w:tabs>
              <w:tab w:val="left" w:pos="440"/>
              <w:tab w:val="right" w:leader="dot" w:pos="9350"/>
            </w:tabs>
            <w:rPr>
              <w:rFonts w:eastAsiaTheme="minorEastAsia"/>
              <w:noProof/>
            </w:rPr>
          </w:pPr>
          <w:hyperlink w:anchor="_Toc118377716" w:history="1">
            <w:r w:rsidR="00A16B9C" w:rsidRPr="00C554E8">
              <w:rPr>
                <w:rStyle w:val="Hyperlink"/>
                <w:rFonts w:ascii="Bookman Old Style" w:hAnsi="Bookman Old Style"/>
                <w:noProof/>
              </w:rPr>
              <w:t>1.</w:t>
            </w:r>
            <w:r w:rsidR="00A16B9C">
              <w:rPr>
                <w:rFonts w:eastAsiaTheme="minorEastAsia"/>
                <w:noProof/>
              </w:rPr>
              <w:tab/>
            </w:r>
            <w:r w:rsidR="00A16B9C" w:rsidRPr="00C554E8">
              <w:rPr>
                <w:rStyle w:val="Hyperlink"/>
                <w:rFonts w:ascii="Bookman Old Style" w:hAnsi="Bookman Old Style"/>
                <w:noProof/>
              </w:rPr>
              <w:t>The Earliest Creeds.</w:t>
            </w:r>
            <w:r w:rsidR="00A16B9C">
              <w:rPr>
                <w:noProof/>
                <w:webHidden/>
              </w:rPr>
              <w:tab/>
            </w:r>
            <w:r w:rsidR="00A16B9C">
              <w:rPr>
                <w:noProof/>
                <w:webHidden/>
              </w:rPr>
              <w:fldChar w:fldCharType="begin"/>
            </w:r>
            <w:r w:rsidR="00A16B9C">
              <w:rPr>
                <w:noProof/>
                <w:webHidden/>
              </w:rPr>
              <w:instrText xml:space="preserve"> PAGEREF _Toc118377716 \h </w:instrText>
            </w:r>
            <w:r w:rsidR="00A16B9C">
              <w:rPr>
                <w:noProof/>
                <w:webHidden/>
              </w:rPr>
            </w:r>
            <w:r w:rsidR="00A16B9C">
              <w:rPr>
                <w:noProof/>
                <w:webHidden/>
              </w:rPr>
              <w:fldChar w:fldCharType="separate"/>
            </w:r>
            <w:r w:rsidR="00A16B9C">
              <w:rPr>
                <w:noProof/>
                <w:webHidden/>
              </w:rPr>
              <w:t>14</w:t>
            </w:r>
            <w:r w:rsidR="00A16B9C">
              <w:rPr>
                <w:noProof/>
                <w:webHidden/>
              </w:rPr>
              <w:fldChar w:fldCharType="end"/>
            </w:r>
          </w:hyperlink>
        </w:p>
        <w:p w14:paraId="72530250" w14:textId="759F2254" w:rsidR="00A16B9C" w:rsidRDefault="00000000">
          <w:pPr>
            <w:pStyle w:val="TOC2"/>
            <w:tabs>
              <w:tab w:val="right" w:leader="dot" w:pos="9350"/>
            </w:tabs>
            <w:rPr>
              <w:rFonts w:eastAsiaTheme="minorEastAsia"/>
              <w:noProof/>
            </w:rPr>
          </w:pPr>
          <w:hyperlink w:anchor="_Toc118377717" w:history="1">
            <w:r w:rsidR="00A16B9C" w:rsidRPr="00C554E8">
              <w:rPr>
                <w:rStyle w:val="Hyperlink"/>
                <w:rFonts w:ascii="Bookman Old Style" w:hAnsi="Bookman Old Style"/>
                <w:noProof/>
              </w:rPr>
              <w:t>Teaching of the Twelve Apostles.</w:t>
            </w:r>
            <w:r w:rsidR="00A16B9C">
              <w:rPr>
                <w:noProof/>
                <w:webHidden/>
              </w:rPr>
              <w:tab/>
            </w:r>
            <w:r w:rsidR="00A16B9C">
              <w:rPr>
                <w:noProof/>
                <w:webHidden/>
              </w:rPr>
              <w:fldChar w:fldCharType="begin"/>
            </w:r>
            <w:r w:rsidR="00A16B9C">
              <w:rPr>
                <w:noProof/>
                <w:webHidden/>
              </w:rPr>
              <w:instrText xml:space="preserve"> PAGEREF _Toc118377717 \h </w:instrText>
            </w:r>
            <w:r w:rsidR="00A16B9C">
              <w:rPr>
                <w:noProof/>
                <w:webHidden/>
              </w:rPr>
            </w:r>
            <w:r w:rsidR="00A16B9C">
              <w:rPr>
                <w:noProof/>
                <w:webHidden/>
              </w:rPr>
              <w:fldChar w:fldCharType="separate"/>
            </w:r>
            <w:r w:rsidR="00A16B9C">
              <w:rPr>
                <w:noProof/>
                <w:webHidden/>
              </w:rPr>
              <w:t>14</w:t>
            </w:r>
            <w:r w:rsidR="00A16B9C">
              <w:rPr>
                <w:noProof/>
                <w:webHidden/>
              </w:rPr>
              <w:fldChar w:fldCharType="end"/>
            </w:r>
          </w:hyperlink>
        </w:p>
        <w:p w14:paraId="758CA7E7" w14:textId="17D03F0E" w:rsidR="00A16B9C" w:rsidRDefault="00000000">
          <w:pPr>
            <w:pStyle w:val="TOC2"/>
            <w:tabs>
              <w:tab w:val="right" w:leader="dot" w:pos="9350"/>
            </w:tabs>
            <w:rPr>
              <w:rFonts w:eastAsiaTheme="minorEastAsia"/>
              <w:noProof/>
            </w:rPr>
          </w:pPr>
          <w:hyperlink w:anchor="_Toc118377718" w:history="1">
            <w:r w:rsidR="00A16B9C" w:rsidRPr="00C554E8">
              <w:rPr>
                <w:rStyle w:val="Hyperlink"/>
                <w:rFonts w:ascii="Bookman Old Style" w:hAnsi="Bookman Old Style"/>
                <w:noProof/>
              </w:rPr>
              <w:t>The Apostles’ Creed.</w:t>
            </w:r>
            <w:r w:rsidR="00A16B9C">
              <w:rPr>
                <w:noProof/>
                <w:webHidden/>
              </w:rPr>
              <w:tab/>
            </w:r>
            <w:r w:rsidR="00A16B9C">
              <w:rPr>
                <w:noProof/>
                <w:webHidden/>
              </w:rPr>
              <w:fldChar w:fldCharType="begin"/>
            </w:r>
            <w:r w:rsidR="00A16B9C">
              <w:rPr>
                <w:noProof/>
                <w:webHidden/>
              </w:rPr>
              <w:instrText xml:space="preserve"> PAGEREF _Toc118377718 \h </w:instrText>
            </w:r>
            <w:r w:rsidR="00A16B9C">
              <w:rPr>
                <w:noProof/>
                <w:webHidden/>
              </w:rPr>
            </w:r>
            <w:r w:rsidR="00A16B9C">
              <w:rPr>
                <w:noProof/>
                <w:webHidden/>
              </w:rPr>
              <w:fldChar w:fldCharType="separate"/>
            </w:r>
            <w:r w:rsidR="00A16B9C">
              <w:rPr>
                <w:noProof/>
                <w:webHidden/>
              </w:rPr>
              <w:t>16</w:t>
            </w:r>
            <w:r w:rsidR="00A16B9C">
              <w:rPr>
                <w:noProof/>
                <w:webHidden/>
              </w:rPr>
              <w:fldChar w:fldCharType="end"/>
            </w:r>
          </w:hyperlink>
        </w:p>
        <w:p w14:paraId="3012380A" w14:textId="5A6949D2" w:rsidR="00A16B9C" w:rsidRDefault="00000000">
          <w:pPr>
            <w:pStyle w:val="TOC2"/>
            <w:tabs>
              <w:tab w:val="right" w:leader="dot" w:pos="9350"/>
            </w:tabs>
            <w:rPr>
              <w:rFonts w:eastAsiaTheme="minorEastAsia"/>
              <w:noProof/>
            </w:rPr>
          </w:pPr>
          <w:hyperlink w:anchor="_Toc118377719" w:history="1">
            <w:r w:rsidR="00A16B9C" w:rsidRPr="00C554E8">
              <w:rPr>
                <w:rStyle w:val="Hyperlink"/>
                <w:rFonts w:ascii="Bookman Old Style" w:hAnsi="Bookman Old Style"/>
                <w:noProof/>
              </w:rPr>
              <w:t>Nicene Creed.</w:t>
            </w:r>
            <w:r w:rsidR="00A16B9C">
              <w:rPr>
                <w:noProof/>
                <w:webHidden/>
              </w:rPr>
              <w:tab/>
            </w:r>
            <w:r w:rsidR="00A16B9C">
              <w:rPr>
                <w:noProof/>
                <w:webHidden/>
              </w:rPr>
              <w:fldChar w:fldCharType="begin"/>
            </w:r>
            <w:r w:rsidR="00A16B9C">
              <w:rPr>
                <w:noProof/>
                <w:webHidden/>
              </w:rPr>
              <w:instrText xml:space="preserve"> PAGEREF _Toc118377719 \h </w:instrText>
            </w:r>
            <w:r w:rsidR="00A16B9C">
              <w:rPr>
                <w:noProof/>
                <w:webHidden/>
              </w:rPr>
            </w:r>
            <w:r w:rsidR="00A16B9C">
              <w:rPr>
                <w:noProof/>
                <w:webHidden/>
              </w:rPr>
              <w:fldChar w:fldCharType="separate"/>
            </w:r>
            <w:r w:rsidR="00A16B9C">
              <w:rPr>
                <w:noProof/>
                <w:webHidden/>
              </w:rPr>
              <w:t>18</w:t>
            </w:r>
            <w:r w:rsidR="00A16B9C">
              <w:rPr>
                <w:noProof/>
                <w:webHidden/>
              </w:rPr>
              <w:fldChar w:fldCharType="end"/>
            </w:r>
          </w:hyperlink>
        </w:p>
        <w:p w14:paraId="45FC997F" w14:textId="46C00E1D" w:rsidR="00A16B9C" w:rsidRDefault="00000000">
          <w:pPr>
            <w:pStyle w:val="TOC1"/>
            <w:tabs>
              <w:tab w:val="right" w:leader="dot" w:pos="9350"/>
            </w:tabs>
            <w:rPr>
              <w:rFonts w:eastAsiaTheme="minorEastAsia"/>
              <w:noProof/>
            </w:rPr>
          </w:pPr>
          <w:hyperlink w:anchor="_Toc118377720" w:history="1">
            <w:r w:rsidR="00A16B9C" w:rsidRPr="00C554E8">
              <w:rPr>
                <w:rStyle w:val="Hyperlink"/>
                <w:rFonts w:ascii="Bookman Old Style" w:hAnsi="Bookman Old Style"/>
                <w:noProof/>
              </w:rPr>
              <w:t>2. Early Christianity a Cheerful Religion.</w:t>
            </w:r>
            <w:r w:rsidR="00A16B9C">
              <w:rPr>
                <w:noProof/>
                <w:webHidden/>
              </w:rPr>
              <w:tab/>
            </w:r>
            <w:r w:rsidR="00A16B9C">
              <w:rPr>
                <w:noProof/>
                <w:webHidden/>
              </w:rPr>
              <w:fldChar w:fldCharType="begin"/>
            </w:r>
            <w:r w:rsidR="00A16B9C">
              <w:rPr>
                <w:noProof/>
                <w:webHidden/>
              </w:rPr>
              <w:instrText xml:space="preserve"> PAGEREF _Toc118377720 \h </w:instrText>
            </w:r>
            <w:r w:rsidR="00A16B9C">
              <w:rPr>
                <w:noProof/>
                <w:webHidden/>
              </w:rPr>
            </w:r>
            <w:r w:rsidR="00A16B9C">
              <w:rPr>
                <w:noProof/>
                <w:webHidden/>
              </w:rPr>
              <w:fldChar w:fldCharType="separate"/>
            </w:r>
            <w:r w:rsidR="00A16B9C">
              <w:rPr>
                <w:noProof/>
                <w:webHidden/>
              </w:rPr>
              <w:t>21</w:t>
            </w:r>
            <w:r w:rsidR="00A16B9C">
              <w:rPr>
                <w:noProof/>
                <w:webHidden/>
              </w:rPr>
              <w:fldChar w:fldCharType="end"/>
            </w:r>
          </w:hyperlink>
        </w:p>
        <w:p w14:paraId="06996A04" w14:textId="52184BD9" w:rsidR="00A16B9C" w:rsidRDefault="00000000">
          <w:pPr>
            <w:pStyle w:val="TOC2"/>
            <w:tabs>
              <w:tab w:val="right" w:leader="dot" w:pos="9350"/>
            </w:tabs>
            <w:rPr>
              <w:rFonts w:eastAsiaTheme="minorEastAsia"/>
              <w:noProof/>
            </w:rPr>
          </w:pPr>
          <w:hyperlink w:anchor="_Toc118377721" w:history="1">
            <w:r w:rsidR="00A16B9C" w:rsidRPr="00C554E8">
              <w:rPr>
                <w:rStyle w:val="Hyperlink"/>
                <w:rFonts w:ascii="Bookman Old Style" w:hAnsi="Bookman Old Style"/>
                <w:noProof/>
              </w:rPr>
              <w:t>An Impressive Thought.</w:t>
            </w:r>
            <w:r w:rsidR="00A16B9C">
              <w:rPr>
                <w:noProof/>
                <w:webHidden/>
              </w:rPr>
              <w:tab/>
            </w:r>
            <w:r w:rsidR="00A16B9C">
              <w:rPr>
                <w:noProof/>
                <w:webHidden/>
              </w:rPr>
              <w:fldChar w:fldCharType="begin"/>
            </w:r>
            <w:r w:rsidR="00A16B9C">
              <w:rPr>
                <w:noProof/>
                <w:webHidden/>
              </w:rPr>
              <w:instrText xml:space="preserve"> PAGEREF _Toc118377721 \h </w:instrText>
            </w:r>
            <w:r w:rsidR="00A16B9C">
              <w:rPr>
                <w:noProof/>
                <w:webHidden/>
              </w:rPr>
            </w:r>
            <w:r w:rsidR="00A16B9C">
              <w:rPr>
                <w:noProof/>
                <w:webHidden/>
              </w:rPr>
              <w:fldChar w:fldCharType="separate"/>
            </w:r>
            <w:r w:rsidR="00A16B9C">
              <w:rPr>
                <w:noProof/>
                <w:webHidden/>
              </w:rPr>
              <w:t>25</w:t>
            </w:r>
            <w:r w:rsidR="00A16B9C">
              <w:rPr>
                <w:noProof/>
                <w:webHidden/>
              </w:rPr>
              <w:fldChar w:fldCharType="end"/>
            </w:r>
          </w:hyperlink>
        </w:p>
        <w:p w14:paraId="4684DCDE" w14:textId="5092A9D8" w:rsidR="00A16B9C" w:rsidRDefault="00000000">
          <w:pPr>
            <w:pStyle w:val="TOC2"/>
            <w:tabs>
              <w:tab w:val="right" w:leader="dot" w:pos="9350"/>
            </w:tabs>
            <w:rPr>
              <w:rFonts w:eastAsiaTheme="minorEastAsia"/>
              <w:noProof/>
            </w:rPr>
          </w:pPr>
          <w:hyperlink w:anchor="_Toc118377722" w:history="1">
            <w:r w:rsidR="00A16B9C" w:rsidRPr="00C554E8">
              <w:rPr>
                <w:rStyle w:val="Hyperlink"/>
                <w:rFonts w:ascii="Bookman Old Style" w:hAnsi="Bookman Old Style"/>
                <w:noProof/>
              </w:rPr>
              <w:t>Testimony of the Catacombs.</w:t>
            </w:r>
            <w:r w:rsidR="00A16B9C">
              <w:rPr>
                <w:noProof/>
                <w:webHidden/>
              </w:rPr>
              <w:tab/>
            </w:r>
            <w:r w:rsidR="00A16B9C">
              <w:rPr>
                <w:noProof/>
                <w:webHidden/>
              </w:rPr>
              <w:fldChar w:fldCharType="begin"/>
            </w:r>
            <w:r w:rsidR="00A16B9C">
              <w:rPr>
                <w:noProof/>
                <w:webHidden/>
              </w:rPr>
              <w:instrText xml:space="preserve"> PAGEREF _Toc118377722 \h </w:instrText>
            </w:r>
            <w:r w:rsidR="00A16B9C">
              <w:rPr>
                <w:noProof/>
                <w:webHidden/>
              </w:rPr>
            </w:r>
            <w:r w:rsidR="00A16B9C">
              <w:rPr>
                <w:noProof/>
                <w:webHidden/>
              </w:rPr>
              <w:fldChar w:fldCharType="separate"/>
            </w:r>
            <w:r w:rsidR="00A16B9C">
              <w:rPr>
                <w:noProof/>
                <w:webHidden/>
              </w:rPr>
              <w:t>26</w:t>
            </w:r>
            <w:r w:rsidR="00A16B9C">
              <w:rPr>
                <w:noProof/>
                <w:webHidden/>
              </w:rPr>
              <w:fldChar w:fldCharType="end"/>
            </w:r>
          </w:hyperlink>
        </w:p>
        <w:p w14:paraId="7219FA13" w14:textId="0E41EE7A" w:rsidR="00A16B9C" w:rsidRDefault="00000000">
          <w:pPr>
            <w:pStyle w:val="TOC1"/>
            <w:tabs>
              <w:tab w:val="right" w:leader="dot" w:pos="9350"/>
            </w:tabs>
            <w:rPr>
              <w:rFonts w:eastAsiaTheme="minorEastAsia"/>
              <w:noProof/>
            </w:rPr>
          </w:pPr>
          <w:hyperlink w:anchor="_Toc118377723" w:history="1">
            <w:r w:rsidR="00A16B9C" w:rsidRPr="00C554E8">
              <w:rPr>
                <w:rStyle w:val="Hyperlink"/>
                <w:rFonts w:ascii="Bookman Old Style" w:hAnsi="Bookman Old Style"/>
                <w:noProof/>
              </w:rPr>
              <w:t>3. Origin of Endless Punishment.</w:t>
            </w:r>
            <w:r w:rsidR="00A16B9C">
              <w:rPr>
                <w:noProof/>
                <w:webHidden/>
              </w:rPr>
              <w:tab/>
            </w:r>
            <w:r w:rsidR="00A16B9C">
              <w:rPr>
                <w:noProof/>
                <w:webHidden/>
              </w:rPr>
              <w:fldChar w:fldCharType="begin"/>
            </w:r>
            <w:r w:rsidR="00A16B9C">
              <w:rPr>
                <w:noProof/>
                <w:webHidden/>
              </w:rPr>
              <w:instrText xml:space="preserve"> PAGEREF _Toc118377723 \h </w:instrText>
            </w:r>
            <w:r w:rsidR="00A16B9C">
              <w:rPr>
                <w:noProof/>
                <w:webHidden/>
              </w:rPr>
            </w:r>
            <w:r w:rsidR="00A16B9C">
              <w:rPr>
                <w:noProof/>
                <w:webHidden/>
              </w:rPr>
              <w:fldChar w:fldCharType="separate"/>
            </w:r>
            <w:r w:rsidR="00A16B9C">
              <w:rPr>
                <w:noProof/>
                <w:webHidden/>
              </w:rPr>
              <w:t>30</w:t>
            </w:r>
            <w:r w:rsidR="00A16B9C">
              <w:rPr>
                <w:noProof/>
                <w:webHidden/>
              </w:rPr>
              <w:fldChar w:fldCharType="end"/>
            </w:r>
          </w:hyperlink>
        </w:p>
        <w:p w14:paraId="699BAB67" w14:textId="6CC38ED0" w:rsidR="00A16B9C" w:rsidRDefault="00000000">
          <w:pPr>
            <w:pStyle w:val="TOC2"/>
            <w:tabs>
              <w:tab w:val="right" w:leader="dot" w:pos="9350"/>
            </w:tabs>
            <w:rPr>
              <w:rFonts w:eastAsiaTheme="minorEastAsia"/>
              <w:noProof/>
            </w:rPr>
          </w:pPr>
          <w:hyperlink w:anchor="_Toc118377724" w:history="1">
            <w:r w:rsidR="00A16B9C" w:rsidRPr="00C554E8">
              <w:rPr>
                <w:rStyle w:val="Hyperlink"/>
                <w:rFonts w:ascii="Bookman Old Style" w:hAnsi="Bookman Old Style"/>
                <w:noProof/>
              </w:rPr>
              <w:t>Meaning of Scriptural Terms.</w:t>
            </w:r>
            <w:r w:rsidR="00A16B9C">
              <w:rPr>
                <w:noProof/>
                <w:webHidden/>
              </w:rPr>
              <w:tab/>
            </w:r>
            <w:r w:rsidR="00A16B9C">
              <w:rPr>
                <w:noProof/>
                <w:webHidden/>
              </w:rPr>
              <w:fldChar w:fldCharType="begin"/>
            </w:r>
            <w:r w:rsidR="00A16B9C">
              <w:rPr>
                <w:noProof/>
                <w:webHidden/>
              </w:rPr>
              <w:instrText xml:space="preserve"> PAGEREF _Toc118377724 \h </w:instrText>
            </w:r>
            <w:r w:rsidR="00A16B9C">
              <w:rPr>
                <w:noProof/>
                <w:webHidden/>
              </w:rPr>
            </w:r>
            <w:r w:rsidR="00A16B9C">
              <w:rPr>
                <w:noProof/>
                <w:webHidden/>
              </w:rPr>
              <w:fldChar w:fldCharType="separate"/>
            </w:r>
            <w:r w:rsidR="00A16B9C">
              <w:rPr>
                <w:noProof/>
                <w:webHidden/>
              </w:rPr>
              <w:t>31</w:t>
            </w:r>
            <w:r w:rsidR="00A16B9C">
              <w:rPr>
                <w:noProof/>
                <w:webHidden/>
              </w:rPr>
              <w:fldChar w:fldCharType="end"/>
            </w:r>
          </w:hyperlink>
        </w:p>
        <w:p w14:paraId="140B7C0B" w14:textId="00804A81" w:rsidR="00A16B9C" w:rsidRDefault="00000000">
          <w:pPr>
            <w:pStyle w:val="TOC2"/>
            <w:tabs>
              <w:tab w:val="right" w:leader="dot" w:pos="9350"/>
            </w:tabs>
            <w:rPr>
              <w:rFonts w:eastAsiaTheme="minorEastAsia"/>
              <w:noProof/>
            </w:rPr>
          </w:pPr>
          <w:hyperlink w:anchor="_Toc118377725" w:history="1">
            <w:r w:rsidR="00A16B9C" w:rsidRPr="00C554E8">
              <w:rPr>
                <w:rStyle w:val="Hyperlink"/>
                <w:rFonts w:ascii="Bookman Old Style" w:hAnsi="Bookman Old Style"/>
                <w:noProof/>
              </w:rPr>
              <w:t>Whence Came the Doctrine?</w:t>
            </w:r>
            <w:r w:rsidR="00A16B9C">
              <w:rPr>
                <w:noProof/>
                <w:webHidden/>
              </w:rPr>
              <w:tab/>
            </w:r>
            <w:r w:rsidR="00A16B9C">
              <w:rPr>
                <w:noProof/>
                <w:webHidden/>
              </w:rPr>
              <w:fldChar w:fldCharType="begin"/>
            </w:r>
            <w:r w:rsidR="00A16B9C">
              <w:rPr>
                <w:noProof/>
                <w:webHidden/>
              </w:rPr>
              <w:instrText xml:space="preserve"> PAGEREF _Toc118377725 \h </w:instrText>
            </w:r>
            <w:r w:rsidR="00A16B9C">
              <w:rPr>
                <w:noProof/>
                <w:webHidden/>
              </w:rPr>
            </w:r>
            <w:r w:rsidR="00A16B9C">
              <w:rPr>
                <w:noProof/>
                <w:webHidden/>
              </w:rPr>
              <w:fldChar w:fldCharType="separate"/>
            </w:r>
            <w:r w:rsidR="00A16B9C">
              <w:rPr>
                <w:noProof/>
                <w:webHidden/>
              </w:rPr>
              <w:t>33</w:t>
            </w:r>
            <w:r w:rsidR="00A16B9C">
              <w:rPr>
                <w:noProof/>
                <w:webHidden/>
              </w:rPr>
              <w:fldChar w:fldCharType="end"/>
            </w:r>
          </w:hyperlink>
        </w:p>
        <w:p w14:paraId="17A25B82" w14:textId="3BB384EB" w:rsidR="00A16B9C" w:rsidRDefault="00000000">
          <w:pPr>
            <w:pStyle w:val="TOC1"/>
            <w:tabs>
              <w:tab w:val="right" w:leader="dot" w:pos="9350"/>
            </w:tabs>
            <w:rPr>
              <w:rFonts w:eastAsiaTheme="minorEastAsia"/>
              <w:noProof/>
            </w:rPr>
          </w:pPr>
          <w:hyperlink w:anchor="_Toc118377726" w:history="1">
            <w:r w:rsidR="00A16B9C" w:rsidRPr="00C554E8">
              <w:rPr>
                <w:rStyle w:val="Hyperlink"/>
                <w:rFonts w:ascii="Bookman Old Style" w:hAnsi="Bookman Old Style"/>
                <w:noProof/>
              </w:rPr>
              <w:t>4. Doctrines of “Mitigation” and of “Reserve.”</w:t>
            </w:r>
            <w:r w:rsidR="00A16B9C">
              <w:rPr>
                <w:noProof/>
                <w:webHidden/>
              </w:rPr>
              <w:tab/>
            </w:r>
            <w:r w:rsidR="00A16B9C">
              <w:rPr>
                <w:noProof/>
                <w:webHidden/>
              </w:rPr>
              <w:fldChar w:fldCharType="begin"/>
            </w:r>
            <w:r w:rsidR="00A16B9C">
              <w:rPr>
                <w:noProof/>
                <w:webHidden/>
              </w:rPr>
              <w:instrText xml:space="preserve"> PAGEREF _Toc118377726 \h </w:instrText>
            </w:r>
            <w:r w:rsidR="00A16B9C">
              <w:rPr>
                <w:noProof/>
                <w:webHidden/>
              </w:rPr>
            </w:r>
            <w:r w:rsidR="00A16B9C">
              <w:rPr>
                <w:noProof/>
                <w:webHidden/>
              </w:rPr>
              <w:fldChar w:fldCharType="separate"/>
            </w:r>
            <w:r w:rsidR="00A16B9C">
              <w:rPr>
                <w:noProof/>
                <w:webHidden/>
              </w:rPr>
              <w:t>39</w:t>
            </w:r>
            <w:r w:rsidR="00A16B9C">
              <w:rPr>
                <w:noProof/>
                <w:webHidden/>
              </w:rPr>
              <w:fldChar w:fldCharType="end"/>
            </w:r>
          </w:hyperlink>
        </w:p>
        <w:p w14:paraId="4A9D55D4" w14:textId="1349FB7B" w:rsidR="00A16B9C" w:rsidRDefault="00000000">
          <w:pPr>
            <w:pStyle w:val="TOC2"/>
            <w:tabs>
              <w:tab w:val="right" w:leader="dot" w:pos="9350"/>
            </w:tabs>
            <w:rPr>
              <w:rFonts w:eastAsiaTheme="minorEastAsia"/>
              <w:noProof/>
            </w:rPr>
          </w:pPr>
          <w:hyperlink w:anchor="_Toc118377727" w:history="1">
            <w:r w:rsidR="00A16B9C" w:rsidRPr="00C554E8">
              <w:rPr>
                <w:rStyle w:val="Hyperlink"/>
                <w:rFonts w:ascii="Bookman Old Style" w:hAnsi="Bookman Old Style"/>
                <w:noProof/>
              </w:rPr>
              <w:t>Mitigation</w:t>
            </w:r>
            <w:r w:rsidR="00A16B9C">
              <w:rPr>
                <w:noProof/>
                <w:webHidden/>
              </w:rPr>
              <w:tab/>
            </w:r>
            <w:r w:rsidR="00A16B9C">
              <w:rPr>
                <w:noProof/>
                <w:webHidden/>
              </w:rPr>
              <w:fldChar w:fldCharType="begin"/>
            </w:r>
            <w:r w:rsidR="00A16B9C">
              <w:rPr>
                <w:noProof/>
                <w:webHidden/>
              </w:rPr>
              <w:instrText xml:space="preserve"> PAGEREF _Toc118377727 \h </w:instrText>
            </w:r>
            <w:r w:rsidR="00A16B9C">
              <w:rPr>
                <w:noProof/>
                <w:webHidden/>
              </w:rPr>
            </w:r>
            <w:r w:rsidR="00A16B9C">
              <w:rPr>
                <w:noProof/>
                <w:webHidden/>
              </w:rPr>
              <w:fldChar w:fldCharType="separate"/>
            </w:r>
            <w:r w:rsidR="00A16B9C">
              <w:rPr>
                <w:noProof/>
                <w:webHidden/>
              </w:rPr>
              <w:t>39</w:t>
            </w:r>
            <w:r w:rsidR="00A16B9C">
              <w:rPr>
                <w:noProof/>
                <w:webHidden/>
              </w:rPr>
              <w:fldChar w:fldCharType="end"/>
            </w:r>
          </w:hyperlink>
        </w:p>
        <w:p w14:paraId="10F28A6C" w14:textId="6BFC8725" w:rsidR="00A16B9C" w:rsidRDefault="00000000">
          <w:pPr>
            <w:pStyle w:val="TOC2"/>
            <w:tabs>
              <w:tab w:val="right" w:leader="dot" w:pos="9350"/>
            </w:tabs>
            <w:rPr>
              <w:rFonts w:eastAsiaTheme="minorEastAsia"/>
              <w:noProof/>
            </w:rPr>
          </w:pPr>
          <w:hyperlink w:anchor="_Toc118377728" w:history="1">
            <w:r w:rsidR="00A16B9C" w:rsidRPr="00C554E8">
              <w:rPr>
                <w:rStyle w:val="Hyperlink"/>
                <w:rFonts w:ascii="Bookman Old Style" w:hAnsi="Bookman Old Style"/>
                <w:noProof/>
              </w:rPr>
              <w:t>Reserve</w:t>
            </w:r>
            <w:r w:rsidR="00A16B9C">
              <w:rPr>
                <w:noProof/>
                <w:webHidden/>
              </w:rPr>
              <w:tab/>
            </w:r>
            <w:r w:rsidR="00A16B9C">
              <w:rPr>
                <w:noProof/>
                <w:webHidden/>
              </w:rPr>
              <w:fldChar w:fldCharType="begin"/>
            </w:r>
            <w:r w:rsidR="00A16B9C">
              <w:rPr>
                <w:noProof/>
                <w:webHidden/>
              </w:rPr>
              <w:instrText xml:space="preserve"> PAGEREF _Toc118377728 \h </w:instrText>
            </w:r>
            <w:r w:rsidR="00A16B9C">
              <w:rPr>
                <w:noProof/>
                <w:webHidden/>
              </w:rPr>
            </w:r>
            <w:r w:rsidR="00A16B9C">
              <w:rPr>
                <w:noProof/>
                <w:webHidden/>
              </w:rPr>
              <w:fldChar w:fldCharType="separate"/>
            </w:r>
            <w:r w:rsidR="00A16B9C">
              <w:rPr>
                <w:noProof/>
                <w:webHidden/>
              </w:rPr>
              <w:t>40</w:t>
            </w:r>
            <w:r w:rsidR="00A16B9C">
              <w:rPr>
                <w:noProof/>
                <w:webHidden/>
              </w:rPr>
              <w:fldChar w:fldCharType="end"/>
            </w:r>
          </w:hyperlink>
        </w:p>
        <w:p w14:paraId="43B513FF" w14:textId="1B9B862F" w:rsidR="00A16B9C" w:rsidRDefault="00000000">
          <w:pPr>
            <w:pStyle w:val="TOC1"/>
            <w:tabs>
              <w:tab w:val="right" w:leader="dot" w:pos="9350"/>
            </w:tabs>
            <w:rPr>
              <w:rFonts w:eastAsiaTheme="minorEastAsia"/>
              <w:noProof/>
            </w:rPr>
          </w:pPr>
          <w:hyperlink w:anchor="_Toc118377729" w:history="1">
            <w:r w:rsidR="00A16B9C" w:rsidRPr="00C554E8">
              <w:rPr>
                <w:rStyle w:val="Hyperlink"/>
                <w:rFonts w:ascii="Bookman Old Style" w:hAnsi="Bookman Old Style"/>
                <w:noProof/>
              </w:rPr>
              <w:t>5. Two Kindred Topics.</w:t>
            </w:r>
            <w:r w:rsidR="00A16B9C">
              <w:rPr>
                <w:noProof/>
                <w:webHidden/>
              </w:rPr>
              <w:tab/>
            </w:r>
            <w:r w:rsidR="00A16B9C">
              <w:rPr>
                <w:noProof/>
                <w:webHidden/>
              </w:rPr>
              <w:fldChar w:fldCharType="begin"/>
            </w:r>
            <w:r w:rsidR="00A16B9C">
              <w:rPr>
                <w:noProof/>
                <w:webHidden/>
              </w:rPr>
              <w:instrText xml:space="preserve"> PAGEREF _Toc118377729 \h </w:instrText>
            </w:r>
            <w:r w:rsidR="00A16B9C">
              <w:rPr>
                <w:noProof/>
                <w:webHidden/>
              </w:rPr>
            </w:r>
            <w:r w:rsidR="00A16B9C">
              <w:rPr>
                <w:noProof/>
                <w:webHidden/>
              </w:rPr>
              <w:fldChar w:fldCharType="separate"/>
            </w:r>
            <w:r w:rsidR="00A16B9C">
              <w:rPr>
                <w:noProof/>
                <w:webHidden/>
              </w:rPr>
              <w:t>43</w:t>
            </w:r>
            <w:r w:rsidR="00A16B9C">
              <w:rPr>
                <w:noProof/>
                <w:webHidden/>
              </w:rPr>
              <w:fldChar w:fldCharType="end"/>
            </w:r>
          </w:hyperlink>
        </w:p>
        <w:p w14:paraId="14CCF169" w14:textId="717CB45C" w:rsidR="00A16B9C" w:rsidRDefault="00000000">
          <w:pPr>
            <w:pStyle w:val="TOC2"/>
            <w:tabs>
              <w:tab w:val="right" w:leader="dot" w:pos="9350"/>
            </w:tabs>
            <w:rPr>
              <w:rFonts w:eastAsiaTheme="minorEastAsia"/>
              <w:noProof/>
            </w:rPr>
          </w:pPr>
          <w:hyperlink w:anchor="_Toc118377730" w:history="1">
            <w:r w:rsidR="00A16B9C" w:rsidRPr="00C554E8">
              <w:rPr>
                <w:rStyle w:val="Hyperlink"/>
                <w:rFonts w:ascii="Bookman Old Style" w:hAnsi="Bookman Old Style"/>
                <w:noProof/>
              </w:rPr>
              <w:t>Prayers for the Dead.</w:t>
            </w:r>
            <w:r w:rsidR="00A16B9C">
              <w:rPr>
                <w:noProof/>
                <w:webHidden/>
              </w:rPr>
              <w:tab/>
            </w:r>
            <w:r w:rsidR="00A16B9C">
              <w:rPr>
                <w:noProof/>
                <w:webHidden/>
              </w:rPr>
              <w:fldChar w:fldCharType="begin"/>
            </w:r>
            <w:r w:rsidR="00A16B9C">
              <w:rPr>
                <w:noProof/>
                <w:webHidden/>
              </w:rPr>
              <w:instrText xml:space="preserve"> PAGEREF _Toc118377730 \h </w:instrText>
            </w:r>
            <w:r w:rsidR="00A16B9C">
              <w:rPr>
                <w:noProof/>
                <w:webHidden/>
              </w:rPr>
            </w:r>
            <w:r w:rsidR="00A16B9C">
              <w:rPr>
                <w:noProof/>
                <w:webHidden/>
              </w:rPr>
              <w:fldChar w:fldCharType="separate"/>
            </w:r>
            <w:r w:rsidR="00A16B9C">
              <w:rPr>
                <w:noProof/>
                <w:webHidden/>
              </w:rPr>
              <w:t>45</w:t>
            </w:r>
            <w:r w:rsidR="00A16B9C">
              <w:rPr>
                <w:noProof/>
                <w:webHidden/>
              </w:rPr>
              <w:fldChar w:fldCharType="end"/>
            </w:r>
          </w:hyperlink>
        </w:p>
        <w:p w14:paraId="1555FF78" w14:textId="7D4B4517" w:rsidR="00A16B9C" w:rsidRDefault="00000000">
          <w:pPr>
            <w:pStyle w:val="TOC2"/>
            <w:tabs>
              <w:tab w:val="right" w:leader="dot" w:pos="9350"/>
            </w:tabs>
            <w:rPr>
              <w:rFonts w:eastAsiaTheme="minorEastAsia"/>
              <w:noProof/>
            </w:rPr>
          </w:pPr>
          <w:hyperlink w:anchor="_Toc118377731" w:history="1">
            <w:r w:rsidR="00A16B9C" w:rsidRPr="00C554E8">
              <w:rPr>
                <w:rStyle w:val="Hyperlink"/>
                <w:rFonts w:ascii="Bookman Old Style" w:hAnsi="Bookman Old Style"/>
                <w:noProof/>
              </w:rPr>
              <w:t>Important Thoughts.</w:t>
            </w:r>
            <w:r w:rsidR="00A16B9C">
              <w:rPr>
                <w:noProof/>
                <w:webHidden/>
              </w:rPr>
              <w:tab/>
            </w:r>
            <w:r w:rsidR="00A16B9C">
              <w:rPr>
                <w:noProof/>
                <w:webHidden/>
              </w:rPr>
              <w:fldChar w:fldCharType="begin"/>
            </w:r>
            <w:r w:rsidR="00A16B9C">
              <w:rPr>
                <w:noProof/>
                <w:webHidden/>
              </w:rPr>
              <w:instrText xml:space="preserve"> PAGEREF _Toc118377731 \h </w:instrText>
            </w:r>
            <w:r w:rsidR="00A16B9C">
              <w:rPr>
                <w:noProof/>
                <w:webHidden/>
              </w:rPr>
            </w:r>
            <w:r w:rsidR="00A16B9C">
              <w:rPr>
                <w:noProof/>
                <w:webHidden/>
              </w:rPr>
              <w:fldChar w:fldCharType="separate"/>
            </w:r>
            <w:r w:rsidR="00A16B9C">
              <w:rPr>
                <w:noProof/>
                <w:webHidden/>
              </w:rPr>
              <w:t>46</w:t>
            </w:r>
            <w:r w:rsidR="00A16B9C">
              <w:rPr>
                <w:noProof/>
                <w:webHidden/>
              </w:rPr>
              <w:fldChar w:fldCharType="end"/>
            </w:r>
          </w:hyperlink>
        </w:p>
        <w:p w14:paraId="1F366C86" w14:textId="42C05B4E" w:rsidR="00A16B9C" w:rsidRDefault="00000000">
          <w:pPr>
            <w:pStyle w:val="TOC1"/>
            <w:tabs>
              <w:tab w:val="right" w:leader="dot" w:pos="9350"/>
            </w:tabs>
            <w:rPr>
              <w:rFonts w:eastAsiaTheme="minorEastAsia"/>
              <w:noProof/>
            </w:rPr>
          </w:pPr>
          <w:hyperlink w:anchor="_Toc118377732" w:history="1">
            <w:r w:rsidR="00A16B9C" w:rsidRPr="00C554E8">
              <w:rPr>
                <w:rStyle w:val="Hyperlink"/>
                <w:rFonts w:ascii="Bookman Old Style" w:hAnsi="Bookman Old Style"/>
                <w:noProof/>
              </w:rPr>
              <w:t>6. The Apostles’ Immediate Successors.</w:t>
            </w:r>
            <w:r w:rsidR="00A16B9C">
              <w:rPr>
                <w:noProof/>
                <w:webHidden/>
              </w:rPr>
              <w:tab/>
            </w:r>
            <w:r w:rsidR="00A16B9C">
              <w:rPr>
                <w:noProof/>
                <w:webHidden/>
              </w:rPr>
              <w:fldChar w:fldCharType="begin"/>
            </w:r>
            <w:r w:rsidR="00A16B9C">
              <w:rPr>
                <w:noProof/>
                <w:webHidden/>
              </w:rPr>
              <w:instrText xml:space="preserve"> PAGEREF _Toc118377732 \h </w:instrText>
            </w:r>
            <w:r w:rsidR="00A16B9C">
              <w:rPr>
                <w:noProof/>
                <w:webHidden/>
              </w:rPr>
            </w:r>
            <w:r w:rsidR="00A16B9C">
              <w:rPr>
                <w:noProof/>
                <w:webHidden/>
              </w:rPr>
              <w:fldChar w:fldCharType="separate"/>
            </w:r>
            <w:r w:rsidR="00A16B9C">
              <w:rPr>
                <w:noProof/>
                <w:webHidden/>
              </w:rPr>
              <w:t>48</w:t>
            </w:r>
            <w:r w:rsidR="00A16B9C">
              <w:rPr>
                <w:noProof/>
                <w:webHidden/>
              </w:rPr>
              <w:fldChar w:fldCharType="end"/>
            </w:r>
          </w:hyperlink>
        </w:p>
        <w:p w14:paraId="05EE0090" w14:textId="0D887E95" w:rsidR="00A16B9C" w:rsidRDefault="00000000">
          <w:pPr>
            <w:pStyle w:val="TOC2"/>
            <w:tabs>
              <w:tab w:val="right" w:leader="dot" w:pos="9350"/>
            </w:tabs>
            <w:rPr>
              <w:rFonts w:eastAsiaTheme="minorEastAsia"/>
              <w:noProof/>
            </w:rPr>
          </w:pPr>
          <w:hyperlink w:anchor="_Toc118377733" w:history="1">
            <w:r w:rsidR="00A16B9C" w:rsidRPr="00C554E8">
              <w:rPr>
                <w:rStyle w:val="Hyperlink"/>
                <w:rFonts w:ascii="Bookman Old Style" w:hAnsi="Bookman Old Style"/>
                <w:noProof/>
              </w:rPr>
              <w:t>Clement of Rome.</w:t>
            </w:r>
            <w:r w:rsidR="00A16B9C">
              <w:rPr>
                <w:noProof/>
                <w:webHidden/>
              </w:rPr>
              <w:tab/>
            </w:r>
            <w:r w:rsidR="00A16B9C">
              <w:rPr>
                <w:noProof/>
                <w:webHidden/>
              </w:rPr>
              <w:fldChar w:fldCharType="begin"/>
            </w:r>
            <w:r w:rsidR="00A16B9C">
              <w:rPr>
                <w:noProof/>
                <w:webHidden/>
              </w:rPr>
              <w:instrText xml:space="preserve"> PAGEREF _Toc118377733 \h </w:instrText>
            </w:r>
            <w:r w:rsidR="00A16B9C">
              <w:rPr>
                <w:noProof/>
                <w:webHidden/>
              </w:rPr>
            </w:r>
            <w:r w:rsidR="00A16B9C">
              <w:rPr>
                <w:noProof/>
                <w:webHidden/>
              </w:rPr>
              <w:fldChar w:fldCharType="separate"/>
            </w:r>
            <w:r w:rsidR="00A16B9C">
              <w:rPr>
                <w:noProof/>
                <w:webHidden/>
              </w:rPr>
              <w:t>48</w:t>
            </w:r>
            <w:r w:rsidR="00A16B9C">
              <w:rPr>
                <w:noProof/>
                <w:webHidden/>
              </w:rPr>
              <w:fldChar w:fldCharType="end"/>
            </w:r>
          </w:hyperlink>
        </w:p>
        <w:p w14:paraId="16984A6A" w14:textId="15E15B69" w:rsidR="00A16B9C" w:rsidRDefault="00000000">
          <w:pPr>
            <w:pStyle w:val="TOC2"/>
            <w:tabs>
              <w:tab w:val="right" w:leader="dot" w:pos="9350"/>
            </w:tabs>
            <w:rPr>
              <w:rFonts w:eastAsiaTheme="minorEastAsia"/>
              <w:noProof/>
            </w:rPr>
          </w:pPr>
          <w:hyperlink w:anchor="_Toc118377734" w:history="1">
            <w:r w:rsidR="00A16B9C" w:rsidRPr="00C554E8">
              <w:rPr>
                <w:rStyle w:val="Hyperlink"/>
                <w:rFonts w:ascii="Bookman Old Style" w:hAnsi="Bookman Old Style"/>
                <w:noProof/>
              </w:rPr>
              <w:t>Polycarp.</w:t>
            </w:r>
            <w:r w:rsidR="00A16B9C">
              <w:rPr>
                <w:noProof/>
                <w:webHidden/>
              </w:rPr>
              <w:tab/>
            </w:r>
            <w:r w:rsidR="00A16B9C">
              <w:rPr>
                <w:noProof/>
                <w:webHidden/>
              </w:rPr>
              <w:fldChar w:fldCharType="begin"/>
            </w:r>
            <w:r w:rsidR="00A16B9C">
              <w:rPr>
                <w:noProof/>
                <w:webHidden/>
              </w:rPr>
              <w:instrText xml:space="preserve"> PAGEREF _Toc118377734 \h </w:instrText>
            </w:r>
            <w:r w:rsidR="00A16B9C">
              <w:rPr>
                <w:noProof/>
                <w:webHidden/>
              </w:rPr>
            </w:r>
            <w:r w:rsidR="00A16B9C">
              <w:rPr>
                <w:noProof/>
                <w:webHidden/>
              </w:rPr>
              <w:fldChar w:fldCharType="separate"/>
            </w:r>
            <w:r w:rsidR="00A16B9C">
              <w:rPr>
                <w:noProof/>
                <w:webHidden/>
              </w:rPr>
              <w:t>49</w:t>
            </w:r>
            <w:r w:rsidR="00A16B9C">
              <w:rPr>
                <w:noProof/>
                <w:webHidden/>
              </w:rPr>
              <w:fldChar w:fldCharType="end"/>
            </w:r>
          </w:hyperlink>
        </w:p>
        <w:p w14:paraId="6B6B7D87" w14:textId="522529D0" w:rsidR="00A16B9C" w:rsidRDefault="00000000">
          <w:pPr>
            <w:pStyle w:val="TOC2"/>
            <w:tabs>
              <w:tab w:val="right" w:leader="dot" w:pos="9350"/>
            </w:tabs>
            <w:rPr>
              <w:rFonts w:eastAsiaTheme="minorEastAsia"/>
              <w:noProof/>
            </w:rPr>
          </w:pPr>
          <w:hyperlink w:anchor="_Toc118377735" w:history="1">
            <w:r w:rsidR="00A16B9C" w:rsidRPr="00C554E8">
              <w:rPr>
                <w:rStyle w:val="Hyperlink"/>
                <w:rFonts w:ascii="Bookman Old Style" w:hAnsi="Bookman Old Style"/>
                <w:noProof/>
              </w:rPr>
              <w:t>Tatian.</w:t>
            </w:r>
            <w:r w:rsidR="00A16B9C">
              <w:rPr>
                <w:noProof/>
                <w:webHidden/>
              </w:rPr>
              <w:tab/>
            </w:r>
            <w:r w:rsidR="00A16B9C">
              <w:rPr>
                <w:noProof/>
                <w:webHidden/>
              </w:rPr>
              <w:fldChar w:fldCharType="begin"/>
            </w:r>
            <w:r w:rsidR="00A16B9C">
              <w:rPr>
                <w:noProof/>
                <w:webHidden/>
              </w:rPr>
              <w:instrText xml:space="preserve"> PAGEREF _Toc118377735 \h </w:instrText>
            </w:r>
            <w:r w:rsidR="00A16B9C">
              <w:rPr>
                <w:noProof/>
                <w:webHidden/>
              </w:rPr>
            </w:r>
            <w:r w:rsidR="00A16B9C">
              <w:rPr>
                <w:noProof/>
                <w:webHidden/>
              </w:rPr>
              <w:fldChar w:fldCharType="separate"/>
            </w:r>
            <w:r w:rsidR="00A16B9C">
              <w:rPr>
                <w:noProof/>
                <w:webHidden/>
              </w:rPr>
              <w:t>50</w:t>
            </w:r>
            <w:r w:rsidR="00A16B9C">
              <w:rPr>
                <w:noProof/>
                <w:webHidden/>
              </w:rPr>
              <w:fldChar w:fldCharType="end"/>
            </w:r>
          </w:hyperlink>
        </w:p>
        <w:p w14:paraId="15BB86A7" w14:textId="1805D773" w:rsidR="00A16B9C" w:rsidRDefault="00000000">
          <w:pPr>
            <w:pStyle w:val="TOC2"/>
            <w:tabs>
              <w:tab w:val="right" w:leader="dot" w:pos="9350"/>
            </w:tabs>
            <w:rPr>
              <w:rFonts w:eastAsiaTheme="minorEastAsia"/>
              <w:noProof/>
            </w:rPr>
          </w:pPr>
          <w:hyperlink w:anchor="_Toc118377736" w:history="1">
            <w:r w:rsidR="00A16B9C" w:rsidRPr="00C554E8">
              <w:rPr>
                <w:rStyle w:val="Hyperlink"/>
                <w:rFonts w:ascii="Bookman Old Style" w:hAnsi="Bookman Old Style"/>
                <w:noProof/>
              </w:rPr>
              <w:t>Epistle of Barnabas.</w:t>
            </w:r>
            <w:r w:rsidR="00A16B9C">
              <w:rPr>
                <w:noProof/>
                <w:webHidden/>
              </w:rPr>
              <w:tab/>
            </w:r>
            <w:r w:rsidR="00A16B9C">
              <w:rPr>
                <w:noProof/>
                <w:webHidden/>
              </w:rPr>
              <w:fldChar w:fldCharType="begin"/>
            </w:r>
            <w:r w:rsidR="00A16B9C">
              <w:rPr>
                <w:noProof/>
                <w:webHidden/>
              </w:rPr>
              <w:instrText xml:space="preserve"> PAGEREF _Toc118377736 \h </w:instrText>
            </w:r>
            <w:r w:rsidR="00A16B9C">
              <w:rPr>
                <w:noProof/>
                <w:webHidden/>
              </w:rPr>
            </w:r>
            <w:r w:rsidR="00A16B9C">
              <w:rPr>
                <w:noProof/>
                <w:webHidden/>
              </w:rPr>
              <w:fldChar w:fldCharType="separate"/>
            </w:r>
            <w:r w:rsidR="00A16B9C">
              <w:rPr>
                <w:noProof/>
                <w:webHidden/>
              </w:rPr>
              <w:t>50</w:t>
            </w:r>
            <w:r w:rsidR="00A16B9C">
              <w:rPr>
                <w:noProof/>
                <w:webHidden/>
              </w:rPr>
              <w:fldChar w:fldCharType="end"/>
            </w:r>
          </w:hyperlink>
        </w:p>
        <w:p w14:paraId="562969A4" w14:textId="4F462D05" w:rsidR="00A16B9C" w:rsidRDefault="00000000">
          <w:pPr>
            <w:pStyle w:val="TOC2"/>
            <w:tabs>
              <w:tab w:val="right" w:leader="dot" w:pos="9350"/>
            </w:tabs>
            <w:rPr>
              <w:rFonts w:eastAsiaTheme="minorEastAsia"/>
              <w:noProof/>
            </w:rPr>
          </w:pPr>
          <w:hyperlink w:anchor="_Toc118377737" w:history="1">
            <w:r w:rsidR="00A16B9C" w:rsidRPr="00C554E8">
              <w:rPr>
                <w:rStyle w:val="Hyperlink"/>
                <w:rFonts w:ascii="Bookman Old Style" w:hAnsi="Bookman Old Style"/>
                <w:noProof/>
              </w:rPr>
              <w:t>Shepherd of Hermas.</w:t>
            </w:r>
            <w:r w:rsidR="00A16B9C">
              <w:rPr>
                <w:noProof/>
                <w:webHidden/>
              </w:rPr>
              <w:tab/>
            </w:r>
            <w:r w:rsidR="00A16B9C">
              <w:rPr>
                <w:noProof/>
                <w:webHidden/>
              </w:rPr>
              <w:fldChar w:fldCharType="begin"/>
            </w:r>
            <w:r w:rsidR="00A16B9C">
              <w:rPr>
                <w:noProof/>
                <w:webHidden/>
              </w:rPr>
              <w:instrText xml:space="preserve"> PAGEREF _Toc118377737 \h </w:instrText>
            </w:r>
            <w:r w:rsidR="00A16B9C">
              <w:rPr>
                <w:noProof/>
                <w:webHidden/>
              </w:rPr>
            </w:r>
            <w:r w:rsidR="00A16B9C">
              <w:rPr>
                <w:noProof/>
                <w:webHidden/>
              </w:rPr>
              <w:fldChar w:fldCharType="separate"/>
            </w:r>
            <w:r w:rsidR="00A16B9C">
              <w:rPr>
                <w:noProof/>
                <w:webHidden/>
              </w:rPr>
              <w:t>50</w:t>
            </w:r>
            <w:r w:rsidR="00A16B9C">
              <w:rPr>
                <w:noProof/>
                <w:webHidden/>
              </w:rPr>
              <w:fldChar w:fldCharType="end"/>
            </w:r>
          </w:hyperlink>
        </w:p>
        <w:p w14:paraId="0DC6A288" w14:textId="14CFEC47" w:rsidR="00A16B9C" w:rsidRDefault="00000000">
          <w:pPr>
            <w:pStyle w:val="TOC2"/>
            <w:tabs>
              <w:tab w:val="right" w:leader="dot" w:pos="9350"/>
            </w:tabs>
            <w:rPr>
              <w:rFonts w:eastAsiaTheme="minorEastAsia"/>
              <w:noProof/>
            </w:rPr>
          </w:pPr>
          <w:hyperlink w:anchor="_Toc118377738" w:history="1">
            <w:r w:rsidR="00A16B9C" w:rsidRPr="00C554E8">
              <w:rPr>
                <w:rStyle w:val="Hyperlink"/>
                <w:rFonts w:ascii="Bookman Old Style" w:hAnsi="Bookman Old Style"/>
                <w:noProof/>
              </w:rPr>
              <w:t>Ignatius.</w:t>
            </w:r>
            <w:r w:rsidR="00A16B9C">
              <w:rPr>
                <w:noProof/>
                <w:webHidden/>
              </w:rPr>
              <w:tab/>
            </w:r>
            <w:r w:rsidR="00A16B9C">
              <w:rPr>
                <w:noProof/>
                <w:webHidden/>
              </w:rPr>
              <w:fldChar w:fldCharType="begin"/>
            </w:r>
            <w:r w:rsidR="00A16B9C">
              <w:rPr>
                <w:noProof/>
                <w:webHidden/>
              </w:rPr>
              <w:instrText xml:space="preserve"> PAGEREF _Toc118377738 \h </w:instrText>
            </w:r>
            <w:r w:rsidR="00A16B9C">
              <w:rPr>
                <w:noProof/>
                <w:webHidden/>
              </w:rPr>
            </w:r>
            <w:r w:rsidR="00A16B9C">
              <w:rPr>
                <w:noProof/>
                <w:webHidden/>
              </w:rPr>
              <w:fldChar w:fldCharType="separate"/>
            </w:r>
            <w:r w:rsidR="00A16B9C">
              <w:rPr>
                <w:noProof/>
                <w:webHidden/>
              </w:rPr>
              <w:t>51</w:t>
            </w:r>
            <w:r w:rsidR="00A16B9C">
              <w:rPr>
                <w:noProof/>
                <w:webHidden/>
              </w:rPr>
              <w:fldChar w:fldCharType="end"/>
            </w:r>
          </w:hyperlink>
        </w:p>
        <w:p w14:paraId="1855E8BE" w14:textId="617B2981" w:rsidR="00A16B9C" w:rsidRDefault="00000000">
          <w:pPr>
            <w:pStyle w:val="TOC2"/>
            <w:tabs>
              <w:tab w:val="right" w:leader="dot" w:pos="9350"/>
            </w:tabs>
            <w:rPr>
              <w:rFonts w:eastAsiaTheme="minorEastAsia"/>
              <w:noProof/>
            </w:rPr>
          </w:pPr>
          <w:hyperlink w:anchor="_Toc118377739" w:history="1">
            <w:r w:rsidR="00A16B9C" w:rsidRPr="00C554E8">
              <w:rPr>
                <w:rStyle w:val="Hyperlink"/>
                <w:rFonts w:ascii="Bookman Old Style" w:hAnsi="Bookman Old Style"/>
                <w:noProof/>
              </w:rPr>
              <w:t>Justin Martyr.</w:t>
            </w:r>
            <w:r w:rsidR="00A16B9C">
              <w:rPr>
                <w:noProof/>
                <w:webHidden/>
              </w:rPr>
              <w:tab/>
            </w:r>
            <w:r w:rsidR="00A16B9C">
              <w:rPr>
                <w:noProof/>
                <w:webHidden/>
              </w:rPr>
              <w:fldChar w:fldCharType="begin"/>
            </w:r>
            <w:r w:rsidR="00A16B9C">
              <w:rPr>
                <w:noProof/>
                <w:webHidden/>
              </w:rPr>
              <w:instrText xml:space="preserve"> PAGEREF _Toc118377739 \h </w:instrText>
            </w:r>
            <w:r w:rsidR="00A16B9C">
              <w:rPr>
                <w:noProof/>
                <w:webHidden/>
              </w:rPr>
            </w:r>
            <w:r w:rsidR="00A16B9C">
              <w:rPr>
                <w:noProof/>
                <w:webHidden/>
              </w:rPr>
              <w:fldChar w:fldCharType="separate"/>
            </w:r>
            <w:r w:rsidR="00A16B9C">
              <w:rPr>
                <w:noProof/>
                <w:webHidden/>
              </w:rPr>
              <w:t>52</w:t>
            </w:r>
            <w:r w:rsidR="00A16B9C">
              <w:rPr>
                <w:noProof/>
                <w:webHidden/>
              </w:rPr>
              <w:fldChar w:fldCharType="end"/>
            </w:r>
          </w:hyperlink>
        </w:p>
        <w:p w14:paraId="32CE7061" w14:textId="0392806F" w:rsidR="00A16B9C" w:rsidRDefault="00000000">
          <w:pPr>
            <w:pStyle w:val="TOC3"/>
            <w:tabs>
              <w:tab w:val="right" w:leader="dot" w:pos="9350"/>
            </w:tabs>
            <w:rPr>
              <w:rFonts w:eastAsiaTheme="minorEastAsia"/>
              <w:noProof/>
            </w:rPr>
          </w:pPr>
          <w:hyperlink w:anchor="_Toc118377740" w:history="1">
            <w:r w:rsidR="00A16B9C" w:rsidRPr="00C554E8">
              <w:rPr>
                <w:rStyle w:val="Hyperlink"/>
                <w:rFonts w:ascii="Bookman Old Style" w:hAnsi="Bookman Old Style"/>
                <w:noProof/>
              </w:rPr>
              <w:t>The Epistle to Diognetus.</w:t>
            </w:r>
            <w:r w:rsidR="00A16B9C">
              <w:rPr>
                <w:noProof/>
                <w:webHidden/>
              </w:rPr>
              <w:tab/>
            </w:r>
            <w:r w:rsidR="00A16B9C">
              <w:rPr>
                <w:noProof/>
                <w:webHidden/>
              </w:rPr>
              <w:fldChar w:fldCharType="begin"/>
            </w:r>
            <w:r w:rsidR="00A16B9C">
              <w:rPr>
                <w:noProof/>
                <w:webHidden/>
              </w:rPr>
              <w:instrText xml:space="preserve"> PAGEREF _Toc118377740 \h </w:instrText>
            </w:r>
            <w:r w:rsidR="00A16B9C">
              <w:rPr>
                <w:noProof/>
                <w:webHidden/>
              </w:rPr>
            </w:r>
            <w:r w:rsidR="00A16B9C">
              <w:rPr>
                <w:noProof/>
                <w:webHidden/>
              </w:rPr>
              <w:fldChar w:fldCharType="separate"/>
            </w:r>
            <w:r w:rsidR="00A16B9C">
              <w:rPr>
                <w:noProof/>
                <w:webHidden/>
              </w:rPr>
              <w:t>53</w:t>
            </w:r>
            <w:r w:rsidR="00A16B9C">
              <w:rPr>
                <w:noProof/>
                <w:webHidden/>
              </w:rPr>
              <w:fldChar w:fldCharType="end"/>
            </w:r>
          </w:hyperlink>
        </w:p>
        <w:p w14:paraId="34BA0B49" w14:textId="2E080ADF" w:rsidR="00A16B9C" w:rsidRDefault="00000000">
          <w:pPr>
            <w:pStyle w:val="TOC2"/>
            <w:tabs>
              <w:tab w:val="right" w:leader="dot" w:pos="9350"/>
            </w:tabs>
            <w:rPr>
              <w:rFonts w:eastAsiaTheme="minorEastAsia"/>
              <w:noProof/>
            </w:rPr>
          </w:pPr>
          <w:hyperlink w:anchor="_Toc118377741" w:history="1">
            <w:r w:rsidR="00A16B9C" w:rsidRPr="00C554E8">
              <w:rPr>
                <w:rStyle w:val="Hyperlink"/>
                <w:rFonts w:ascii="Bookman Old Style" w:hAnsi="Bookman Old Style"/>
                <w:noProof/>
              </w:rPr>
              <w:t>Irenaeus.</w:t>
            </w:r>
            <w:r w:rsidR="00A16B9C">
              <w:rPr>
                <w:noProof/>
                <w:webHidden/>
              </w:rPr>
              <w:tab/>
            </w:r>
            <w:r w:rsidR="00A16B9C">
              <w:rPr>
                <w:noProof/>
                <w:webHidden/>
              </w:rPr>
              <w:fldChar w:fldCharType="begin"/>
            </w:r>
            <w:r w:rsidR="00A16B9C">
              <w:rPr>
                <w:noProof/>
                <w:webHidden/>
              </w:rPr>
              <w:instrText xml:space="preserve"> PAGEREF _Toc118377741 \h </w:instrText>
            </w:r>
            <w:r w:rsidR="00A16B9C">
              <w:rPr>
                <w:noProof/>
                <w:webHidden/>
              </w:rPr>
            </w:r>
            <w:r w:rsidR="00A16B9C">
              <w:rPr>
                <w:noProof/>
                <w:webHidden/>
              </w:rPr>
              <w:fldChar w:fldCharType="separate"/>
            </w:r>
            <w:r w:rsidR="00A16B9C">
              <w:rPr>
                <w:noProof/>
                <w:webHidden/>
              </w:rPr>
              <w:t>54</w:t>
            </w:r>
            <w:r w:rsidR="00A16B9C">
              <w:rPr>
                <w:noProof/>
                <w:webHidden/>
              </w:rPr>
              <w:fldChar w:fldCharType="end"/>
            </w:r>
          </w:hyperlink>
        </w:p>
        <w:p w14:paraId="604FC563" w14:textId="7EB19636" w:rsidR="00A16B9C" w:rsidRDefault="00000000">
          <w:pPr>
            <w:pStyle w:val="TOC2"/>
            <w:tabs>
              <w:tab w:val="right" w:leader="dot" w:pos="9350"/>
            </w:tabs>
            <w:rPr>
              <w:rFonts w:eastAsiaTheme="minorEastAsia"/>
              <w:noProof/>
            </w:rPr>
          </w:pPr>
          <w:hyperlink w:anchor="_Toc118377742" w:history="1">
            <w:r w:rsidR="00A16B9C" w:rsidRPr="00C554E8">
              <w:rPr>
                <w:rStyle w:val="Hyperlink"/>
                <w:rFonts w:ascii="Bookman Old Style" w:hAnsi="Bookman Old Style"/>
                <w:noProof/>
              </w:rPr>
              <w:t>Quadratus.</w:t>
            </w:r>
            <w:r w:rsidR="00A16B9C">
              <w:rPr>
                <w:noProof/>
                <w:webHidden/>
              </w:rPr>
              <w:tab/>
            </w:r>
            <w:r w:rsidR="00A16B9C">
              <w:rPr>
                <w:noProof/>
                <w:webHidden/>
              </w:rPr>
              <w:fldChar w:fldCharType="begin"/>
            </w:r>
            <w:r w:rsidR="00A16B9C">
              <w:rPr>
                <w:noProof/>
                <w:webHidden/>
              </w:rPr>
              <w:instrText xml:space="preserve"> PAGEREF _Toc118377742 \h </w:instrText>
            </w:r>
            <w:r w:rsidR="00A16B9C">
              <w:rPr>
                <w:noProof/>
                <w:webHidden/>
              </w:rPr>
            </w:r>
            <w:r w:rsidR="00A16B9C">
              <w:rPr>
                <w:noProof/>
                <w:webHidden/>
              </w:rPr>
              <w:fldChar w:fldCharType="separate"/>
            </w:r>
            <w:r w:rsidR="00A16B9C">
              <w:rPr>
                <w:noProof/>
                <w:webHidden/>
              </w:rPr>
              <w:t>56</w:t>
            </w:r>
            <w:r w:rsidR="00A16B9C">
              <w:rPr>
                <w:noProof/>
                <w:webHidden/>
              </w:rPr>
              <w:fldChar w:fldCharType="end"/>
            </w:r>
          </w:hyperlink>
        </w:p>
        <w:p w14:paraId="6F5446F2" w14:textId="5296A2B9" w:rsidR="00A16B9C" w:rsidRDefault="00000000">
          <w:pPr>
            <w:pStyle w:val="TOC2"/>
            <w:tabs>
              <w:tab w:val="right" w:leader="dot" w:pos="9350"/>
            </w:tabs>
            <w:rPr>
              <w:rFonts w:eastAsiaTheme="minorEastAsia"/>
              <w:noProof/>
            </w:rPr>
          </w:pPr>
          <w:hyperlink w:anchor="_Toc118377743" w:history="1">
            <w:r w:rsidR="00A16B9C" w:rsidRPr="00C554E8">
              <w:rPr>
                <w:rStyle w:val="Hyperlink"/>
                <w:rFonts w:ascii="Bookman Old Style" w:hAnsi="Bookman Old Style"/>
                <w:noProof/>
              </w:rPr>
              <w:t>Pseudo-Clementine Homilies.</w:t>
            </w:r>
            <w:r w:rsidR="00A16B9C">
              <w:rPr>
                <w:noProof/>
                <w:webHidden/>
              </w:rPr>
              <w:tab/>
            </w:r>
            <w:r w:rsidR="00A16B9C">
              <w:rPr>
                <w:noProof/>
                <w:webHidden/>
              </w:rPr>
              <w:fldChar w:fldCharType="begin"/>
            </w:r>
            <w:r w:rsidR="00A16B9C">
              <w:rPr>
                <w:noProof/>
                <w:webHidden/>
              </w:rPr>
              <w:instrText xml:space="preserve"> PAGEREF _Toc118377743 \h </w:instrText>
            </w:r>
            <w:r w:rsidR="00A16B9C">
              <w:rPr>
                <w:noProof/>
                <w:webHidden/>
              </w:rPr>
            </w:r>
            <w:r w:rsidR="00A16B9C">
              <w:rPr>
                <w:noProof/>
                <w:webHidden/>
              </w:rPr>
              <w:fldChar w:fldCharType="separate"/>
            </w:r>
            <w:r w:rsidR="00A16B9C">
              <w:rPr>
                <w:noProof/>
                <w:webHidden/>
              </w:rPr>
              <w:t>56</w:t>
            </w:r>
            <w:r w:rsidR="00A16B9C">
              <w:rPr>
                <w:noProof/>
                <w:webHidden/>
              </w:rPr>
              <w:fldChar w:fldCharType="end"/>
            </w:r>
          </w:hyperlink>
        </w:p>
        <w:p w14:paraId="0F32A5E8" w14:textId="5307739A" w:rsidR="00A16B9C" w:rsidRDefault="00000000">
          <w:pPr>
            <w:pStyle w:val="TOC2"/>
            <w:tabs>
              <w:tab w:val="right" w:leader="dot" w:pos="9350"/>
            </w:tabs>
            <w:rPr>
              <w:rFonts w:eastAsiaTheme="minorEastAsia"/>
              <w:noProof/>
            </w:rPr>
          </w:pPr>
          <w:hyperlink w:anchor="_Toc118377744" w:history="1">
            <w:r w:rsidR="00A16B9C" w:rsidRPr="00C554E8">
              <w:rPr>
                <w:rStyle w:val="Hyperlink"/>
                <w:rFonts w:ascii="Bookman Old Style" w:hAnsi="Bookman Old Style"/>
                <w:noProof/>
              </w:rPr>
              <w:t>Athenagoras.</w:t>
            </w:r>
            <w:r w:rsidR="00A16B9C">
              <w:rPr>
                <w:noProof/>
                <w:webHidden/>
              </w:rPr>
              <w:tab/>
            </w:r>
            <w:r w:rsidR="00A16B9C">
              <w:rPr>
                <w:noProof/>
                <w:webHidden/>
              </w:rPr>
              <w:fldChar w:fldCharType="begin"/>
            </w:r>
            <w:r w:rsidR="00A16B9C">
              <w:rPr>
                <w:noProof/>
                <w:webHidden/>
              </w:rPr>
              <w:instrText xml:space="preserve"> PAGEREF _Toc118377744 \h </w:instrText>
            </w:r>
            <w:r w:rsidR="00A16B9C">
              <w:rPr>
                <w:noProof/>
                <w:webHidden/>
              </w:rPr>
            </w:r>
            <w:r w:rsidR="00A16B9C">
              <w:rPr>
                <w:noProof/>
                <w:webHidden/>
              </w:rPr>
              <w:fldChar w:fldCharType="separate"/>
            </w:r>
            <w:r w:rsidR="00A16B9C">
              <w:rPr>
                <w:noProof/>
                <w:webHidden/>
              </w:rPr>
              <w:t>57</w:t>
            </w:r>
            <w:r w:rsidR="00A16B9C">
              <w:rPr>
                <w:noProof/>
                <w:webHidden/>
              </w:rPr>
              <w:fldChar w:fldCharType="end"/>
            </w:r>
          </w:hyperlink>
        </w:p>
        <w:p w14:paraId="25136FA7" w14:textId="4EEE23A6" w:rsidR="00A16B9C" w:rsidRDefault="00000000">
          <w:pPr>
            <w:pStyle w:val="TOC2"/>
            <w:tabs>
              <w:tab w:val="right" w:leader="dot" w:pos="9350"/>
            </w:tabs>
            <w:rPr>
              <w:rFonts w:eastAsiaTheme="minorEastAsia"/>
              <w:noProof/>
            </w:rPr>
          </w:pPr>
          <w:hyperlink w:anchor="_Toc118377745" w:history="1">
            <w:r w:rsidR="00A16B9C" w:rsidRPr="00C554E8">
              <w:rPr>
                <w:rStyle w:val="Hyperlink"/>
                <w:rFonts w:ascii="Bookman Old Style" w:hAnsi="Bookman Old Style"/>
                <w:noProof/>
              </w:rPr>
              <w:t>Theophilus.</w:t>
            </w:r>
            <w:r w:rsidR="00A16B9C">
              <w:rPr>
                <w:noProof/>
                <w:webHidden/>
              </w:rPr>
              <w:tab/>
            </w:r>
            <w:r w:rsidR="00A16B9C">
              <w:rPr>
                <w:noProof/>
                <w:webHidden/>
              </w:rPr>
              <w:fldChar w:fldCharType="begin"/>
            </w:r>
            <w:r w:rsidR="00A16B9C">
              <w:rPr>
                <w:noProof/>
                <w:webHidden/>
              </w:rPr>
              <w:instrText xml:space="preserve"> PAGEREF _Toc118377745 \h </w:instrText>
            </w:r>
            <w:r w:rsidR="00A16B9C">
              <w:rPr>
                <w:noProof/>
                <w:webHidden/>
              </w:rPr>
            </w:r>
            <w:r w:rsidR="00A16B9C">
              <w:rPr>
                <w:noProof/>
                <w:webHidden/>
              </w:rPr>
              <w:fldChar w:fldCharType="separate"/>
            </w:r>
            <w:r w:rsidR="00A16B9C">
              <w:rPr>
                <w:noProof/>
                <w:webHidden/>
              </w:rPr>
              <w:t>57</w:t>
            </w:r>
            <w:r w:rsidR="00A16B9C">
              <w:rPr>
                <w:noProof/>
                <w:webHidden/>
              </w:rPr>
              <w:fldChar w:fldCharType="end"/>
            </w:r>
          </w:hyperlink>
        </w:p>
        <w:p w14:paraId="75AF203F" w14:textId="19F00EA7" w:rsidR="00A16B9C" w:rsidRDefault="00000000">
          <w:pPr>
            <w:pStyle w:val="TOC2"/>
            <w:tabs>
              <w:tab w:val="right" w:leader="dot" w:pos="9350"/>
            </w:tabs>
            <w:rPr>
              <w:rFonts w:eastAsiaTheme="minorEastAsia"/>
              <w:noProof/>
            </w:rPr>
          </w:pPr>
          <w:hyperlink w:anchor="_Toc118377746" w:history="1">
            <w:r w:rsidR="00A16B9C" w:rsidRPr="00C554E8">
              <w:rPr>
                <w:rStyle w:val="Hyperlink"/>
                <w:rFonts w:ascii="Bookman Old Style" w:hAnsi="Bookman Old Style"/>
                <w:noProof/>
              </w:rPr>
              <w:t>Conclusion.</w:t>
            </w:r>
            <w:r w:rsidR="00A16B9C">
              <w:rPr>
                <w:noProof/>
                <w:webHidden/>
              </w:rPr>
              <w:tab/>
            </w:r>
            <w:r w:rsidR="00A16B9C">
              <w:rPr>
                <w:noProof/>
                <w:webHidden/>
              </w:rPr>
              <w:fldChar w:fldCharType="begin"/>
            </w:r>
            <w:r w:rsidR="00A16B9C">
              <w:rPr>
                <w:noProof/>
                <w:webHidden/>
              </w:rPr>
              <w:instrText xml:space="preserve"> PAGEREF _Toc118377746 \h </w:instrText>
            </w:r>
            <w:r w:rsidR="00A16B9C">
              <w:rPr>
                <w:noProof/>
                <w:webHidden/>
              </w:rPr>
            </w:r>
            <w:r w:rsidR="00A16B9C">
              <w:rPr>
                <w:noProof/>
                <w:webHidden/>
              </w:rPr>
              <w:fldChar w:fldCharType="separate"/>
            </w:r>
            <w:r w:rsidR="00A16B9C">
              <w:rPr>
                <w:noProof/>
                <w:webHidden/>
              </w:rPr>
              <w:t>57</w:t>
            </w:r>
            <w:r w:rsidR="00A16B9C">
              <w:rPr>
                <w:noProof/>
                <w:webHidden/>
              </w:rPr>
              <w:fldChar w:fldCharType="end"/>
            </w:r>
          </w:hyperlink>
        </w:p>
        <w:p w14:paraId="5A751522" w14:textId="1C37955F" w:rsidR="00A16B9C" w:rsidRDefault="00000000">
          <w:pPr>
            <w:pStyle w:val="TOC1"/>
            <w:tabs>
              <w:tab w:val="right" w:leader="dot" w:pos="9350"/>
            </w:tabs>
            <w:rPr>
              <w:rFonts w:eastAsiaTheme="minorEastAsia"/>
              <w:noProof/>
            </w:rPr>
          </w:pPr>
          <w:hyperlink w:anchor="_Toc118377747" w:history="1">
            <w:r w:rsidR="00A16B9C" w:rsidRPr="00C554E8">
              <w:rPr>
                <w:rStyle w:val="Hyperlink"/>
                <w:rFonts w:ascii="Bookman Old Style" w:hAnsi="Bookman Old Style"/>
                <w:noProof/>
              </w:rPr>
              <w:t>7. Three Gnostic Sects.</w:t>
            </w:r>
            <w:r w:rsidR="00A16B9C">
              <w:rPr>
                <w:noProof/>
                <w:webHidden/>
              </w:rPr>
              <w:tab/>
            </w:r>
            <w:r w:rsidR="00A16B9C">
              <w:rPr>
                <w:noProof/>
                <w:webHidden/>
              </w:rPr>
              <w:fldChar w:fldCharType="begin"/>
            </w:r>
            <w:r w:rsidR="00A16B9C">
              <w:rPr>
                <w:noProof/>
                <w:webHidden/>
              </w:rPr>
              <w:instrText xml:space="preserve"> PAGEREF _Toc118377747 \h </w:instrText>
            </w:r>
            <w:r w:rsidR="00A16B9C">
              <w:rPr>
                <w:noProof/>
                <w:webHidden/>
              </w:rPr>
            </w:r>
            <w:r w:rsidR="00A16B9C">
              <w:rPr>
                <w:noProof/>
                <w:webHidden/>
              </w:rPr>
              <w:fldChar w:fldCharType="separate"/>
            </w:r>
            <w:r w:rsidR="00A16B9C">
              <w:rPr>
                <w:noProof/>
                <w:webHidden/>
              </w:rPr>
              <w:t>58</w:t>
            </w:r>
            <w:r w:rsidR="00A16B9C">
              <w:rPr>
                <w:noProof/>
                <w:webHidden/>
              </w:rPr>
              <w:fldChar w:fldCharType="end"/>
            </w:r>
          </w:hyperlink>
        </w:p>
        <w:p w14:paraId="58B8AA1E" w14:textId="097C3BA9" w:rsidR="00A16B9C" w:rsidRDefault="00000000">
          <w:pPr>
            <w:pStyle w:val="TOC2"/>
            <w:tabs>
              <w:tab w:val="right" w:leader="dot" w:pos="9350"/>
            </w:tabs>
            <w:rPr>
              <w:rFonts w:eastAsiaTheme="minorEastAsia"/>
              <w:noProof/>
            </w:rPr>
          </w:pPr>
          <w:hyperlink w:anchor="_Toc118377748" w:history="1">
            <w:r w:rsidR="00A16B9C" w:rsidRPr="00C554E8">
              <w:rPr>
                <w:rStyle w:val="Hyperlink"/>
                <w:rFonts w:ascii="Bookman Old Style" w:hAnsi="Bookman Old Style"/>
                <w:noProof/>
              </w:rPr>
              <w:t>Basilidians.</w:t>
            </w:r>
            <w:r w:rsidR="00A16B9C">
              <w:rPr>
                <w:noProof/>
                <w:webHidden/>
              </w:rPr>
              <w:tab/>
            </w:r>
            <w:r w:rsidR="00A16B9C">
              <w:rPr>
                <w:noProof/>
                <w:webHidden/>
              </w:rPr>
              <w:fldChar w:fldCharType="begin"/>
            </w:r>
            <w:r w:rsidR="00A16B9C">
              <w:rPr>
                <w:noProof/>
                <w:webHidden/>
              </w:rPr>
              <w:instrText xml:space="preserve"> PAGEREF _Toc118377748 \h </w:instrText>
            </w:r>
            <w:r w:rsidR="00A16B9C">
              <w:rPr>
                <w:noProof/>
                <w:webHidden/>
              </w:rPr>
            </w:r>
            <w:r w:rsidR="00A16B9C">
              <w:rPr>
                <w:noProof/>
                <w:webHidden/>
              </w:rPr>
              <w:fldChar w:fldCharType="separate"/>
            </w:r>
            <w:r w:rsidR="00A16B9C">
              <w:rPr>
                <w:noProof/>
                <w:webHidden/>
              </w:rPr>
              <w:t>58</w:t>
            </w:r>
            <w:r w:rsidR="00A16B9C">
              <w:rPr>
                <w:noProof/>
                <w:webHidden/>
              </w:rPr>
              <w:fldChar w:fldCharType="end"/>
            </w:r>
          </w:hyperlink>
        </w:p>
        <w:p w14:paraId="3F6328E6" w14:textId="213732A0" w:rsidR="00A16B9C" w:rsidRDefault="00000000">
          <w:pPr>
            <w:pStyle w:val="TOC2"/>
            <w:tabs>
              <w:tab w:val="right" w:leader="dot" w:pos="9350"/>
            </w:tabs>
            <w:rPr>
              <w:rFonts w:eastAsiaTheme="minorEastAsia"/>
              <w:noProof/>
            </w:rPr>
          </w:pPr>
          <w:hyperlink w:anchor="_Toc118377749" w:history="1">
            <w:r w:rsidR="00A16B9C" w:rsidRPr="00C554E8">
              <w:rPr>
                <w:rStyle w:val="Hyperlink"/>
                <w:rFonts w:ascii="Bookman Old Style" w:hAnsi="Bookman Old Style"/>
                <w:noProof/>
              </w:rPr>
              <w:t>Carpocratians.</w:t>
            </w:r>
            <w:r w:rsidR="00A16B9C">
              <w:rPr>
                <w:noProof/>
                <w:webHidden/>
              </w:rPr>
              <w:tab/>
            </w:r>
            <w:r w:rsidR="00A16B9C">
              <w:rPr>
                <w:noProof/>
                <w:webHidden/>
              </w:rPr>
              <w:fldChar w:fldCharType="begin"/>
            </w:r>
            <w:r w:rsidR="00A16B9C">
              <w:rPr>
                <w:noProof/>
                <w:webHidden/>
              </w:rPr>
              <w:instrText xml:space="preserve"> PAGEREF _Toc118377749 \h </w:instrText>
            </w:r>
            <w:r w:rsidR="00A16B9C">
              <w:rPr>
                <w:noProof/>
                <w:webHidden/>
              </w:rPr>
            </w:r>
            <w:r w:rsidR="00A16B9C">
              <w:rPr>
                <w:noProof/>
                <w:webHidden/>
              </w:rPr>
              <w:fldChar w:fldCharType="separate"/>
            </w:r>
            <w:r w:rsidR="00A16B9C">
              <w:rPr>
                <w:noProof/>
                <w:webHidden/>
              </w:rPr>
              <w:t>58</w:t>
            </w:r>
            <w:r w:rsidR="00A16B9C">
              <w:rPr>
                <w:noProof/>
                <w:webHidden/>
              </w:rPr>
              <w:fldChar w:fldCharType="end"/>
            </w:r>
          </w:hyperlink>
        </w:p>
        <w:p w14:paraId="5A24DDE3" w14:textId="3BFBBB0A" w:rsidR="00A16B9C" w:rsidRDefault="00000000">
          <w:pPr>
            <w:pStyle w:val="TOC2"/>
            <w:tabs>
              <w:tab w:val="right" w:leader="dot" w:pos="9350"/>
            </w:tabs>
            <w:rPr>
              <w:rFonts w:eastAsiaTheme="minorEastAsia"/>
              <w:noProof/>
            </w:rPr>
          </w:pPr>
          <w:hyperlink w:anchor="_Toc118377750" w:history="1">
            <w:r w:rsidR="00A16B9C" w:rsidRPr="00C554E8">
              <w:rPr>
                <w:rStyle w:val="Hyperlink"/>
                <w:rFonts w:ascii="Bookman Old Style" w:hAnsi="Bookman Old Style"/>
                <w:noProof/>
              </w:rPr>
              <w:t>Valentinians.</w:t>
            </w:r>
            <w:r w:rsidR="00A16B9C">
              <w:rPr>
                <w:noProof/>
                <w:webHidden/>
              </w:rPr>
              <w:tab/>
            </w:r>
            <w:r w:rsidR="00A16B9C">
              <w:rPr>
                <w:noProof/>
                <w:webHidden/>
              </w:rPr>
              <w:fldChar w:fldCharType="begin"/>
            </w:r>
            <w:r w:rsidR="00A16B9C">
              <w:rPr>
                <w:noProof/>
                <w:webHidden/>
              </w:rPr>
              <w:instrText xml:space="preserve"> PAGEREF _Toc118377750 \h </w:instrText>
            </w:r>
            <w:r w:rsidR="00A16B9C">
              <w:rPr>
                <w:noProof/>
                <w:webHidden/>
              </w:rPr>
            </w:r>
            <w:r w:rsidR="00A16B9C">
              <w:rPr>
                <w:noProof/>
                <w:webHidden/>
              </w:rPr>
              <w:fldChar w:fldCharType="separate"/>
            </w:r>
            <w:r w:rsidR="00A16B9C">
              <w:rPr>
                <w:noProof/>
                <w:webHidden/>
              </w:rPr>
              <w:t>59</w:t>
            </w:r>
            <w:r w:rsidR="00A16B9C">
              <w:rPr>
                <w:noProof/>
                <w:webHidden/>
              </w:rPr>
              <w:fldChar w:fldCharType="end"/>
            </w:r>
          </w:hyperlink>
        </w:p>
        <w:p w14:paraId="5361419A" w14:textId="453E9101" w:rsidR="00A16B9C" w:rsidRDefault="00000000">
          <w:pPr>
            <w:pStyle w:val="TOC2"/>
            <w:tabs>
              <w:tab w:val="right" w:leader="dot" w:pos="9350"/>
            </w:tabs>
            <w:rPr>
              <w:rFonts w:eastAsiaTheme="minorEastAsia"/>
              <w:noProof/>
            </w:rPr>
          </w:pPr>
          <w:hyperlink w:anchor="_Toc118377751" w:history="1">
            <w:r w:rsidR="00A16B9C" w:rsidRPr="00C554E8">
              <w:rPr>
                <w:rStyle w:val="Hyperlink"/>
                <w:rFonts w:ascii="Bookman Old Style" w:hAnsi="Bookman Old Style"/>
                <w:noProof/>
              </w:rPr>
              <w:t>Conclusions.</w:t>
            </w:r>
            <w:r w:rsidR="00A16B9C">
              <w:rPr>
                <w:noProof/>
                <w:webHidden/>
              </w:rPr>
              <w:tab/>
            </w:r>
            <w:r w:rsidR="00A16B9C">
              <w:rPr>
                <w:noProof/>
                <w:webHidden/>
              </w:rPr>
              <w:fldChar w:fldCharType="begin"/>
            </w:r>
            <w:r w:rsidR="00A16B9C">
              <w:rPr>
                <w:noProof/>
                <w:webHidden/>
              </w:rPr>
              <w:instrText xml:space="preserve"> PAGEREF _Toc118377751 \h </w:instrText>
            </w:r>
            <w:r w:rsidR="00A16B9C">
              <w:rPr>
                <w:noProof/>
                <w:webHidden/>
              </w:rPr>
            </w:r>
            <w:r w:rsidR="00A16B9C">
              <w:rPr>
                <w:noProof/>
                <w:webHidden/>
              </w:rPr>
              <w:fldChar w:fldCharType="separate"/>
            </w:r>
            <w:r w:rsidR="00A16B9C">
              <w:rPr>
                <w:noProof/>
                <w:webHidden/>
              </w:rPr>
              <w:t>59</w:t>
            </w:r>
            <w:r w:rsidR="00A16B9C">
              <w:rPr>
                <w:noProof/>
                <w:webHidden/>
              </w:rPr>
              <w:fldChar w:fldCharType="end"/>
            </w:r>
          </w:hyperlink>
        </w:p>
        <w:p w14:paraId="551E9F9D" w14:textId="63DFBA49" w:rsidR="00A16B9C" w:rsidRDefault="00000000">
          <w:pPr>
            <w:pStyle w:val="TOC1"/>
            <w:tabs>
              <w:tab w:val="right" w:leader="dot" w:pos="9350"/>
            </w:tabs>
            <w:rPr>
              <w:rFonts w:eastAsiaTheme="minorEastAsia"/>
              <w:noProof/>
            </w:rPr>
          </w:pPr>
          <w:hyperlink w:anchor="_Toc118377752" w:history="1">
            <w:r w:rsidR="00A16B9C" w:rsidRPr="00C554E8">
              <w:rPr>
                <w:rStyle w:val="Hyperlink"/>
                <w:rFonts w:ascii="Bookman Old Style" w:hAnsi="Bookman Old Style"/>
                <w:noProof/>
              </w:rPr>
              <w:t>8. The Sibylline Oracles.</w:t>
            </w:r>
            <w:r w:rsidR="00A16B9C">
              <w:rPr>
                <w:noProof/>
                <w:webHidden/>
              </w:rPr>
              <w:tab/>
            </w:r>
            <w:r w:rsidR="00A16B9C">
              <w:rPr>
                <w:noProof/>
                <w:webHidden/>
              </w:rPr>
              <w:fldChar w:fldCharType="begin"/>
            </w:r>
            <w:r w:rsidR="00A16B9C">
              <w:rPr>
                <w:noProof/>
                <w:webHidden/>
              </w:rPr>
              <w:instrText xml:space="preserve"> PAGEREF _Toc118377752 \h </w:instrText>
            </w:r>
            <w:r w:rsidR="00A16B9C">
              <w:rPr>
                <w:noProof/>
                <w:webHidden/>
              </w:rPr>
            </w:r>
            <w:r w:rsidR="00A16B9C">
              <w:rPr>
                <w:noProof/>
                <w:webHidden/>
              </w:rPr>
              <w:fldChar w:fldCharType="separate"/>
            </w:r>
            <w:r w:rsidR="00A16B9C">
              <w:rPr>
                <w:noProof/>
                <w:webHidden/>
              </w:rPr>
              <w:t>61</w:t>
            </w:r>
            <w:r w:rsidR="00A16B9C">
              <w:rPr>
                <w:noProof/>
                <w:webHidden/>
              </w:rPr>
              <w:fldChar w:fldCharType="end"/>
            </w:r>
          </w:hyperlink>
        </w:p>
        <w:p w14:paraId="12DE2EBE" w14:textId="33B311F7" w:rsidR="00A16B9C" w:rsidRDefault="00000000">
          <w:pPr>
            <w:pStyle w:val="TOC1"/>
            <w:tabs>
              <w:tab w:val="right" w:leader="dot" w:pos="9350"/>
            </w:tabs>
            <w:rPr>
              <w:rFonts w:eastAsiaTheme="minorEastAsia"/>
              <w:noProof/>
            </w:rPr>
          </w:pPr>
          <w:hyperlink w:anchor="_Toc118377753" w:history="1">
            <w:r w:rsidR="00A16B9C" w:rsidRPr="00C554E8">
              <w:rPr>
                <w:rStyle w:val="Hyperlink"/>
                <w:rFonts w:ascii="Bookman Old Style" w:hAnsi="Bookman Old Style"/>
                <w:noProof/>
              </w:rPr>
              <w:t>9. Pantaenus and Clement.</w:t>
            </w:r>
            <w:r w:rsidR="00A16B9C">
              <w:rPr>
                <w:noProof/>
                <w:webHidden/>
              </w:rPr>
              <w:tab/>
            </w:r>
            <w:r w:rsidR="00A16B9C">
              <w:rPr>
                <w:noProof/>
                <w:webHidden/>
              </w:rPr>
              <w:fldChar w:fldCharType="begin"/>
            </w:r>
            <w:r w:rsidR="00A16B9C">
              <w:rPr>
                <w:noProof/>
                <w:webHidden/>
              </w:rPr>
              <w:instrText xml:space="preserve"> PAGEREF _Toc118377753 \h </w:instrText>
            </w:r>
            <w:r w:rsidR="00A16B9C">
              <w:rPr>
                <w:noProof/>
                <w:webHidden/>
              </w:rPr>
            </w:r>
            <w:r w:rsidR="00A16B9C">
              <w:rPr>
                <w:noProof/>
                <w:webHidden/>
              </w:rPr>
              <w:fldChar w:fldCharType="separate"/>
            </w:r>
            <w:r w:rsidR="00A16B9C">
              <w:rPr>
                <w:noProof/>
                <w:webHidden/>
              </w:rPr>
              <w:t>65</w:t>
            </w:r>
            <w:r w:rsidR="00A16B9C">
              <w:rPr>
                <w:noProof/>
                <w:webHidden/>
              </w:rPr>
              <w:fldChar w:fldCharType="end"/>
            </w:r>
          </w:hyperlink>
        </w:p>
        <w:p w14:paraId="70B3E74B" w14:textId="3A8096C2" w:rsidR="00A16B9C" w:rsidRDefault="00000000">
          <w:pPr>
            <w:pStyle w:val="TOC2"/>
            <w:tabs>
              <w:tab w:val="right" w:leader="dot" w:pos="9350"/>
            </w:tabs>
            <w:rPr>
              <w:rFonts w:eastAsiaTheme="minorEastAsia"/>
              <w:noProof/>
            </w:rPr>
          </w:pPr>
          <w:hyperlink w:anchor="_Toc118377754" w:history="1">
            <w:r w:rsidR="00A16B9C" w:rsidRPr="00C554E8">
              <w:rPr>
                <w:rStyle w:val="Hyperlink"/>
                <w:rFonts w:ascii="Bookman Old Style" w:hAnsi="Bookman Old Style"/>
                <w:noProof/>
              </w:rPr>
              <w:t>Pantaenus.</w:t>
            </w:r>
            <w:r w:rsidR="00A16B9C">
              <w:rPr>
                <w:noProof/>
                <w:webHidden/>
              </w:rPr>
              <w:tab/>
            </w:r>
            <w:r w:rsidR="00A16B9C">
              <w:rPr>
                <w:noProof/>
                <w:webHidden/>
              </w:rPr>
              <w:fldChar w:fldCharType="begin"/>
            </w:r>
            <w:r w:rsidR="00A16B9C">
              <w:rPr>
                <w:noProof/>
                <w:webHidden/>
              </w:rPr>
              <w:instrText xml:space="preserve"> PAGEREF _Toc118377754 \h </w:instrText>
            </w:r>
            <w:r w:rsidR="00A16B9C">
              <w:rPr>
                <w:noProof/>
                <w:webHidden/>
              </w:rPr>
            </w:r>
            <w:r w:rsidR="00A16B9C">
              <w:rPr>
                <w:noProof/>
                <w:webHidden/>
              </w:rPr>
              <w:fldChar w:fldCharType="separate"/>
            </w:r>
            <w:r w:rsidR="00A16B9C">
              <w:rPr>
                <w:noProof/>
                <w:webHidden/>
              </w:rPr>
              <w:t>65</w:t>
            </w:r>
            <w:r w:rsidR="00A16B9C">
              <w:rPr>
                <w:noProof/>
                <w:webHidden/>
              </w:rPr>
              <w:fldChar w:fldCharType="end"/>
            </w:r>
          </w:hyperlink>
        </w:p>
        <w:p w14:paraId="40BD11E5" w14:textId="369E262F" w:rsidR="00A16B9C" w:rsidRDefault="00000000">
          <w:pPr>
            <w:pStyle w:val="TOC2"/>
            <w:tabs>
              <w:tab w:val="right" w:leader="dot" w:pos="9350"/>
            </w:tabs>
            <w:rPr>
              <w:rFonts w:eastAsiaTheme="minorEastAsia"/>
              <w:noProof/>
            </w:rPr>
          </w:pPr>
          <w:hyperlink w:anchor="_Toc118377755" w:history="1">
            <w:r w:rsidR="00A16B9C" w:rsidRPr="00C554E8">
              <w:rPr>
                <w:rStyle w:val="Hyperlink"/>
                <w:rFonts w:ascii="Bookman Old Style" w:hAnsi="Bookman Old Style"/>
                <w:noProof/>
              </w:rPr>
              <w:t>The Alexandrine School.</w:t>
            </w:r>
            <w:r w:rsidR="00A16B9C">
              <w:rPr>
                <w:noProof/>
                <w:webHidden/>
              </w:rPr>
              <w:tab/>
            </w:r>
            <w:r w:rsidR="00A16B9C">
              <w:rPr>
                <w:noProof/>
                <w:webHidden/>
              </w:rPr>
              <w:fldChar w:fldCharType="begin"/>
            </w:r>
            <w:r w:rsidR="00A16B9C">
              <w:rPr>
                <w:noProof/>
                <w:webHidden/>
              </w:rPr>
              <w:instrText xml:space="preserve"> PAGEREF _Toc118377755 \h </w:instrText>
            </w:r>
            <w:r w:rsidR="00A16B9C">
              <w:rPr>
                <w:noProof/>
                <w:webHidden/>
              </w:rPr>
            </w:r>
            <w:r w:rsidR="00A16B9C">
              <w:rPr>
                <w:noProof/>
                <w:webHidden/>
              </w:rPr>
              <w:fldChar w:fldCharType="separate"/>
            </w:r>
            <w:r w:rsidR="00A16B9C">
              <w:rPr>
                <w:noProof/>
                <w:webHidden/>
              </w:rPr>
              <w:t>65</w:t>
            </w:r>
            <w:r w:rsidR="00A16B9C">
              <w:rPr>
                <w:noProof/>
                <w:webHidden/>
              </w:rPr>
              <w:fldChar w:fldCharType="end"/>
            </w:r>
          </w:hyperlink>
        </w:p>
        <w:p w14:paraId="30645C87" w14:textId="3537F2A1" w:rsidR="00A16B9C" w:rsidRDefault="00000000">
          <w:pPr>
            <w:pStyle w:val="TOC2"/>
            <w:tabs>
              <w:tab w:val="right" w:leader="dot" w:pos="9350"/>
            </w:tabs>
            <w:rPr>
              <w:rFonts w:eastAsiaTheme="minorEastAsia"/>
              <w:noProof/>
            </w:rPr>
          </w:pPr>
          <w:hyperlink w:anchor="_Toc118377756" w:history="1">
            <w:r w:rsidR="00A16B9C" w:rsidRPr="00C554E8">
              <w:rPr>
                <w:rStyle w:val="Hyperlink"/>
                <w:rFonts w:ascii="Bookman Old Style" w:hAnsi="Bookman Old Style"/>
                <w:noProof/>
              </w:rPr>
              <w:t>Clement of Alexandria.</w:t>
            </w:r>
            <w:r w:rsidR="00A16B9C">
              <w:rPr>
                <w:noProof/>
                <w:webHidden/>
              </w:rPr>
              <w:tab/>
            </w:r>
            <w:r w:rsidR="00A16B9C">
              <w:rPr>
                <w:noProof/>
                <w:webHidden/>
              </w:rPr>
              <w:fldChar w:fldCharType="begin"/>
            </w:r>
            <w:r w:rsidR="00A16B9C">
              <w:rPr>
                <w:noProof/>
                <w:webHidden/>
              </w:rPr>
              <w:instrText xml:space="preserve"> PAGEREF _Toc118377756 \h </w:instrText>
            </w:r>
            <w:r w:rsidR="00A16B9C">
              <w:rPr>
                <w:noProof/>
                <w:webHidden/>
              </w:rPr>
            </w:r>
            <w:r w:rsidR="00A16B9C">
              <w:rPr>
                <w:noProof/>
                <w:webHidden/>
              </w:rPr>
              <w:fldChar w:fldCharType="separate"/>
            </w:r>
            <w:r w:rsidR="00A16B9C">
              <w:rPr>
                <w:noProof/>
                <w:webHidden/>
              </w:rPr>
              <w:t>68</w:t>
            </w:r>
            <w:r w:rsidR="00A16B9C">
              <w:rPr>
                <w:noProof/>
                <w:webHidden/>
              </w:rPr>
              <w:fldChar w:fldCharType="end"/>
            </w:r>
          </w:hyperlink>
        </w:p>
        <w:p w14:paraId="153E74D2" w14:textId="7B37B2CD" w:rsidR="00A16B9C" w:rsidRDefault="00000000">
          <w:pPr>
            <w:pStyle w:val="TOC1"/>
            <w:tabs>
              <w:tab w:val="right" w:leader="dot" w:pos="9350"/>
            </w:tabs>
            <w:rPr>
              <w:rFonts w:eastAsiaTheme="minorEastAsia"/>
              <w:noProof/>
            </w:rPr>
          </w:pPr>
          <w:hyperlink w:anchor="_Toc118377757" w:history="1">
            <w:r w:rsidR="00A16B9C" w:rsidRPr="00C554E8">
              <w:rPr>
                <w:rStyle w:val="Hyperlink"/>
                <w:rFonts w:ascii="Bookman Old Style" w:hAnsi="Bookman Old Style"/>
                <w:noProof/>
              </w:rPr>
              <w:t>10. Origen.</w:t>
            </w:r>
            <w:r w:rsidR="00A16B9C">
              <w:rPr>
                <w:noProof/>
                <w:webHidden/>
              </w:rPr>
              <w:tab/>
            </w:r>
            <w:r w:rsidR="00A16B9C">
              <w:rPr>
                <w:noProof/>
                <w:webHidden/>
              </w:rPr>
              <w:fldChar w:fldCharType="begin"/>
            </w:r>
            <w:r w:rsidR="00A16B9C">
              <w:rPr>
                <w:noProof/>
                <w:webHidden/>
              </w:rPr>
              <w:instrText xml:space="preserve"> PAGEREF _Toc118377757 \h </w:instrText>
            </w:r>
            <w:r w:rsidR="00A16B9C">
              <w:rPr>
                <w:noProof/>
                <w:webHidden/>
              </w:rPr>
            </w:r>
            <w:r w:rsidR="00A16B9C">
              <w:rPr>
                <w:noProof/>
                <w:webHidden/>
              </w:rPr>
              <w:fldChar w:fldCharType="separate"/>
            </w:r>
            <w:r w:rsidR="00A16B9C">
              <w:rPr>
                <w:noProof/>
                <w:webHidden/>
              </w:rPr>
              <w:t>78</w:t>
            </w:r>
            <w:r w:rsidR="00A16B9C">
              <w:rPr>
                <w:noProof/>
                <w:webHidden/>
              </w:rPr>
              <w:fldChar w:fldCharType="end"/>
            </w:r>
          </w:hyperlink>
        </w:p>
        <w:p w14:paraId="18146499" w14:textId="28545E73" w:rsidR="00A16B9C" w:rsidRDefault="00000000">
          <w:pPr>
            <w:pStyle w:val="TOC2"/>
            <w:tabs>
              <w:tab w:val="right" w:leader="dot" w:pos="9350"/>
            </w:tabs>
            <w:rPr>
              <w:rFonts w:eastAsiaTheme="minorEastAsia"/>
              <w:noProof/>
            </w:rPr>
          </w:pPr>
          <w:hyperlink w:anchor="_Toc118377758" w:history="1">
            <w:r w:rsidR="00A16B9C" w:rsidRPr="00C554E8">
              <w:rPr>
                <w:rStyle w:val="Hyperlink"/>
                <w:rFonts w:ascii="Bookman Old Style" w:hAnsi="Bookman Old Style"/>
                <w:noProof/>
              </w:rPr>
              <w:t>Quotation of Origen's Language.</w:t>
            </w:r>
            <w:r w:rsidR="00A16B9C">
              <w:rPr>
                <w:noProof/>
                <w:webHidden/>
              </w:rPr>
              <w:tab/>
            </w:r>
            <w:r w:rsidR="00A16B9C">
              <w:rPr>
                <w:noProof/>
                <w:webHidden/>
              </w:rPr>
              <w:fldChar w:fldCharType="begin"/>
            </w:r>
            <w:r w:rsidR="00A16B9C">
              <w:rPr>
                <w:noProof/>
                <w:webHidden/>
              </w:rPr>
              <w:instrText xml:space="preserve"> PAGEREF _Toc118377758 \h </w:instrText>
            </w:r>
            <w:r w:rsidR="00A16B9C">
              <w:rPr>
                <w:noProof/>
                <w:webHidden/>
              </w:rPr>
            </w:r>
            <w:r w:rsidR="00A16B9C">
              <w:rPr>
                <w:noProof/>
                <w:webHidden/>
              </w:rPr>
              <w:fldChar w:fldCharType="separate"/>
            </w:r>
            <w:r w:rsidR="00A16B9C">
              <w:rPr>
                <w:noProof/>
                <w:webHidden/>
              </w:rPr>
              <w:t>86</w:t>
            </w:r>
            <w:r w:rsidR="00A16B9C">
              <w:rPr>
                <w:noProof/>
                <w:webHidden/>
              </w:rPr>
              <w:fldChar w:fldCharType="end"/>
            </w:r>
          </w:hyperlink>
        </w:p>
        <w:p w14:paraId="6163FFEC" w14:textId="6668A741" w:rsidR="00A16B9C" w:rsidRDefault="00000000">
          <w:pPr>
            <w:pStyle w:val="TOC2"/>
            <w:tabs>
              <w:tab w:val="right" w:leader="dot" w:pos="9350"/>
            </w:tabs>
            <w:rPr>
              <w:rFonts w:eastAsiaTheme="minorEastAsia"/>
              <w:noProof/>
            </w:rPr>
          </w:pPr>
          <w:hyperlink w:anchor="_Toc118377759" w:history="1">
            <w:r w:rsidR="00A16B9C" w:rsidRPr="00C554E8">
              <w:rPr>
                <w:rStyle w:val="Hyperlink"/>
                <w:rFonts w:ascii="Bookman Old Style" w:hAnsi="Bookman Old Style"/>
                <w:noProof/>
              </w:rPr>
              <w:t>Origen on the Purifying Fire.</w:t>
            </w:r>
            <w:r w:rsidR="00A16B9C">
              <w:rPr>
                <w:noProof/>
                <w:webHidden/>
              </w:rPr>
              <w:tab/>
            </w:r>
            <w:r w:rsidR="00A16B9C">
              <w:rPr>
                <w:noProof/>
                <w:webHidden/>
              </w:rPr>
              <w:fldChar w:fldCharType="begin"/>
            </w:r>
            <w:r w:rsidR="00A16B9C">
              <w:rPr>
                <w:noProof/>
                <w:webHidden/>
              </w:rPr>
              <w:instrText xml:space="preserve"> PAGEREF _Toc118377759 \h </w:instrText>
            </w:r>
            <w:r w:rsidR="00A16B9C">
              <w:rPr>
                <w:noProof/>
                <w:webHidden/>
              </w:rPr>
            </w:r>
            <w:r w:rsidR="00A16B9C">
              <w:rPr>
                <w:noProof/>
                <w:webHidden/>
              </w:rPr>
              <w:fldChar w:fldCharType="separate"/>
            </w:r>
            <w:r w:rsidR="00A16B9C">
              <w:rPr>
                <w:noProof/>
                <w:webHidden/>
              </w:rPr>
              <w:t>88</w:t>
            </w:r>
            <w:r w:rsidR="00A16B9C">
              <w:rPr>
                <w:noProof/>
                <w:webHidden/>
              </w:rPr>
              <w:fldChar w:fldCharType="end"/>
            </w:r>
          </w:hyperlink>
        </w:p>
        <w:p w14:paraId="545DDF5E" w14:textId="395ECD89" w:rsidR="00A16B9C" w:rsidRDefault="00000000">
          <w:pPr>
            <w:pStyle w:val="TOC2"/>
            <w:tabs>
              <w:tab w:val="right" w:leader="dot" w:pos="9350"/>
            </w:tabs>
            <w:rPr>
              <w:rFonts w:eastAsiaTheme="minorEastAsia"/>
              <w:noProof/>
            </w:rPr>
          </w:pPr>
          <w:hyperlink w:anchor="_Toc118377760" w:history="1">
            <w:r w:rsidR="00A16B9C" w:rsidRPr="00C554E8">
              <w:rPr>
                <w:rStyle w:val="Hyperlink"/>
                <w:rFonts w:ascii="Bookman Old Style" w:hAnsi="Bookman Old Style"/>
                <w:noProof/>
              </w:rPr>
              <w:t>Translation of Origen's Language on Universal Restoration.</w:t>
            </w:r>
            <w:r w:rsidR="00A16B9C">
              <w:rPr>
                <w:noProof/>
                <w:webHidden/>
              </w:rPr>
              <w:tab/>
            </w:r>
            <w:r w:rsidR="00A16B9C">
              <w:rPr>
                <w:noProof/>
                <w:webHidden/>
              </w:rPr>
              <w:fldChar w:fldCharType="begin"/>
            </w:r>
            <w:r w:rsidR="00A16B9C">
              <w:rPr>
                <w:noProof/>
                <w:webHidden/>
              </w:rPr>
              <w:instrText xml:space="preserve"> PAGEREF _Toc118377760 \h </w:instrText>
            </w:r>
            <w:r w:rsidR="00A16B9C">
              <w:rPr>
                <w:noProof/>
                <w:webHidden/>
              </w:rPr>
            </w:r>
            <w:r w:rsidR="00A16B9C">
              <w:rPr>
                <w:noProof/>
                <w:webHidden/>
              </w:rPr>
              <w:fldChar w:fldCharType="separate"/>
            </w:r>
            <w:r w:rsidR="00A16B9C">
              <w:rPr>
                <w:noProof/>
                <w:webHidden/>
              </w:rPr>
              <w:t>92</w:t>
            </w:r>
            <w:r w:rsidR="00A16B9C">
              <w:rPr>
                <w:noProof/>
                <w:webHidden/>
              </w:rPr>
              <w:fldChar w:fldCharType="end"/>
            </w:r>
          </w:hyperlink>
        </w:p>
        <w:p w14:paraId="304F02CC" w14:textId="265E861F" w:rsidR="00A16B9C" w:rsidRDefault="00000000">
          <w:pPr>
            <w:pStyle w:val="TOC1"/>
            <w:tabs>
              <w:tab w:val="right" w:leader="dot" w:pos="9350"/>
            </w:tabs>
            <w:rPr>
              <w:rFonts w:eastAsiaTheme="minorEastAsia"/>
              <w:noProof/>
            </w:rPr>
          </w:pPr>
          <w:hyperlink w:anchor="_Toc118377761" w:history="1">
            <w:r w:rsidR="00A16B9C" w:rsidRPr="00C554E8">
              <w:rPr>
                <w:rStyle w:val="Hyperlink"/>
                <w:rFonts w:ascii="Bookman Old Style" w:hAnsi="Bookman Old Style"/>
                <w:noProof/>
              </w:rPr>
              <w:t>11. Origen (Continued).</w:t>
            </w:r>
            <w:r w:rsidR="00A16B9C">
              <w:rPr>
                <w:noProof/>
                <w:webHidden/>
              </w:rPr>
              <w:tab/>
            </w:r>
            <w:r w:rsidR="00A16B9C">
              <w:rPr>
                <w:noProof/>
                <w:webHidden/>
              </w:rPr>
              <w:fldChar w:fldCharType="begin"/>
            </w:r>
            <w:r w:rsidR="00A16B9C">
              <w:rPr>
                <w:noProof/>
                <w:webHidden/>
              </w:rPr>
              <w:instrText xml:space="preserve"> PAGEREF _Toc118377761 \h </w:instrText>
            </w:r>
            <w:r w:rsidR="00A16B9C">
              <w:rPr>
                <w:noProof/>
                <w:webHidden/>
              </w:rPr>
            </w:r>
            <w:r w:rsidR="00A16B9C">
              <w:rPr>
                <w:noProof/>
                <w:webHidden/>
              </w:rPr>
              <w:fldChar w:fldCharType="separate"/>
            </w:r>
            <w:r w:rsidR="00A16B9C">
              <w:rPr>
                <w:noProof/>
                <w:webHidden/>
              </w:rPr>
              <w:t>96</w:t>
            </w:r>
            <w:r w:rsidR="00A16B9C">
              <w:rPr>
                <w:noProof/>
                <w:webHidden/>
              </w:rPr>
              <w:fldChar w:fldCharType="end"/>
            </w:r>
          </w:hyperlink>
        </w:p>
        <w:p w14:paraId="622B2A4B" w14:textId="66DE9F0E" w:rsidR="00A16B9C" w:rsidRDefault="00000000">
          <w:pPr>
            <w:pStyle w:val="TOC2"/>
            <w:tabs>
              <w:tab w:val="right" w:leader="dot" w:pos="9350"/>
            </w:tabs>
            <w:rPr>
              <w:rFonts w:eastAsiaTheme="minorEastAsia"/>
              <w:noProof/>
            </w:rPr>
          </w:pPr>
          <w:hyperlink w:anchor="_Toc118377762" w:history="1">
            <w:r w:rsidR="00A16B9C" w:rsidRPr="00C554E8">
              <w:rPr>
                <w:rStyle w:val="Hyperlink"/>
                <w:rFonts w:ascii="Bookman Old Style" w:hAnsi="Bookman Old Style"/>
                <w:noProof/>
              </w:rPr>
              <w:t>Origen's Theology Generally Accepted.</w:t>
            </w:r>
            <w:r w:rsidR="00A16B9C">
              <w:rPr>
                <w:noProof/>
                <w:webHidden/>
              </w:rPr>
              <w:tab/>
            </w:r>
            <w:r w:rsidR="00A16B9C">
              <w:rPr>
                <w:noProof/>
                <w:webHidden/>
              </w:rPr>
              <w:fldChar w:fldCharType="begin"/>
            </w:r>
            <w:r w:rsidR="00A16B9C">
              <w:rPr>
                <w:noProof/>
                <w:webHidden/>
              </w:rPr>
              <w:instrText xml:space="preserve"> PAGEREF _Toc118377762 \h </w:instrText>
            </w:r>
            <w:r w:rsidR="00A16B9C">
              <w:rPr>
                <w:noProof/>
                <w:webHidden/>
              </w:rPr>
            </w:r>
            <w:r w:rsidR="00A16B9C">
              <w:rPr>
                <w:noProof/>
                <w:webHidden/>
              </w:rPr>
              <w:fldChar w:fldCharType="separate"/>
            </w:r>
            <w:r w:rsidR="00A16B9C">
              <w:rPr>
                <w:noProof/>
                <w:webHidden/>
              </w:rPr>
              <w:t>97</w:t>
            </w:r>
            <w:r w:rsidR="00A16B9C">
              <w:rPr>
                <w:noProof/>
                <w:webHidden/>
              </w:rPr>
              <w:fldChar w:fldCharType="end"/>
            </w:r>
          </w:hyperlink>
        </w:p>
        <w:p w14:paraId="2D026573" w14:textId="7EA5B1D3" w:rsidR="00A16B9C" w:rsidRDefault="00000000">
          <w:pPr>
            <w:pStyle w:val="TOC2"/>
            <w:tabs>
              <w:tab w:val="right" w:leader="dot" w:pos="9350"/>
            </w:tabs>
            <w:rPr>
              <w:rFonts w:eastAsiaTheme="minorEastAsia"/>
              <w:noProof/>
            </w:rPr>
          </w:pPr>
          <w:hyperlink w:anchor="_Toc118377763" w:history="1">
            <w:r w:rsidR="00A16B9C" w:rsidRPr="00C554E8">
              <w:rPr>
                <w:rStyle w:val="Hyperlink"/>
                <w:rFonts w:ascii="Bookman Old Style" w:hAnsi="Bookman Old Style"/>
                <w:noProof/>
              </w:rPr>
              <w:t>Ancient Universalist Schools.</w:t>
            </w:r>
            <w:r w:rsidR="00A16B9C">
              <w:rPr>
                <w:noProof/>
                <w:webHidden/>
              </w:rPr>
              <w:tab/>
            </w:r>
            <w:r w:rsidR="00A16B9C">
              <w:rPr>
                <w:noProof/>
                <w:webHidden/>
              </w:rPr>
              <w:fldChar w:fldCharType="begin"/>
            </w:r>
            <w:r w:rsidR="00A16B9C">
              <w:rPr>
                <w:noProof/>
                <w:webHidden/>
              </w:rPr>
              <w:instrText xml:space="preserve"> PAGEREF _Toc118377763 \h </w:instrText>
            </w:r>
            <w:r w:rsidR="00A16B9C">
              <w:rPr>
                <w:noProof/>
                <w:webHidden/>
              </w:rPr>
            </w:r>
            <w:r w:rsidR="00A16B9C">
              <w:rPr>
                <w:noProof/>
                <w:webHidden/>
              </w:rPr>
              <w:fldChar w:fldCharType="separate"/>
            </w:r>
            <w:r w:rsidR="00A16B9C">
              <w:rPr>
                <w:noProof/>
                <w:webHidden/>
              </w:rPr>
              <w:t>99</w:t>
            </w:r>
            <w:r w:rsidR="00A16B9C">
              <w:rPr>
                <w:noProof/>
                <w:webHidden/>
              </w:rPr>
              <w:fldChar w:fldCharType="end"/>
            </w:r>
          </w:hyperlink>
        </w:p>
        <w:p w14:paraId="4FFABD53" w14:textId="67A87DEF" w:rsidR="00A16B9C" w:rsidRDefault="00000000">
          <w:pPr>
            <w:pStyle w:val="TOC1"/>
            <w:tabs>
              <w:tab w:val="right" w:leader="dot" w:pos="9350"/>
            </w:tabs>
            <w:rPr>
              <w:rFonts w:eastAsiaTheme="minorEastAsia"/>
              <w:noProof/>
            </w:rPr>
          </w:pPr>
          <w:hyperlink w:anchor="_Toc118377764" w:history="1">
            <w:r w:rsidR="00A16B9C" w:rsidRPr="00C554E8">
              <w:rPr>
                <w:rStyle w:val="Hyperlink"/>
                <w:rFonts w:ascii="Bookman Old Style" w:hAnsi="Bookman Old Style"/>
                <w:noProof/>
              </w:rPr>
              <w:t>12. The Eulogists of Origen.</w:t>
            </w:r>
            <w:r w:rsidR="00A16B9C">
              <w:rPr>
                <w:noProof/>
                <w:webHidden/>
              </w:rPr>
              <w:tab/>
            </w:r>
            <w:r w:rsidR="00A16B9C">
              <w:rPr>
                <w:noProof/>
                <w:webHidden/>
              </w:rPr>
              <w:fldChar w:fldCharType="begin"/>
            </w:r>
            <w:r w:rsidR="00A16B9C">
              <w:rPr>
                <w:noProof/>
                <w:webHidden/>
              </w:rPr>
              <w:instrText xml:space="preserve"> PAGEREF _Toc118377764 \h </w:instrText>
            </w:r>
            <w:r w:rsidR="00A16B9C">
              <w:rPr>
                <w:noProof/>
                <w:webHidden/>
              </w:rPr>
            </w:r>
            <w:r w:rsidR="00A16B9C">
              <w:rPr>
                <w:noProof/>
                <w:webHidden/>
              </w:rPr>
              <w:fldChar w:fldCharType="separate"/>
            </w:r>
            <w:r w:rsidR="00A16B9C">
              <w:rPr>
                <w:noProof/>
                <w:webHidden/>
              </w:rPr>
              <w:t>104</w:t>
            </w:r>
            <w:r w:rsidR="00A16B9C">
              <w:rPr>
                <w:noProof/>
                <w:webHidden/>
              </w:rPr>
              <w:fldChar w:fldCharType="end"/>
            </w:r>
          </w:hyperlink>
        </w:p>
        <w:p w14:paraId="613DFD1B" w14:textId="117EFA97" w:rsidR="00A16B9C" w:rsidRDefault="00000000">
          <w:pPr>
            <w:pStyle w:val="TOC1"/>
            <w:tabs>
              <w:tab w:val="right" w:leader="dot" w:pos="9350"/>
            </w:tabs>
            <w:rPr>
              <w:rFonts w:eastAsiaTheme="minorEastAsia"/>
              <w:noProof/>
            </w:rPr>
          </w:pPr>
          <w:hyperlink w:anchor="_Toc118377765" w:history="1">
            <w:r w:rsidR="00A16B9C" w:rsidRPr="00C554E8">
              <w:rPr>
                <w:rStyle w:val="Hyperlink"/>
                <w:rFonts w:ascii="Bookman Old Style" w:hAnsi="Bookman Old Style"/>
                <w:noProof/>
              </w:rPr>
              <w:t>13. A Third Century Group.</w:t>
            </w:r>
            <w:r w:rsidR="00A16B9C">
              <w:rPr>
                <w:noProof/>
                <w:webHidden/>
              </w:rPr>
              <w:tab/>
            </w:r>
            <w:r w:rsidR="00A16B9C">
              <w:rPr>
                <w:noProof/>
                <w:webHidden/>
              </w:rPr>
              <w:fldChar w:fldCharType="begin"/>
            </w:r>
            <w:r w:rsidR="00A16B9C">
              <w:rPr>
                <w:noProof/>
                <w:webHidden/>
              </w:rPr>
              <w:instrText xml:space="preserve"> PAGEREF _Toc118377765 \h </w:instrText>
            </w:r>
            <w:r w:rsidR="00A16B9C">
              <w:rPr>
                <w:noProof/>
                <w:webHidden/>
              </w:rPr>
            </w:r>
            <w:r w:rsidR="00A16B9C">
              <w:rPr>
                <w:noProof/>
                <w:webHidden/>
              </w:rPr>
              <w:fldChar w:fldCharType="separate"/>
            </w:r>
            <w:r w:rsidR="00A16B9C">
              <w:rPr>
                <w:noProof/>
                <w:webHidden/>
              </w:rPr>
              <w:t>108</w:t>
            </w:r>
            <w:r w:rsidR="00A16B9C">
              <w:rPr>
                <w:noProof/>
                <w:webHidden/>
              </w:rPr>
              <w:fldChar w:fldCharType="end"/>
            </w:r>
          </w:hyperlink>
        </w:p>
        <w:p w14:paraId="2223DA7D" w14:textId="087791AA" w:rsidR="00A16B9C" w:rsidRDefault="00000000">
          <w:pPr>
            <w:pStyle w:val="TOC2"/>
            <w:tabs>
              <w:tab w:val="right" w:leader="dot" w:pos="9350"/>
            </w:tabs>
            <w:rPr>
              <w:rFonts w:eastAsiaTheme="minorEastAsia"/>
              <w:noProof/>
            </w:rPr>
          </w:pPr>
          <w:hyperlink w:anchor="_Toc118377766" w:history="1">
            <w:r w:rsidR="00A16B9C" w:rsidRPr="00C554E8">
              <w:rPr>
                <w:rStyle w:val="Hyperlink"/>
                <w:rFonts w:ascii="Bookman Old Style" w:hAnsi="Bookman Old Style"/>
                <w:noProof/>
              </w:rPr>
              <w:t>Hippolytus.</w:t>
            </w:r>
            <w:r w:rsidR="00A16B9C">
              <w:rPr>
                <w:noProof/>
                <w:webHidden/>
              </w:rPr>
              <w:tab/>
            </w:r>
            <w:r w:rsidR="00A16B9C">
              <w:rPr>
                <w:noProof/>
                <w:webHidden/>
              </w:rPr>
              <w:fldChar w:fldCharType="begin"/>
            </w:r>
            <w:r w:rsidR="00A16B9C">
              <w:rPr>
                <w:noProof/>
                <w:webHidden/>
              </w:rPr>
              <w:instrText xml:space="preserve"> PAGEREF _Toc118377766 \h </w:instrText>
            </w:r>
            <w:r w:rsidR="00A16B9C">
              <w:rPr>
                <w:noProof/>
                <w:webHidden/>
              </w:rPr>
            </w:r>
            <w:r w:rsidR="00A16B9C">
              <w:rPr>
                <w:noProof/>
                <w:webHidden/>
              </w:rPr>
              <w:fldChar w:fldCharType="separate"/>
            </w:r>
            <w:r w:rsidR="00A16B9C">
              <w:rPr>
                <w:noProof/>
                <w:webHidden/>
              </w:rPr>
              <w:t>108</w:t>
            </w:r>
            <w:r w:rsidR="00A16B9C">
              <w:rPr>
                <w:noProof/>
                <w:webHidden/>
              </w:rPr>
              <w:fldChar w:fldCharType="end"/>
            </w:r>
          </w:hyperlink>
        </w:p>
        <w:p w14:paraId="5481B38B" w14:textId="3B14EC52" w:rsidR="00A16B9C" w:rsidRDefault="00000000">
          <w:pPr>
            <w:pStyle w:val="TOC2"/>
            <w:tabs>
              <w:tab w:val="right" w:leader="dot" w:pos="9350"/>
            </w:tabs>
            <w:rPr>
              <w:rFonts w:eastAsiaTheme="minorEastAsia"/>
              <w:noProof/>
            </w:rPr>
          </w:pPr>
          <w:hyperlink w:anchor="_Toc118377767" w:history="1">
            <w:r w:rsidR="00A16B9C" w:rsidRPr="00C554E8">
              <w:rPr>
                <w:rStyle w:val="Hyperlink"/>
                <w:rFonts w:ascii="Bookman Old Style" w:hAnsi="Bookman Old Style"/>
                <w:noProof/>
              </w:rPr>
              <w:t>Theophilus.</w:t>
            </w:r>
            <w:r w:rsidR="00A16B9C">
              <w:rPr>
                <w:noProof/>
                <w:webHidden/>
              </w:rPr>
              <w:tab/>
            </w:r>
            <w:r w:rsidR="00A16B9C">
              <w:rPr>
                <w:noProof/>
                <w:webHidden/>
              </w:rPr>
              <w:fldChar w:fldCharType="begin"/>
            </w:r>
            <w:r w:rsidR="00A16B9C">
              <w:rPr>
                <w:noProof/>
                <w:webHidden/>
              </w:rPr>
              <w:instrText xml:space="preserve"> PAGEREF _Toc118377767 \h </w:instrText>
            </w:r>
            <w:r w:rsidR="00A16B9C">
              <w:rPr>
                <w:noProof/>
                <w:webHidden/>
              </w:rPr>
            </w:r>
            <w:r w:rsidR="00A16B9C">
              <w:rPr>
                <w:noProof/>
                <w:webHidden/>
              </w:rPr>
              <w:fldChar w:fldCharType="separate"/>
            </w:r>
            <w:r w:rsidR="00A16B9C">
              <w:rPr>
                <w:noProof/>
                <w:webHidden/>
              </w:rPr>
              <w:t>109</w:t>
            </w:r>
            <w:r w:rsidR="00A16B9C">
              <w:rPr>
                <w:noProof/>
                <w:webHidden/>
              </w:rPr>
              <w:fldChar w:fldCharType="end"/>
            </w:r>
          </w:hyperlink>
        </w:p>
        <w:p w14:paraId="0ED1B5F0" w14:textId="30CC74D4" w:rsidR="00A16B9C" w:rsidRDefault="00000000">
          <w:pPr>
            <w:pStyle w:val="TOC2"/>
            <w:tabs>
              <w:tab w:val="right" w:leader="dot" w:pos="9350"/>
            </w:tabs>
            <w:rPr>
              <w:rFonts w:eastAsiaTheme="minorEastAsia"/>
              <w:noProof/>
            </w:rPr>
          </w:pPr>
          <w:hyperlink w:anchor="_Toc118377768" w:history="1">
            <w:r w:rsidR="00A16B9C" w:rsidRPr="00C554E8">
              <w:rPr>
                <w:rStyle w:val="Hyperlink"/>
                <w:rFonts w:ascii="Bookman Old Style" w:hAnsi="Bookman Old Style"/>
                <w:noProof/>
              </w:rPr>
              <w:t>Tertullian.</w:t>
            </w:r>
            <w:r w:rsidR="00A16B9C">
              <w:rPr>
                <w:noProof/>
                <w:webHidden/>
              </w:rPr>
              <w:tab/>
            </w:r>
            <w:r w:rsidR="00A16B9C">
              <w:rPr>
                <w:noProof/>
                <w:webHidden/>
              </w:rPr>
              <w:fldChar w:fldCharType="begin"/>
            </w:r>
            <w:r w:rsidR="00A16B9C">
              <w:rPr>
                <w:noProof/>
                <w:webHidden/>
              </w:rPr>
              <w:instrText xml:space="preserve"> PAGEREF _Toc118377768 \h </w:instrText>
            </w:r>
            <w:r w:rsidR="00A16B9C">
              <w:rPr>
                <w:noProof/>
                <w:webHidden/>
              </w:rPr>
            </w:r>
            <w:r w:rsidR="00A16B9C">
              <w:rPr>
                <w:noProof/>
                <w:webHidden/>
              </w:rPr>
              <w:fldChar w:fldCharType="separate"/>
            </w:r>
            <w:r w:rsidR="00A16B9C">
              <w:rPr>
                <w:noProof/>
                <w:webHidden/>
              </w:rPr>
              <w:t>109</w:t>
            </w:r>
            <w:r w:rsidR="00A16B9C">
              <w:rPr>
                <w:noProof/>
                <w:webHidden/>
              </w:rPr>
              <w:fldChar w:fldCharType="end"/>
            </w:r>
          </w:hyperlink>
        </w:p>
        <w:p w14:paraId="1E3D74E2" w14:textId="5F753082" w:rsidR="00A16B9C" w:rsidRDefault="00000000">
          <w:pPr>
            <w:pStyle w:val="TOC2"/>
            <w:tabs>
              <w:tab w:val="right" w:leader="dot" w:pos="9350"/>
            </w:tabs>
            <w:rPr>
              <w:rFonts w:eastAsiaTheme="minorEastAsia"/>
              <w:noProof/>
            </w:rPr>
          </w:pPr>
          <w:hyperlink w:anchor="_Toc118377769" w:history="1">
            <w:r w:rsidR="00A16B9C" w:rsidRPr="00C554E8">
              <w:rPr>
                <w:rStyle w:val="Hyperlink"/>
                <w:rFonts w:ascii="Bookman Old Style" w:hAnsi="Bookman Old Style"/>
                <w:noProof/>
              </w:rPr>
              <w:t>Ambrose of Alexandria.</w:t>
            </w:r>
            <w:r w:rsidR="00A16B9C">
              <w:rPr>
                <w:noProof/>
                <w:webHidden/>
              </w:rPr>
              <w:tab/>
            </w:r>
            <w:r w:rsidR="00A16B9C">
              <w:rPr>
                <w:noProof/>
                <w:webHidden/>
              </w:rPr>
              <w:fldChar w:fldCharType="begin"/>
            </w:r>
            <w:r w:rsidR="00A16B9C">
              <w:rPr>
                <w:noProof/>
                <w:webHidden/>
              </w:rPr>
              <w:instrText xml:space="preserve"> PAGEREF _Toc118377769 \h </w:instrText>
            </w:r>
            <w:r w:rsidR="00A16B9C">
              <w:rPr>
                <w:noProof/>
                <w:webHidden/>
              </w:rPr>
            </w:r>
            <w:r w:rsidR="00A16B9C">
              <w:rPr>
                <w:noProof/>
                <w:webHidden/>
              </w:rPr>
              <w:fldChar w:fldCharType="separate"/>
            </w:r>
            <w:r w:rsidR="00A16B9C">
              <w:rPr>
                <w:noProof/>
                <w:webHidden/>
              </w:rPr>
              <w:t>111</w:t>
            </w:r>
            <w:r w:rsidR="00A16B9C">
              <w:rPr>
                <w:noProof/>
                <w:webHidden/>
              </w:rPr>
              <w:fldChar w:fldCharType="end"/>
            </w:r>
          </w:hyperlink>
        </w:p>
        <w:p w14:paraId="36B9BA86" w14:textId="693050A0" w:rsidR="00A16B9C" w:rsidRDefault="00000000">
          <w:pPr>
            <w:pStyle w:val="TOC2"/>
            <w:tabs>
              <w:tab w:val="right" w:leader="dot" w:pos="9350"/>
            </w:tabs>
            <w:rPr>
              <w:rFonts w:eastAsiaTheme="minorEastAsia"/>
              <w:noProof/>
            </w:rPr>
          </w:pPr>
          <w:hyperlink w:anchor="_Toc118377770" w:history="1">
            <w:r w:rsidR="00A16B9C" w:rsidRPr="00C554E8">
              <w:rPr>
                <w:rStyle w:val="Hyperlink"/>
                <w:rFonts w:ascii="Bookman Old Style" w:hAnsi="Bookman Old Style"/>
                <w:noProof/>
              </w:rPr>
              <w:t>The Manichaeans.</w:t>
            </w:r>
            <w:r w:rsidR="00A16B9C">
              <w:rPr>
                <w:noProof/>
                <w:webHidden/>
              </w:rPr>
              <w:tab/>
            </w:r>
            <w:r w:rsidR="00A16B9C">
              <w:rPr>
                <w:noProof/>
                <w:webHidden/>
              </w:rPr>
              <w:fldChar w:fldCharType="begin"/>
            </w:r>
            <w:r w:rsidR="00A16B9C">
              <w:rPr>
                <w:noProof/>
                <w:webHidden/>
              </w:rPr>
              <w:instrText xml:space="preserve"> PAGEREF _Toc118377770 \h </w:instrText>
            </w:r>
            <w:r w:rsidR="00A16B9C">
              <w:rPr>
                <w:noProof/>
                <w:webHidden/>
              </w:rPr>
            </w:r>
            <w:r w:rsidR="00A16B9C">
              <w:rPr>
                <w:noProof/>
                <w:webHidden/>
              </w:rPr>
              <w:fldChar w:fldCharType="separate"/>
            </w:r>
            <w:r w:rsidR="00A16B9C">
              <w:rPr>
                <w:noProof/>
                <w:webHidden/>
              </w:rPr>
              <w:t>111</w:t>
            </w:r>
            <w:r w:rsidR="00A16B9C">
              <w:rPr>
                <w:noProof/>
                <w:webHidden/>
              </w:rPr>
              <w:fldChar w:fldCharType="end"/>
            </w:r>
          </w:hyperlink>
        </w:p>
        <w:p w14:paraId="0E3577E8" w14:textId="4355DDBB" w:rsidR="00A16B9C" w:rsidRDefault="00000000">
          <w:pPr>
            <w:pStyle w:val="TOC1"/>
            <w:tabs>
              <w:tab w:val="right" w:leader="dot" w:pos="9350"/>
            </w:tabs>
            <w:rPr>
              <w:rFonts w:eastAsiaTheme="minorEastAsia"/>
              <w:noProof/>
            </w:rPr>
          </w:pPr>
          <w:hyperlink w:anchor="_Toc118377771" w:history="1">
            <w:r w:rsidR="00A16B9C" w:rsidRPr="00C554E8">
              <w:rPr>
                <w:rStyle w:val="Hyperlink"/>
                <w:rFonts w:ascii="Bookman Old Style" w:hAnsi="Bookman Old Style"/>
                <w:noProof/>
              </w:rPr>
              <w:t>14. Minor Authorities.</w:t>
            </w:r>
            <w:r w:rsidR="00A16B9C">
              <w:rPr>
                <w:noProof/>
                <w:webHidden/>
              </w:rPr>
              <w:tab/>
            </w:r>
            <w:r w:rsidR="00A16B9C">
              <w:rPr>
                <w:noProof/>
                <w:webHidden/>
              </w:rPr>
              <w:fldChar w:fldCharType="begin"/>
            </w:r>
            <w:r w:rsidR="00A16B9C">
              <w:rPr>
                <w:noProof/>
                <w:webHidden/>
              </w:rPr>
              <w:instrText xml:space="preserve"> PAGEREF _Toc118377771 \h </w:instrText>
            </w:r>
            <w:r w:rsidR="00A16B9C">
              <w:rPr>
                <w:noProof/>
                <w:webHidden/>
              </w:rPr>
            </w:r>
            <w:r w:rsidR="00A16B9C">
              <w:rPr>
                <w:noProof/>
                <w:webHidden/>
              </w:rPr>
              <w:fldChar w:fldCharType="separate"/>
            </w:r>
            <w:r w:rsidR="00A16B9C">
              <w:rPr>
                <w:noProof/>
                <w:webHidden/>
              </w:rPr>
              <w:t>114</w:t>
            </w:r>
            <w:r w:rsidR="00A16B9C">
              <w:rPr>
                <w:noProof/>
                <w:webHidden/>
              </w:rPr>
              <w:fldChar w:fldCharType="end"/>
            </w:r>
          </w:hyperlink>
        </w:p>
        <w:p w14:paraId="3445AEDD" w14:textId="571A5DCF" w:rsidR="00A16B9C" w:rsidRDefault="00000000">
          <w:pPr>
            <w:pStyle w:val="TOC2"/>
            <w:tabs>
              <w:tab w:val="right" w:leader="dot" w:pos="9350"/>
            </w:tabs>
            <w:rPr>
              <w:rFonts w:eastAsiaTheme="minorEastAsia"/>
              <w:noProof/>
            </w:rPr>
          </w:pPr>
          <w:hyperlink w:anchor="_Toc118377772" w:history="1">
            <w:r w:rsidR="00A16B9C" w:rsidRPr="00C554E8">
              <w:rPr>
                <w:rStyle w:val="Hyperlink"/>
                <w:rFonts w:ascii="Bookman Old Style" w:hAnsi="Bookman Old Style"/>
                <w:noProof/>
              </w:rPr>
              <w:t>Epiphanius.</w:t>
            </w:r>
            <w:r w:rsidR="00A16B9C">
              <w:rPr>
                <w:noProof/>
                <w:webHidden/>
              </w:rPr>
              <w:tab/>
            </w:r>
            <w:r w:rsidR="00A16B9C">
              <w:rPr>
                <w:noProof/>
                <w:webHidden/>
              </w:rPr>
              <w:fldChar w:fldCharType="begin"/>
            </w:r>
            <w:r w:rsidR="00A16B9C">
              <w:rPr>
                <w:noProof/>
                <w:webHidden/>
              </w:rPr>
              <w:instrText xml:space="preserve"> PAGEREF _Toc118377772 \h </w:instrText>
            </w:r>
            <w:r w:rsidR="00A16B9C">
              <w:rPr>
                <w:noProof/>
                <w:webHidden/>
              </w:rPr>
            </w:r>
            <w:r w:rsidR="00A16B9C">
              <w:rPr>
                <w:noProof/>
                <w:webHidden/>
              </w:rPr>
              <w:fldChar w:fldCharType="separate"/>
            </w:r>
            <w:r w:rsidR="00A16B9C">
              <w:rPr>
                <w:noProof/>
                <w:webHidden/>
              </w:rPr>
              <w:t>118</w:t>
            </w:r>
            <w:r w:rsidR="00A16B9C">
              <w:rPr>
                <w:noProof/>
                <w:webHidden/>
              </w:rPr>
              <w:fldChar w:fldCharType="end"/>
            </w:r>
          </w:hyperlink>
        </w:p>
        <w:p w14:paraId="705214DF" w14:textId="27FC371C" w:rsidR="00A16B9C" w:rsidRDefault="00000000">
          <w:pPr>
            <w:pStyle w:val="TOC1"/>
            <w:tabs>
              <w:tab w:val="right" w:leader="dot" w:pos="9350"/>
            </w:tabs>
            <w:rPr>
              <w:rFonts w:eastAsiaTheme="minorEastAsia"/>
              <w:noProof/>
            </w:rPr>
          </w:pPr>
          <w:hyperlink w:anchor="_Toc118377773" w:history="1">
            <w:r w:rsidR="00A16B9C" w:rsidRPr="00C554E8">
              <w:rPr>
                <w:rStyle w:val="Hyperlink"/>
                <w:rFonts w:ascii="Bookman Old Style" w:hAnsi="Bookman Old Style"/>
                <w:noProof/>
              </w:rPr>
              <w:t>15. Gregory Nazianzen.</w:t>
            </w:r>
            <w:r w:rsidR="00A16B9C">
              <w:rPr>
                <w:noProof/>
                <w:webHidden/>
              </w:rPr>
              <w:tab/>
            </w:r>
            <w:r w:rsidR="00A16B9C">
              <w:rPr>
                <w:noProof/>
                <w:webHidden/>
              </w:rPr>
              <w:fldChar w:fldCharType="begin"/>
            </w:r>
            <w:r w:rsidR="00A16B9C">
              <w:rPr>
                <w:noProof/>
                <w:webHidden/>
              </w:rPr>
              <w:instrText xml:space="preserve"> PAGEREF _Toc118377773 \h </w:instrText>
            </w:r>
            <w:r w:rsidR="00A16B9C">
              <w:rPr>
                <w:noProof/>
                <w:webHidden/>
              </w:rPr>
            </w:r>
            <w:r w:rsidR="00A16B9C">
              <w:rPr>
                <w:noProof/>
                <w:webHidden/>
              </w:rPr>
              <w:fldChar w:fldCharType="separate"/>
            </w:r>
            <w:r w:rsidR="00A16B9C">
              <w:rPr>
                <w:noProof/>
                <w:webHidden/>
              </w:rPr>
              <w:t>120</w:t>
            </w:r>
            <w:r w:rsidR="00A16B9C">
              <w:rPr>
                <w:noProof/>
                <w:webHidden/>
              </w:rPr>
              <w:fldChar w:fldCharType="end"/>
            </w:r>
          </w:hyperlink>
        </w:p>
        <w:p w14:paraId="17F79EE2" w14:textId="33FC520E" w:rsidR="00A16B9C" w:rsidRDefault="00000000">
          <w:pPr>
            <w:pStyle w:val="TOC1"/>
            <w:tabs>
              <w:tab w:val="right" w:leader="dot" w:pos="9350"/>
            </w:tabs>
            <w:rPr>
              <w:rFonts w:eastAsiaTheme="minorEastAsia"/>
              <w:noProof/>
            </w:rPr>
          </w:pPr>
          <w:hyperlink w:anchor="_Toc118377774" w:history="1">
            <w:r w:rsidR="00A16B9C" w:rsidRPr="00C554E8">
              <w:rPr>
                <w:rStyle w:val="Hyperlink"/>
                <w:rFonts w:ascii="Bookman Old Style" w:hAnsi="Bookman Old Style"/>
                <w:noProof/>
              </w:rPr>
              <w:t>16. Theodore of Mopsuestia and the Nestorians.</w:t>
            </w:r>
            <w:r w:rsidR="00A16B9C">
              <w:rPr>
                <w:noProof/>
                <w:webHidden/>
              </w:rPr>
              <w:tab/>
            </w:r>
            <w:r w:rsidR="00A16B9C">
              <w:rPr>
                <w:noProof/>
                <w:webHidden/>
              </w:rPr>
              <w:fldChar w:fldCharType="begin"/>
            </w:r>
            <w:r w:rsidR="00A16B9C">
              <w:rPr>
                <w:noProof/>
                <w:webHidden/>
              </w:rPr>
              <w:instrText xml:space="preserve"> PAGEREF _Toc118377774 \h </w:instrText>
            </w:r>
            <w:r w:rsidR="00A16B9C">
              <w:rPr>
                <w:noProof/>
                <w:webHidden/>
              </w:rPr>
            </w:r>
            <w:r w:rsidR="00A16B9C">
              <w:rPr>
                <w:noProof/>
                <w:webHidden/>
              </w:rPr>
              <w:fldChar w:fldCharType="separate"/>
            </w:r>
            <w:r w:rsidR="00A16B9C">
              <w:rPr>
                <w:noProof/>
                <w:webHidden/>
              </w:rPr>
              <w:t>123</w:t>
            </w:r>
            <w:r w:rsidR="00A16B9C">
              <w:rPr>
                <w:noProof/>
                <w:webHidden/>
              </w:rPr>
              <w:fldChar w:fldCharType="end"/>
            </w:r>
          </w:hyperlink>
        </w:p>
        <w:p w14:paraId="1196FEEC" w14:textId="45C5C70B" w:rsidR="00A16B9C" w:rsidRDefault="00000000">
          <w:pPr>
            <w:pStyle w:val="TOC2"/>
            <w:tabs>
              <w:tab w:val="right" w:leader="dot" w:pos="9350"/>
            </w:tabs>
            <w:rPr>
              <w:rFonts w:eastAsiaTheme="minorEastAsia"/>
              <w:noProof/>
            </w:rPr>
          </w:pPr>
          <w:hyperlink w:anchor="_Toc118377775" w:history="1">
            <w:r w:rsidR="00A16B9C" w:rsidRPr="00C554E8">
              <w:rPr>
                <w:rStyle w:val="Hyperlink"/>
                <w:rFonts w:ascii="Bookman Old Style" w:hAnsi="Bookman Old Style"/>
                <w:noProof/>
              </w:rPr>
              <w:t>The Nestorians.</w:t>
            </w:r>
            <w:r w:rsidR="00A16B9C">
              <w:rPr>
                <w:noProof/>
                <w:webHidden/>
              </w:rPr>
              <w:tab/>
            </w:r>
            <w:r w:rsidR="00A16B9C">
              <w:rPr>
                <w:noProof/>
                <w:webHidden/>
              </w:rPr>
              <w:fldChar w:fldCharType="begin"/>
            </w:r>
            <w:r w:rsidR="00A16B9C">
              <w:rPr>
                <w:noProof/>
                <w:webHidden/>
              </w:rPr>
              <w:instrText xml:space="preserve"> PAGEREF _Toc118377775 \h </w:instrText>
            </w:r>
            <w:r w:rsidR="00A16B9C">
              <w:rPr>
                <w:noProof/>
                <w:webHidden/>
              </w:rPr>
            </w:r>
            <w:r w:rsidR="00A16B9C">
              <w:rPr>
                <w:noProof/>
                <w:webHidden/>
              </w:rPr>
              <w:fldChar w:fldCharType="separate"/>
            </w:r>
            <w:r w:rsidR="00A16B9C">
              <w:rPr>
                <w:noProof/>
                <w:webHidden/>
              </w:rPr>
              <w:t>125</w:t>
            </w:r>
            <w:r w:rsidR="00A16B9C">
              <w:rPr>
                <w:noProof/>
                <w:webHidden/>
              </w:rPr>
              <w:fldChar w:fldCharType="end"/>
            </w:r>
          </w:hyperlink>
        </w:p>
        <w:p w14:paraId="68BE6DC3" w14:textId="46194137" w:rsidR="00A16B9C" w:rsidRDefault="00000000">
          <w:pPr>
            <w:pStyle w:val="TOC2"/>
            <w:tabs>
              <w:tab w:val="right" w:leader="dot" w:pos="9350"/>
            </w:tabs>
            <w:rPr>
              <w:rFonts w:eastAsiaTheme="minorEastAsia"/>
              <w:noProof/>
            </w:rPr>
          </w:pPr>
          <w:hyperlink w:anchor="_Toc118377776" w:history="1">
            <w:r w:rsidR="00A16B9C" w:rsidRPr="00C554E8">
              <w:rPr>
                <w:rStyle w:val="Hyperlink"/>
                <w:rFonts w:ascii="Bookman Old Style" w:hAnsi="Bookman Old Style"/>
                <w:noProof/>
              </w:rPr>
              <w:t>Instructive Facts.</w:t>
            </w:r>
            <w:r w:rsidR="00A16B9C">
              <w:rPr>
                <w:noProof/>
                <w:webHidden/>
              </w:rPr>
              <w:tab/>
            </w:r>
            <w:r w:rsidR="00A16B9C">
              <w:rPr>
                <w:noProof/>
                <w:webHidden/>
              </w:rPr>
              <w:fldChar w:fldCharType="begin"/>
            </w:r>
            <w:r w:rsidR="00A16B9C">
              <w:rPr>
                <w:noProof/>
                <w:webHidden/>
              </w:rPr>
              <w:instrText xml:space="preserve"> PAGEREF _Toc118377776 \h </w:instrText>
            </w:r>
            <w:r w:rsidR="00A16B9C">
              <w:rPr>
                <w:noProof/>
                <w:webHidden/>
              </w:rPr>
            </w:r>
            <w:r w:rsidR="00A16B9C">
              <w:rPr>
                <w:noProof/>
                <w:webHidden/>
              </w:rPr>
              <w:fldChar w:fldCharType="separate"/>
            </w:r>
            <w:r w:rsidR="00A16B9C">
              <w:rPr>
                <w:noProof/>
                <w:webHidden/>
              </w:rPr>
              <w:t>126</w:t>
            </w:r>
            <w:r w:rsidR="00A16B9C">
              <w:rPr>
                <w:noProof/>
                <w:webHidden/>
              </w:rPr>
              <w:fldChar w:fldCharType="end"/>
            </w:r>
          </w:hyperlink>
        </w:p>
        <w:p w14:paraId="6C85BD5C" w14:textId="1604F049" w:rsidR="00A16B9C" w:rsidRDefault="00000000">
          <w:pPr>
            <w:pStyle w:val="TOC1"/>
            <w:tabs>
              <w:tab w:val="right" w:leader="dot" w:pos="9350"/>
            </w:tabs>
            <w:rPr>
              <w:rFonts w:eastAsiaTheme="minorEastAsia"/>
              <w:noProof/>
            </w:rPr>
          </w:pPr>
          <w:hyperlink w:anchor="_Toc118377777" w:history="1">
            <w:r w:rsidR="00A16B9C" w:rsidRPr="00C554E8">
              <w:rPr>
                <w:rStyle w:val="Hyperlink"/>
                <w:rFonts w:ascii="Bookman Old Style" w:hAnsi="Bookman Old Style"/>
                <w:noProof/>
              </w:rPr>
              <w:t>17. A Notable Family.</w:t>
            </w:r>
            <w:r w:rsidR="00A16B9C">
              <w:rPr>
                <w:noProof/>
                <w:webHidden/>
              </w:rPr>
              <w:tab/>
            </w:r>
            <w:r w:rsidR="00A16B9C">
              <w:rPr>
                <w:noProof/>
                <w:webHidden/>
              </w:rPr>
              <w:fldChar w:fldCharType="begin"/>
            </w:r>
            <w:r w:rsidR="00A16B9C">
              <w:rPr>
                <w:noProof/>
                <w:webHidden/>
              </w:rPr>
              <w:instrText xml:space="preserve"> PAGEREF _Toc118377777 \h </w:instrText>
            </w:r>
            <w:r w:rsidR="00A16B9C">
              <w:rPr>
                <w:noProof/>
                <w:webHidden/>
              </w:rPr>
            </w:r>
            <w:r w:rsidR="00A16B9C">
              <w:rPr>
                <w:noProof/>
                <w:webHidden/>
              </w:rPr>
              <w:fldChar w:fldCharType="separate"/>
            </w:r>
            <w:r w:rsidR="00A16B9C">
              <w:rPr>
                <w:noProof/>
                <w:webHidden/>
              </w:rPr>
              <w:t>128</w:t>
            </w:r>
            <w:r w:rsidR="00A16B9C">
              <w:rPr>
                <w:noProof/>
                <w:webHidden/>
              </w:rPr>
              <w:fldChar w:fldCharType="end"/>
            </w:r>
          </w:hyperlink>
        </w:p>
        <w:p w14:paraId="61BE655C" w14:textId="7777789E" w:rsidR="00A16B9C" w:rsidRDefault="00000000">
          <w:pPr>
            <w:pStyle w:val="TOC2"/>
            <w:tabs>
              <w:tab w:val="right" w:leader="dot" w:pos="9350"/>
            </w:tabs>
            <w:rPr>
              <w:rFonts w:eastAsiaTheme="minorEastAsia"/>
              <w:noProof/>
            </w:rPr>
          </w:pPr>
          <w:hyperlink w:anchor="_Toc118377778" w:history="1">
            <w:r w:rsidR="00A16B9C" w:rsidRPr="00C554E8">
              <w:rPr>
                <w:rStyle w:val="Hyperlink"/>
                <w:rFonts w:ascii="Bookman Old Style" w:hAnsi="Bookman Old Style"/>
                <w:noProof/>
              </w:rPr>
              <w:t>"Macrina the Blessed."</w:t>
            </w:r>
            <w:r w:rsidR="00A16B9C">
              <w:rPr>
                <w:noProof/>
                <w:webHidden/>
              </w:rPr>
              <w:tab/>
            </w:r>
            <w:r w:rsidR="00A16B9C">
              <w:rPr>
                <w:noProof/>
                <w:webHidden/>
              </w:rPr>
              <w:fldChar w:fldCharType="begin"/>
            </w:r>
            <w:r w:rsidR="00A16B9C">
              <w:rPr>
                <w:noProof/>
                <w:webHidden/>
              </w:rPr>
              <w:instrText xml:space="preserve"> PAGEREF _Toc118377778 \h </w:instrText>
            </w:r>
            <w:r w:rsidR="00A16B9C">
              <w:rPr>
                <w:noProof/>
                <w:webHidden/>
              </w:rPr>
            </w:r>
            <w:r w:rsidR="00A16B9C">
              <w:rPr>
                <w:noProof/>
                <w:webHidden/>
              </w:rPr>
              <w:fldChar w:fldCharType="separate"/>
            </w:r>
            <w:r w:rsidR="00A16B9C">
              <w:rPr>
                <w:noProof/>
                <w:webHidden/>
              </w:rPr>
              <w:t>128</w:t>
            </w:r>
            <w:r w:rsidR="00A16B9C">
              <w:rPr>
                <w:noProof/>
                <w:webHidden/>
              </w:rPr>
              <w:fldChar w:fldCharType="end"/>
            </w:r>
          </w:hyperlink>
        </w:p>
        <w:p w14:paraId="60436CD6" w14:textId="572D1D26" w:rsidR="00A16B9C" w:rsidRDefault="00000000">
          <w:pPr>
            <w:pStyle w:val="TOC2"/>
            <w:tabs>
              <w:tab w:val="right" w:leader="dot" w:pos="9350"/>
            </w:tabs>
            <w:rPr>
              <w:rFonts w:eastAsiaTheme="minorEastAsia"/>
              <w:noProof/>
            </w:rPr>
          </w:pPr>
          <w:hyperlink w:anchor="_Toc118377779" w:history="1">
            <w:r w:rsidR="00A16B9C" w:rsidRPr="00C554E8">
              <w:rPr>
                <w:rStyle w:val="Hyperlink"/>
                <w:rFonts w:ascii="Bookman Old Style" w:hAnsi="Bookman Old Style"/>
                <w:noProof/>
              </w:rPr>
              <w:t>Basil the Great.</w:t>
            </w:r>
            <w:r w:rsidR="00A16B9C">
              <w:rPr>
                <w:noProof/>
                <w:webHidden/>
              </w:rPr>
              <w:tab/>
            </w:r>
            <w:r w:rsidR="00A16B9C">
              <w:rPr>
                <w:noProof/>
                <w:webHidden/>
              </w:rPr>
              <w:fldChar w:fldCharType="begin"/>
            </w:r>
            <w:r w:rsidR="00A16B9C">
              <w:rPr>
                <w:noProof/>
                <w:webHidden/>
              </w:rPr>
              <w:instrText xml:space="preserve"> PAGEREF _Toc118377779 \h </w:instrText>
            </w:r>
            <w:r w:rsidR="00A16B9C">
              <w:rPr>
                <w:noProof/>
                <w:webHidden/>
              </w:rPr>
            </w:r>
            <w:r w:rsidR="00A16B9C">
              <w:rPr>
                <w:noProof/>
                <w:webHidden/>
              </w:rPr>
              <w:fldChar w:fldCharType="separate"/>
            </w:r>
            <w:r w:rsidR="00A16B9C">
              <w:rPr>
                <w:noProof/>
                <w:webHidden/>
              </w:rPr>
              <w:t>130</w:t>
            </w:r>
            <w:r w:rsidR="00A16B9C">
              <w:rPr>
                <w:noProof/>
                <w:webHidden/>
              </w:rPr>
              <w:fldChar w:fldCharType="end"/>
            </w:r>
          </w:hyperlink>
        </w:p>
        <w:p w14:paraId="15B33599" w14:textId="24579CD6" w:rsidR="00A16B9C" w:rsidRDefault="00000000">
          <w:pPr>
            <w:pStyle w:val="TOC2"/>
            <w:tabs>
              <w:tab w:val="right" w:leader="dot" w:pos="9350"/>
            </w:tabs>
            <w:rPr>
              <w:rFonts w:eastAsiaTheme="minorEastAsia"/>
              <w:noProof/>
            </w:rPr>
          </w:pPr>
          <w:hyperlink w:anchor="_Toc118377780" w:history="1">
            <w:r w:rsidR="00A16B9C" w:rsidRPr="00C554E8">
              <w:rPr>
                <w:rStyle w:val="Hyperlink"/>
                <w:rFonts w:ascii="Bookman Old Style" w:hAnsi="Bookman Old Style"/>
                <w:noProof/>
              </w:rPr>
              <w:t>Gregory Nyssen.</w:t>
            </w:r>
            <w:r w:rsidR="00A16B9C">
              <w:rPr>
                <w:noProof/>
                <w:webHidden/>
              </w:rPr>
              <w:tab/>
            </w:r>
            <w:r w:rsidR="00A16B9C">
              <w:rPr>
                <w:noProof/>
                <w:webHidden/>
              </w:rPr>
              <w:fldChar w:fldCharType="begin"/>
            </w:r>
            <w:r w:rsidR="00A16B9C">
              <w:rPr>
                <w:noProof/>
                <w:webHidden/>
              </w:rPr>
              <w:instrText xml:space="preserve"> PAGEREF _Toc118377780 \h </w:instrText>
            </w:r>
            <w:r w:rsidR="00A16B9C">
              <w:rPr>
                <w:noProof/>
                <w:webHidden/>
              </w:rPr>
            </w:r>
            <w:r w:rsidR="00A16B9C">
              <w:rPr>
                <w:noProof/>
                <w:webHidden/>
              </w:rPr>
              <w:fldChar w:fldCharType="separate"/>
            </w:r>
            <w:r w:rsidR="00A16B9C">
              <w:rPr>
                <w:noProof/>
                <w:webHidden/>
              </w:rPr>
              <w:t>132</w:t>
            </w:r>
            <w:r w:rsidR="00A16B9C">
              <w:rPr>
                <w:noProof/>
                <w:webHidden/>
              </w:rPr>
              <w:fldChar w:fldCharType="end"/>
            </w:r>
          </w:hyperlink>
        </w:p>
        <w:p w14:paraId="171BD89F" w14:textId="70E13AB3" w:rsidR="00A16B9C" w:rsidRDefault="00000000">
          <w:pPr>
            <w:pStyle w:val="TOC1"/>
            <w:tabs>
              <w:tab w:val="right" w:leader="dot" w:pos="9350"/>
            </w:tabs>
            <w:rPr>
              <w:rFonts w:eastAsiaTheme="minorEastAsia"/>
              <w:noProof/>
            </w:rPr>
          </w:pPr>
          <w:hyperlink w:anchor="_Toc118377781" w:history="1">
            <w:r w:rsidR="00A16B9C" w:rsidRPr="00C554E8">
              <w:rPr>
                <w:rStyle w:val="Hyperlink"/>
                <w:rFonts w:ascii="Bookman Old Style" w:hAnsi="Bookman Old Style"/>
                <w:noProof/>
              </w:rPr>
              <w:t>18. Additional Authorities.</w:t>
            </w:r>
            <w:r w:rsidR="00A16B9C">
              <w:rPr>
                <w:noProof/>
                <w:webHidden/>
              </w:rPr>
              <w:tab/>
            </w:r>
            <w:r w:rsidR="00A16B9C">
              <w:rPr>
                <w:noProof/>
                <w:webHidden/>
              </w:rPr>
              <w:fldChar w:fldCharType="begin"/>
            </w:r>
            <w:r w:rsidR="00A16B9C">
              <w:rPr>
                <w:noProof/>
                <w:webHidden/>
              </w:rPr>
              <w:instrText xml:space="preserve"> PAGEREF _Toc118377781 \h </w:instrText>
            </w:r>
            <w:r w:rsidR="00A16B9C">
              <w:rPr>
                <w:noProof/>
                <w:webHidden/>
              </w:rPr>
            </w:r>
            <w:r w:rsidR="00A16B9C">
              <w:rPr>
                <w:noProof/>
                <w:webHidden/>
              </w:rPr>
              <w:fldChar w:fldCharType="separate"/>
            </w:r>
            <w:r w:rsidR="00A16B9C">
              <w:rPr>
                <w:noProof/>
                <w:webHidden/>
              </w:rPr>
              <w:t>137</w:t>
            </w:r>
            <w:r w:rsidR="00A16B9C">
              <w:rPr>
                <w:noProof/>
                <w:webHidden/>
              </w:rPr>
              <w:fldChar w:fldCharType="end"/>
            </w:r>
          </w:hyperlink>
        </w:p>
        <w:p w14:paraId="2251FB6B" w14:textId="3CCB0E53" w:rsidR="00A16B9C" w:rsidRDefault="00000000">
          <w:pPr>
            <w:pStyle w:val="TOC2"/>
            <w:tabs>
              <w:tab w:val="right" w:leader="dot" w:pos="9350"/>
            </w:tabs>
            <w:rPr>
              <w:rFonts w:eastAsiaTheme="minorEastAsia"/>
              <w:noProof/>
            </w:rPr>
          </w:pPr>
          <w:hyperlink w:anchor="_Toc118377782" w:history="1">
            <w:r w:rsidR="00A16B9C" w:rsidRPr="00C554E8">
              <w:rPr>
                <w:rStyle w:val="Hyperlink"/>
                <w:rFonts w:ascii="Bookman Old Style" w:hAnsi="Bookman Old Style"/>
                <w:noProof/>
              </w:rPr>
              <w:t>Marcellus of Ancyra.</w:t>
            </w:r>
            <w:r w:rsidR="00A16B9C">
              <w:rPr>
                <w:noProof/>
                <w:webHidden/>
              </w:rPr>
              <w:tab/>
            </w:r>
            <w:r w:rsidR="00A16B9C">
              <w:rPr>
                <w:noProof/>
                <w:webHidden/>
              </w:rPr>
              <w:fldChar w:fldCharType="begin"/>
            </w:r>
            <w:r w:rsidR="00A16B9C">
              <w:rPr>
                <w:noProof/>
                <w:webHidden/>
              </w:rPr>
              <w:instrText xml:space="preserve"> PAGEREF _Toc118377782 \h </w:instrText>
            </w:r>
            <w:r w:rsidR="00A16B9C">
              <w:rPr>
                <w:noProof/>
                <w:webHidden/>
              </w:rPr>
            </w:r>
            <w:r w:rsidR="00A16B9C">
              <w:rPr>
                <w:noProof/>
                <w:webHidden/>
              </w:rPr>
              <w:fldChar w:fldCharType="separate"/>
            </w:r>
            <w:r w:rsidR="00A16B9C">
              <w:rPr>
                <w:noProof/>
                <w:webHidden/>
              </w:rPr>
              <w:t>137</w:t>
            </w:r>
            <w:r w:rsidR="00A16B9C">
              <w:rPr>
                <w:noProof/>
                <w:webHidden/>
              </w:rPr>
              <w:fldChar w:fldCharType="end"/>
            </w:r>
          </w:hyperlink>
        </w:p>
        <w:p w14:paraId="3E26FF6E" w14:textId="1B284083" w:rsidR="00A16B9C" w:rsidRDefault="00000000">
          <w:pPr>
            <w:pStyle w:val="TOC2"/>
            <w:tabs>
              <w:tab w:val="right" w:leader="dot" w:pos="9350"/>
            </w:tabs>
            <w:rPr>
              <w:rFonts w:eastAsiaTheme="minorEastAsia"/>
              <w:noProof/>
            </w:rPr>
          </w:pPr>
          <w:hyperlink w:anchor="_Toc118377783" w:history="1">
            <w:r w:rsidR="00A16B9C" w:rsidRPr="00C554E8">
              <w:rPr>
                <w:rStyle w:val="Hyperlink"/>
                <w:rFonts w:ascii="Bookman Old Style" w:hAnsi="Bookman Old Style"/>
                <w:noProof/>
              </w:rPr>
              <w:t>Titus of Bostra.</w:t>
            </w:r>
            <w:r w:rsidR="00A16B9C">
              <w:rPr>
                <w:noProof/>
                <w:webHidden/>
              </w:rPr>
              <w:tab/>
            </w:r>
            <w:r w:rsidR="00A16B9C">
              <w:rPr>
                <w:noProof/>
                <w:webHidden/>
              </w:rPr>
              <w:fldChar w:fldCharType="begin"/>
            </w:r>
            <w:r w:rsidR="00A16B9C">
              <w:rPr>
                <w:noProof/>
                <w:webHidden/>
              </w:rPr>
              <w:instrText xml:space="preserve"> PAGEREF _Toc118377783 \h </w:instrText>
            </w:r>
            <w:r w:rsidR="00A16B9C">
              <w:rPr>
                <w:noProof/>
                <w:webHidden/>
              </w:rPr>
            </w:r>
            <w:r w:rsidR="00A16B9C">
              <w:rPr>
                <w:noProof/>
                <w:webHidden/>
              </w:rPr>
              <w:fldChar w:fldCharType="separate"/>
            </w:r>
            <w:r w:rsidR="00A16B9C">
              <w:rPr>
                <w:noProof/>
                <w:webHidden/>
              </w:rPr>
              <w:t>137</w:t>
            </w:r>
            <w:r w:rsidR="00A16B9C">
              <w:rPr>
                <w:noProof/>
                <w:webHidden/>
              </w:rPr>
              <w:fldChar w:fldCharType="end"/>
            </w:r>
          </w:hyperlink>
        </w:p>
        <w:p w14:paraId="7921E457" w14:textId="6F54335A" w:rsidR="00A16B9C" w:rsidRDefault="00000000">
          <w:pPr>
            <w:pStyle w:val="TOC2"/>
            <w:tabs>
              <w:tab w:val="right" w:leader="dot" w:pos="9350"/>
            </w:tabs>
            <w:rPr>
              <w:rFonts w:eastAsiaTheme="minorEastAsia"/>
              <w:noProof/>
            </w:rPr>
          </w:pPr>
          <w:hyperlink w:anchor="_Toc118377784" w:history="1">
            <w:r w:rsidR="00A16B9C" w:rsidRPr="00C554E8">
              <w:rPr>
                <w:rStyle w:val="Hyperlink"/>
                <w:rFonts w:ascii="Bookman Old Style" w:hAnsi="Bookman Old Style"/>
                <w:noProof/>
              </w:rPr>
              <w:t>Ambrose of Milan.</w:t>
            </w:r>
            <w:r w:rsidR="00A16B9C">
              <w:rPr>
                <w:noProof/>
                <w:webHidden/>
              </w:rPr>
              <w:tab/>
            </w:r>
            <w:r w:rsidR="00A16B9C">
              <w:rPr>
                <w:noProof/>
                <w:webHidden/>
              </w:rPr>
              <w:fldChar w:fldCharType="begin"/>
            </w:r>
            <w:r w:rsidR="00A16B9C">
              <w:rPr>
                <w:noProof/>
                <w:webHidden/>
              </w:rPr>
              <w:instrText xml:space="preserve"> PAGEREF _Toc118377784 \h </w:instrText>
            </w:r>
            <w:r w:rsidR="00A16B9C">
              <w:rPr>
                <w:noProof/>
                <w:webHidden/>
              </w:rPr>
            </w:r>
            <w:r w:rsidR="00A16B9C">
              <w:rPr>
                <w:noProof/>
                <w:webHidden/>
              </w:rPr>
              <w:fldChar w:fldCharType="separate"/>
            </w:r>
            <w:r w:rsidR="00A16B9C">
              <w:rPr>
                <w:noProof/>
                <w:webHidden/>
              </w:rPr>
              <w:t>137</w:t>
            </w:r>
            <w:r w:rsidR="00A16B9C">
              <w:rPr>
                <w:noProof/>
                <w:webHidden/>
              </w:rPr>
              <w:fldChar w:fldCharType="end"/>
            </w:r>
          </w:hyperlink>
        </w:p>
        <w:p w14:paraId="2441E574" w14:textId="0297B879" w:rsidR="00A16B9C" w:rsidRDefault="00000000">
          <w:pPr>
            <w:pStyle w:val="TOC2"/>
            <w:tabs>
              <w:tab w:val="right" w:leader="dot" w:pos="9350"/>
            </w:tabs>
            <w:rPr>
              <w:rFonts w:eastAsiaTheme="minorEastAsia"/>
              <w:noProof/>
            </w:rPr>
          </w:pPr>
          <w:hyperlink w:anchor="_Toc118377785" w:history="1">
            <w:r w:rsidR="00A16B9C" w:rsidRPr="00C554E8">
              <w:rPr>
                <w:rStyle w:val="Hyperlink"/>
                <w:rFonts w:ascii="Bookman Old Style" w:hAnsi="Bookman Old Style"/>
                <w:noProof/>
              </w:rPr>
              <w:t>Serapion.</w:t>
            </w:r>
            <w:r w:rsidR="00A16B9C">
              <w:rPr>
                <w:noProof/>
                <w:webHidden/>
              </w:rPr>
              <w:tab/>
            </w:r>
            <w:r w:rsidR="00A16B9C">
              <w:rPr>
                <w:noProof/>
                <w:webHidden/>
              </w:rPr>
              <w:fldChar w:fldCharType="begin"/>
            </w:r>
            <w:r w:rsidR="00A16B9C">
              <w:rPr>
                <w:noProof/>
                <w:webHidden/>
              </w:rPr>
              <w:instrText xml:space="preserve"> PAGEREF _Toc118377785 \h </w:instrText>
            </w:r>
            <w:r w:rsidR="00A16B9C">
              <w:rPr>
                <w:noProof/>
                <w:webHidden/>
              </w:rPr>
            </w:r>
            <w:r w:rsidR="00A16B9C">
              <w:rPr>
                <w:noProof/>
                <w:webHidden/>
              </w:rPr>
              <w:fldChar w:fldCharType="separate"/>
            </w:r>
            <w:r w:rsidR="00A16B9C">
              <w:rPr>
                <w:noProof/>
                <w:webHidden/>
              </w:rPr>
              <w:t>139</w:t>
            </w:r>
            <w:r w:rsidR="00A16B9C">
              <w:rPr>
                <w:noProof/>
                <w:webHidden/>
              </w:rPr>
              <w:fldChar w:fldCharType="end"/>
            </w:r>
          </w:hyperlink>
        </w:p>
        <w:p w14:paraId="0F0C52C2" w14:textId="160A8FD8" w:rsidR="00A16B9C" w:rsidRDefault="00000000">
          <w:pPr>
            <w:pStyle w:val="TOC2"/>
            <w:tabs>
              <w:tab w:val="right" w:leader="dot" w:pos="9350"/>
            </w:tabs>
            <w:rPr>
              <w:rFonts w:eastAsiaTheme="minorEastAsia"/>
              <w:noProof/>
            </w:rPr>
          </w:pPr>
          <w:hyperlink w:anchor="_Toc118377786" w:history="1">
            <w:r w:rsidR="00A16B9C" w:rsidRPr="00C554E8">
              <w:rPr>
                <w:rStyle w:val="Hyperlink"/>
                <w:rFonts w:ascii="Bookman Old Style" w:hAnsi="Bookman Old Style"/>
                <w:noProof/>
              </w:rPr>
              <w:t>Macarius Magnes.</w:t>
            </w:r>
            <w:r w:rsidR="00A16B9C">
              <w:rPr>
                <w:noProof/>
                <w:webHidden/>
              </w:rPr>
              <w:tab/>
            </w:r>
            <w:r w:rsidR="00A16B9C">
              <w:rPr>
                <w:noProof/>
                <w:webHidden/>
              </w:rPr>
              <w:fldChar w:fldCharType="begin"/>
            </w:r>
            <w:r w:rsidR="00A16B9C">
              <w:rPr>
                <w:noProof/>
                <w:webHidden/>
              </w:rPr>
              <w:instrText xml:space="preserve"> PAGEREF _Toc118377786 \h </w:instrText>
            </w:r>
            <w:r w:rsidR="00A16B9C">
              <w:rPr>
                <w:noProof/>
                <w:webHidden/>
              </w:rPr>
            </w:r>
            <w:r w:rsidR="00A16B9C">
              <w:rPr>
                <w:noProof/>
                <w:webHidden/>
              </w:rPr>
              <w:fldChar w:fldCharType="separate"/>
            </w:r>
            <w:r w:rsidR="00A16B9C">
              <w:rPr>
                <w:noProof/>
                <w:webHidden/>
              </w:rPr>
              <w:t>139</w:t>
            </w:r>
            <w:r w:rsidR="00A16B9C">
              <w:rPr>
                <w:noProof/>
                <w:webHidden/>
              </w:rPr>
              <w:fldChar w:fldCharType="end"/>
            </w:r>
          </w:hyperlink>
        </w:p>
        <w:p w14:paraId="66CF981E" w14:textId="7F58B721" w:rsidR="00A16B9C" w:rsidRDefault="00000000">
          <w:pPr>
            <w:pStyle w:val="TOC2"/>
            <w:tabs>
              <w:tab w:val="right" w:leader="dot" w:pos="9350"/>
            </w:tabs>
            <w:rPr>
              <w:rFonts w:eastAsiaTheme="minorEastAsia"/>
              <w:noProof/>
            </w:rPr>
          </w:pPr>
          <w:hyperlink w:anchor="_Toc118377787" w:history="1">
            <w:r w:rsidR="00A16B9C" w:rsidRPr="00C554E8">
              <w:rPr>
                <w:rStyle w:val="Hyperlink"/>
                <w:rFonts w:ascii="Bookman Old Style" w:hAnsi="Bookman Old Style"/>
                <w:noProof/>
              </w:rPr>
              <w:t>Marius Victorinus.</w:t>
            </w:r>
            <w:r w:rsidR="00A16B9C">
              <w:rPr>
                <w:noProof/>
                <w:webHidden/>
              </w:rPr>
              <w:tab/>
            </w:r>
            <w:r w:rsidR="00A16B9C">
              <w:rPr>
                <w:noProof/>
                <w:webHidden/>
              </w:rPr>
              <w:fldChar w:fldCharType="begin"/>
            </w:r>
            <w:r w:rsidR="00A16B9C">
              <w:rPr>
                <w:noProof/>
                <w:webHidden/>
              </w:rPr>
              <w:instrText xml:space="preserve"> PAGEREF _Toc118377787 \h </w:instrText>
            </w:r>
            <w:r w:rsidR="00A16B9C">
              <w:rPr>
                <w:noProof/>
                <w:webHidden/>
              </w:rPr>
            </w:r>
            <w:r w:rsidR="00A16B9C">
              <w:rPr>
                <w:noProof/>
                <w:webHidden/>
              </w:rPr>
              <w:fldChar w:fldCharType="separate"/>
            </w:r>
            <w:r w:rsidR="00A16B9C">
              <w:rPr>
                <w:noProof/>
                <w:webHidden/>
              </w:rPr>
              <w:t>139</w:t>
            </w:r>
            <w:r w:rsidR="00A16B9C">
              <w:rPr>
                <w:noProof/>
                <w:webHidden/>
              </w:rPr>
              <w:fldChar w:fldCharType="end"/>
            </w:r>
          </w:hyperlink>
        </w:p>
        <w:p w14:paraId="450BA737" w14:textId="3EA4B94F" w:rsidR="00A16B9C" w:rsidRDefault="00000000">
          <w:pPr>
            <w:pStyle w:val="TOC2"/>
            <w:tabs>
              <w:tab w:val="right" w:leader="dot" w:pos="9350"/>
            </w:tabs>
            <w:rPr>
              <w:rFonts w:eastAsiaTheme="minorEastAsia"/>
              <w:noProof/>
            </w:rPr>
          </w:pPr>
          <w:hyperlink w:anchor="_Toc118377788" w:history="1">
            <w:r w:rsidR="00A16B9C" w:rsidRPr="00C554E8">
              <w:rPr>
                <w:rStyle w:val="Hyperlink"/>
                <w:rFonts w:ascii="Bookman Old Style" w:hAnsi="Bookman Old Style"/>
                <w:noProof/>
              </w:rPr>
              <w:t>Hilary, Bishop of Poictiers.</w:t>
            </w:r>
            <w:r w:rsidR="00A16B9C">
              <w:rPr>
                <w:noProof/>
                <w:webHidden/>
              </w:rPr>
              <w:tab/>
            </w:r>
            <w:r w:rsidR="00A16B9C">
              <w:rPr>
                <w:noProof/>
                <w:webHidden/>
              </w:rPr>
              <w:fldChar w:fldCharType="begin"/>
            </w:r>
            <w:r w:rsidR="00A16B9C">
              <w:rPr>
                <w:noProof/>
                <w:webHidden/>
              </w:rPr>
              <w:instrText xml:space="preserve"> PAGEREF _Toc118377788 \h </w:instrText>
            </w:r>
            <w:r w:rsidR="00A16B9C">
              <w:rPr>
                <w:noProof/>
                <w:webHidden/>
              </w:rPr>
            </w:r>
            <w:r w:rsidR="00A16B9C">
              <w:rPr>
                <w:noProof/>
                <w:webHidden/>
              </w:rPr>
              <w:fldChar w:fldCharType="separate"/>
            </w:r>
            <w:r w:rsidR="00A16B9C">
              <w:rPr>
                <w:noProof/>
                <w:webHidden/>
              </w:rPr>
              <w:t>139</w:t>
            </w:r>
            <w:r w:rsidR="00A16B9C">
              <w:rPr>
                <w:noProof/>
                <w:webHidden/>
              </w:rPr>
              <w:fldChar w:fldCharType="end"/>
            </w:r>
          </w:hyperlink>
        </w:p>
        <w:p w14:paraId="6B1ACD88" w14:textId="598E87A9" w:rsidR="00A16B9C" w:rsidRDefault="00000000">
          <w:pPr>
            <w:pStyle w:val="TOC2"/>
            <w:tabs>
              <w:tab w:val="right" w:leader="dot" w:pos="9350"/>
            </w:tabs>
            <w:rPr>
              <w:rFonts w:eastAsiaTheme="minorEastAsia"/>
              <w:noProof/>
            </w:rPr>
          </w:pPr>
          <w:hyperlink w:anchor="_Toc118377789" w:history="1">
            <w:r w:rsidR="00A16B9C" w:rsidRPr="00C554E8">
              <w:rPr>
                <w:rStyle w:val="Hyperlink"/>
                <w:rFonts w:ascii="Bookman Old Style" w:hAnsi="Bookman Old Style"/>
                <w:noProof/>
              </w:rPr>
              <w:t>John Cassian.</w:t>
            </w:r>
            <w:r w:rsidR="00A16B9C">
              <w:rPr>
                <w:noProof/>
                <w:webHidden/>
              </w:rPr>
              <w:tab/>
            </w:r>
            <w:r w:rsidR="00A16B9C">
              <w:rPr>
                <w:noProof/>
                <w:webHidden/>
              </w:rPr>
              <w:fldChar w:fldCharType="begin"/>
            </w:r>
            <w:r w:rsidR="00A16B9C">
              <w:rPr>
                <w:noProof/>
                <w:webHidden/>
              </w:rPr>
              <w:instrText xml:space="preserve"> PAGEREF _Toc118377789 \h </w:instrText>
            </w:r>
            <w:r w:rsidR="00A16B9C">
              <w:rPr>
                <w:noProof/>
                <w:webHidden/>
              </w:rPr>
            </w:r>
            <w:r w:rsidR="00A16B9C">
              <w:rPr>
                <w:noProof/>
                <w:webHidden/>
              </w:rPr>
              <w:fldChar w:fldCharType="separate"/>
            </w:r>
            <w:r w:rsidR="00A16B9C">
              <w:rPr>
                <w:noProof/>
                <w:webHidden/>
              </w:rPr>
              <w:t>140</w:t>
            </w:r>
            <w:r w:rsidR="00A16B9C">
              <w:rPr>
                <w:noProof/>
                <w:webHidden/>
              </w:rPr>
              <w:fldChar w:fldCharType="end"/>
            </w:r>
          </w:hyperlink>
        </w:p>
        <w:p w14:paraId="7E4BD177" w14:textId="612B7203" w:rsidR="00A16B9C" w:rsidRDefault="00000000">
          <w:pPr>
            <w:pStyle w:val="TOC2"/>
            <w:tabs>
              <w:tab w:val="right" w:leader="dot" w:pos="9350"/>
            </w:tabs>
            <w:rPr>
              <w:rFonts w:eastAsiaTheme="minorEastAsia"/>
              <w:noProof/>
            </w:rPr>
          </w:pPr>
          <w:hyperlink w:anchor="_Toc118377790" w:history="1">
            <w:r w:rsidR="00A16B9C" w:rsidRPr="00C554E8">
              <w:rPr>
                <w:rStyle w:val="Hyperlink"/>
                <w:rFonts w:ascii="Bookman Old Style" w:hAnsi="Bookman Old Style"/>
                <w:noProof/>
              </w:rPr>
              <w:t>Theodoret, the Blessed.</w:t>
            </w:r>
            <w:r w:rsidR="00A16B9C">
              <w:rPr>
                <w:noProof/>
                <w:webHidden/>
              </w:rPr>
              <w:tab/>
            </w:r>
            <w:r w:rsidR="00A16B9C">
              <w:rPr>
                <w:noProof/>
                <w:webHidden/>
              </w:rPr>
              <w:fldChar w:fldCharType="begin"/>
            </w:r>
            <w:r w:rsidR="00A16B9C">
              <w:rPr>
                <w:noProof/>
                <w:webHidden/>
              </w:rPr>
              <w:instrText xml:space="preserve"> PAGEREF _Toc118377790 \h </w:instrText>
            </w:r>
            <w:r w:rsidR="00A16B9C">
              <w:rPr>
                <w:noProof/>
                <w:webHidden/>
              </w:rPr>
            </w:r>
            <w:r w:rsidR="00A16B9C">
              <w:rPr>
                <w:noProof/>
                <w:webHidden/>
              </w:rPr>
              <w:fldChar w:fldCharType="separate"/>
            </w:r>
            <w:r w:rsidR="00A16B9C">
              <w:rPr>
                <w:noProof/>
                <w:webHidden/>
              </w:rPr>
              <w:t>141</w:t>
            </w:r>
            <w:r w:rsidR="00A16B9C">
              <w:rPr>
                <w:noProof/>
                <w:webHidden/>
              </w:rPr>
              <w:fldChar w:fldCharType="end"/>
            </w:r>
          </w:hyperlink>
        </w:p>
        <w:p w14:paraId="3DAFB432" w14:textId="4A7FC8DE" w:rsidR="00A16B9C" w:rsidRDefault="00000000">
          <w:pPr>
            <w:pStyle w:val="TOC2"/>
            <w:tabs>
              <w:tab w:val="right" w:leader="dot" w:pos="9350"/>
            </w:tabs>
            <w:rPr>
              <w:rFonts w:eastAsiaTheme="minorEastAsia"/>
              <w:noProof/>
            </w:rPr>
          </w:pPr>
          <w:hyperlink w:anchor="_Toc118377791" w:history="1">
            <w:r w:rsidR="00A16B9C" w:rsidRPr="00C554E8">
              <w:rPr>
                <w:rStyle w:val="Hyperlink"/>
                <w:rFonts w:ascii="Bookman Old Style" w:hAnsi="Bookman Old Style"/>
                <w:noProof/>
              </w:rPr>
              <w:t>Evagrius Ponticus.</w:t>
            </w:r>
            <w:r w:rsidR="00A16B9C">
              <w:rPr>
                <w:noProof/>
                <w:webHidden/>
              </w:rPr>
              <w:tab/>
            </w:r>
            <w:r w:rsidR="00A16B9C">
              <w:rPr>
                <w:noProof/>
                <w:webHidden/>
              </w:rPr>
              <w:fldChar w:fldCharType="begin"/>
            </w:r>
            <w:r w:rsidR="00A16B9C">
              <w:rPr>
                <w:noProof/>
                <w:webHidden/>
              </w:rPr>
              <w:instrText xml:space="preserve"> PAGEREF _Toc118377791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18A0C6A5" w14:textId="535BEA85" w:rsidR="00A16B9C" w:rsidRDefault="00000000">
          <w:pPr>
            <w:pStyle w:val="TOC2"/>
            <w:tabs>
              <w:tab w:val="right" w:leader="dot" w:pos="9350"/>
            </w:tabs>
            <w:rPr>
              <w:rFonts w:eastAsiaTheme="minorEastAsia"/>
              <w:noProof/>
            </w:rPr>
          </w:pPr>
          <w:hyperlink w:anchor="_Toc118377792" w:history="1">
            <w:r w:rsidR="00A16B9C" w:rsidRPr="00C554E8">
              <w:rPr>
                <w:rStyle w:val="Hyperlink"/>
                <w:rFonts w:ascii="Bookman Old Style" w:hAnsi="Bookman Old Style"/>
                <w:noProof/>
              </w:rPr>
              <w:t>Cyril of Alexandria.</w:t>
            </w:r>
            <w:r w:rsidR="00A16B9C">
              <w:rPr>
                <w:noProof/>
                <w:webHidden/>
              </w:rPr>
              <w:tab/>
            </w:r>
            <w:r w:rsidR="00A16B9C">
              <w:rPr>
                <w:noProof/>
                <w:webHidden/>
              </w:rPr>
              <w:fldChar w:fldCharType="begin"/>
            </w:r>
            <w:r w:rsidR="00A16B9C">
              <w:rPr>
                <w:noProof/>
                <w:webHidden/>
              </w:rPr>
              <w:instrText xml:space="preserve"> PAGEREF _Toc118377792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6AF171AB" w14:textId="692ADFBB" w:rsidR="00A16B9C" w:rsidRDefault="00000000">
          <w:pPr>
            <w:pStyle w:val="TOC2"/>
            <w:tabs>
              <w:tab w:val="right" w:leader="dot" w:pos="9350"/>
            </w:tabs>
            <w:rPr>
              <w:rFonts w:eastAsiaTheme="minorEastAsia"/>
              <w:noProof/>
            </w:rPr>
          </w:pPr>
          <w:hyperlink w:anchor="_Toc118377793" w:history="1">
            <w:r w:rsidR="00A16B9C" w:rsidRPr="00C554E8">
              <w:rPr>
                <w:rStyle w:val="Hyperlink"/>
                <w:rFonts w:ascii="Bookman Old Style" w:hAnsi="Bookman Old Style"/>
                <w:noProof/>
              </w:rPr>
              <w:t>Rufinus.</w:t>
            </w:r>
            <w:r w:rsidR="00A16B9C">
              <w:rPr>
                <w:noProof/>
                <w:webHidden/>
              </w:rPr>
              <w:tab/>
            </w:r>
            <w:r w:rsidR="00A16B9C">
              <w:rPr>
                <w:noProof/>
                <w:webHidden/>
              </w:rPr>
              <w:fldChar w:fldCharType="begin"/>
            </w:r>
            <w:r w:rsidR="00A16B9C">
              <w:rPr>
                <w:noProof/>
                <w:webHidden/>
              </w:rPr>
              <w:instrText xml:space="preserve"> PAGEREF _Toc118377793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4BA2A322" w14:textId="0EFBCA92" w:rsidR="00A16B9C" w:rsidRDefault="00000000">
          <w:pPr>
            <w:pStyle w:val="TOC2"/>
            <w:tabs>
              <w:tab w:val="right" w:leader="dot" w:pos="9350"/>
            </w:tabs>
            <w:rPr>
              <w:rFonts w:eastAsiaTheme="minorEastAsia"/>
              <w:noProof/>
            </w:rPr>
          </w:pPr>
          <w:hyperlink w:anchor="_Toc118377794" w:history="1">
            <w:r w:rsidR="00A16B9C" w:rsidRPr="00C554E8">
              <w:rPr>
                <w:rStyle w:val="Hyperlink"/>
                <w:rFonts w:ascii="Bookman Old Style" w:hAnsi="Bookman Old Style"/>
                <w:noProof/>
              </w:rPr>
              <w:t>Domitian, Bishop of Galatia.</w:t>
            </w:r>
            <w:r w:rsidR="00A16B9C">
              <w:rPr>
                <w:noProof/>
                <w:webHidden/>
              </w:rPr>
              <w:tab/>
            </w:r>
            <w:r w:rsidR="00A16B9C">
              <w:rPr>
                <w:noProof/>
                <w:webHidden/>
              </w:rPr>
              <w:fldChar w:fldCharType="begin"/>
            </w:r>
            <w:r w:rsidR="00A16B9C">
              <w:rPr>
                <w:noProof/>
                <w:webHidden/>
              </w:rPr>
              <w:instrText xml:space="preserve"> PAGEREF _Toc118377794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39592C7D" w14:textId="631424A5" w:rsidR="00A16B9C" w:rsidRDefault="00000000">
          <w:pPr>
            <w:pStyle w:val="TOC2"/>
            <w:tabs>
              <w:tab w:val="right" w:leader="dot" w:pos="9350"/>
            </w:tabs>
            <w:rPr>
              <w:rFonts w:eastAsiaTheme="minorEastAsia"/>
              <w:noProof/>
            </w:rPr>
          </w:pPr>
          <w:hyperlink w:anchor="_Toc118377795" w:history="1">
            <w:r w:rsidR="00A16B9C" w:rsidRPr="00C554E8">
              <w:rPr>
                <w:rStyle w:val="Hyperlink"/>
                <w:rFonts w:ascii="Bookman Old Style" w:hAnsi="Bookman Old Style"/>
                <w:noProof/>
              </w:rPr>
              <w:t>Diodore, Bishop of Tarsus.</w:t>
            </w:r>
            <w:r w:rsidR="00A16B9C">
              <w:rPr>
                <w:noProof/>
                <w:webHidden/>
              </w:rPr>
              <w:tab/>
            </w:r>
            <w:r w:rsidR="00A16B9C">
              <w:rPr>
                <w:noProof/>
                <w:webHidden/>
              </w:rPr>
              <w:fldChar w:fldCharType="begin"/>
            </w:r>
            <w:r w:rsidR="00A16B9C">
              <w:rPr>
                <w:noProof/>
                <w:webHidden/>
              </w:rPr>
              <w:instrText xml:space="preserve"> PAGEREF _Toc118377795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2D0C88C9" w14:textId="34ED13D0" w:rsidR="00A16B9C" w:rsidRDefault="00000000">
          <w:pPr>
            <w:pStyle w:val="TOC2"/>
            <w:tabs>
              <w:tab w:val="right" w:leader="dot" w:pos="9350"/>
            </w:tabs>
            <w:rPr>
              <w:rFonts w:eastAsiaTheme="minorEastAsia"/>
              <w:noProof/>
            </w:rPr>
          </w:pPr>
          <w:hyperlink w:anchor="_Toc118377796" w:history="1">
            <w:r w:rsidR="00A16B9C" w:rsidRPr="00C554E8">
              <w:rPr>
                <w:rStyle w:val="Hyperlink"/>
                <w:rFonts w:ascii="Bookman Old Style" w:hAnsi="Bookman Old Style"/>
                <w:noProof/>
              </w:rPr>
              <w:t>Later Additional Authorities.</w:t>
            </w:r>
            <w:r w:rsidR="00A16B9C">
              <w:rPr>
                <w:noProof/>
                <w:webHidden/>
              </w:rPr>
              <w:tab/>
            </w:r>
            <w:r w:rsidR="00A16B9C">
              <w:rPr>
                <w:noProof/>
                <w:webHidden/>
              </w:rPr>
              <w:fldChar w:fldCharType="begin"/>
            </w:r>
            <w:r w:rsidR="00A16B9C">
              <w:rPr>
                <w:noProof/>
                <w:webHidden/>
              </w:rPr>
              <w:instrText xml:space="preserve"> PAGEREF _Toc118377796 \h </w:instrText>
            </w:r>
            <w:r w:rsidR="00A16B9C">
              <w:rPr>
                <w:noProof/>
                <w:webHidden/>
              </w:rPr>
            </w:r>
            <w:r w:rsidR="00A16B9C">
              <w:rPr>
                <w:noProof/>
                <w:webHidden/>
              </w:rPr>
              <w:fldChar w:fldCharType="separate"/>
            </w:r>
            <w:r w:rsidR="00A16B9C">
              <w:rPr>
                <w:noProof/>
                <w:webHidden/>
              </w:rPr>
              <w:t>143</w:t>
            </w:r>
            <w:r w:rsidR="00A16B9C">
              <w:rPr>
                <w:noProof/>
                <w:webHidden/>
              </w:rPr>
              <w:fldChar w:fldCharType="end"/>
            </w:r>
          </w:hyperlink>
        </w:p>
        <w:p w14:paraId="54E84489" w14:textId="63D2C639" w:rsidR="00A16B9C" w:rsidRDefault="00000000">
          <w:pPr>
            <w:pStyle w:val="TOC3"/>
            <w:tabs>
              <w:tab w:val="right" w:leader="dot" w:pos="9350"/>
            </w:tabs>
            <w:rPr>
              <w:rFonts w:eastAsiaTheme="minorEastAsia"/>
              <w:noProof/>
            </w:rPr>
          </w:pPr>
          <w:hyperlink w:anchor="_Toc118377797" w:history="1">
            <w:r w:rsidR="00A16B9C" w:rsidRPr="00C554E8">
              <w:rPr>
                <w:rStyle w:val="Hyperlink"/>
                <w:rFonts w:ascii="Bookman Old Style" w:hAnsi="Bookman Old Style"/>
                <w:noProof/>
              </w:rPr>
              <w:t>Macarius.</w:t>
            </w:r>
            <w:r w:rsidR="00A16B9C">
              <w:rPr>
                <w:noProof/>
                <w:webHidden/>
              </w:rPr>
              <w:tab/>
            </w:r>
            <w:r w:rsidR="00A16B9C">
              <w:rPr>
                <w:noProof/>
                <w:webHidden/>
              </w:rPr>
              <w:fldChar w:fldCharType="begin"/>
            </w:r>
            <w:r w:rsidR="00A16B9C">
              <w:rPr>
                <w:noProof/>
                <w:webHidden/>
              </w:rPr>
              <w:instrText xml:space="preserve"> PAGEREF _Toc118377797 \h </w:instrText>
            </w:r>
            <w:r w:rsidR="00A16B9C">
              <w:rPr>
                <w:noProof/>
                <w:webHidden/>
              </w:rPr>
            </w:r>
            <w:r w:rsidR="00A16B9C">
              <w:rPr>
                <w:noProof/>
                <w:webHidden/>
              </w:rPr>
              <w:fldChar w:fldCharType="separate"/>
            </w:r>
            <w:r w:rsidR="00A16B9C">
              <w:rPr>
                <w:noProof/>
                <w:webHidden/>
              </w:rPr>
              <w:t>143</w:t>
            </w:r>
            <w:r w:rsidR="00A16B9C">
              <w:rPr>
                <w:noProof/>
                <w:webHidden/>
              </w:rPr>
              <w:fldChar w:fldCharType="end"/>
            </w:r>
          </w:hyperlink>
        </w:p>
        <w:p w14:paraId="6D9A1A7A" w14:textId="23BC0330" w:rsidR="00A16B9C" w:rsidRDefault="00000000">
          <w:pPr>
            <w:pStyle w:val="TOC3"/>
            <w:tabs>
              <w:tab w:val="right" w:leader="dot" w:pos="9350"/>
            </w:tabs>
            <w:rPr>
              <w:rFonts w:eastAsiaTheme="minorEastAsia"/>
              <w:noProof/>
            </w:rPr>
          </w:pPr>
          <w:hyperlink w:anchor="_Toc118377798" w:history="1">
            <w:r w:rsidR="00A16B9C" w:rsidRPr="00C554E8">
              <w:rPr>
                <w:rStyle w:val="Hyperlink"/>
                <w:rFonts w:ascii="Bookman Old Style" w:hAnsi="Bookman Old Style"/>
                <w:noProof/>
              </w:rPr>
              <w:t>Peter Chrysologus.</w:t>
            </w:r>
            <w:r w:rsidR="00A16B9C">
              <w:rPr>
                <w:noProof/>
                <w:webHidden/>
              </w:rPr>
              <w:tab/>
            </w:r>
            <w:r w:rsidR="00A16B9C">
              <w:rPr>
                <w:noProof/>
                <w:webHidden/>
              </w:rPr>
              <w:fldChar w:fldCharType="begin"/>
            </w:r>
            <w:r w:rsidR="00A16B9C">
              <w:rPr>
                <w:noProof/>
                <w:webHidden/>
              </w:rPr>
              <w:instrText xml:space="preserve"> PAGEREF _Toc118377798 \h </w:instrText>
            </w:r>
            <w:r w:rsidR="00A16B9C">
              <w:rPr>
                <w:noProof/>
                <w:webHidden/>
              </w:rPr>
            </w:r>
            <w:r w:rsidR="00A16B9C">
              <w:rPr>
                <w:noProof/>
                <w:webHidden/>
              </w:rPr>
              <w:fldChar w:fldCharType="separate"/>
            </w:r>
            <w:r w:rsidR="00A16B9C">
              <w:rPr>
                <w:noProof/>
                <w:webHidden/>
              </w:rPr>
              <w:t>144</w:t>
            </w:r>
            <w:r w:rsidR="00A16B9C">
              <w:rPr>
                <w:noProof/>
                <w:webHidden/>
              </w:rPr>
              <w:fldChar w:fldCharType="end"/>
            </w:r>
          </w:hyperlink>
        </w:p>
        <w:p w14:paraId="4BF6AAF0" w14:textId="31081881" w:rsidR="00A16B9C" w:rsidRDefault="00000000">
          <w:pPr>
            <w:pStyle w:val="TOC3"/>
            <w:tabs>
              <w:tab w:val="right" w:leader="dot" w:pos="9350"/>
            </w:tabs>
            <w:rPr>
              <w:rFonts w:eastAsiaTheme="minorEastAsia"/>
              <w:noProof/>
            </w:rPr>
          </w:pPr>
          <w:hyperlink w:anchor="_Toc118377799" w:history="1">
            <w:r w:rsidR="00A16B9C" w:rsidRPr="00C554E8">
              <w:rPr>
                <w:rStyle w:val="Hyperlink"/>
                <w:rFonts w:ascii="Bookman Old Style" w:hAnsi="Bookman Old Style"/>
                <w:noProof/>
              </w:rPr>
              <w:t>Stephan Bar-Sudaili.</w:t>
            </w:r>
            <w:r w:rsidR="00A16B9C">
              <w:rPr>
                <w:noProof/>
                <w:webHidden/>
              </w:rPr>
              <w:tab/>
            </w:r>
            <w:r w:rsidR="00A16B9C">
              <w:rPr>
                <w:noProof/>
                <w:webHidden/>
              </w:rPr>
              <w:fldChar w:fldCharType="begin"/>
            </w:r>
            <w:r w:rsidR="00A16B9C">
              <w:rPr>
                <w:noProof/>
                <w:webHidden/>
              </w:rPr>
              <w:instrText xml:space="preserve"> PAGEREF _Toc118377799 \h </w:instrText>
            </w:r>
            <w:r w:rsidR="00A16B9C">
              <w:rPr>
                <w:noProof/>
                <w:webHidden/>
              </w:rPr>
            </w:r>
            <w:r w:rsidR="00A16B9C">
              <w:rPr>
                <w:noProof/>
                <w:webHidden/>
              </w:rPr>
              <w:fldChar w:fldCharType="separate"/>
            </w:r>
            <w:r w:rsidR="00A16B9C">
              <w:rPr>
                <w:noProof/>
                <w:webHidden/>
              </w:rPr>
              <w:t>144</w:t>
            </w:r>
            <w:r w:rsidR="00A16B9C">
              <w:rPr>
                <w:noProof/>
                <w:webHidden/>
              </w:rPr>
              <w:fldChar w:fldCharType="end"/>
            </w:r>
          </w:hyperlink>
        </w:p>
        <w:p w14:paraId="51089353" w14:textId="7FE35304" w:rsidR="00A16B9C" w:rsidRDefault="00000000">
          <w:pPr>
            <w:pStyle w:val="TOC3"/>
            <w:tabs>
              <w:tab w:val="right" w:leader="dot" w:pos="9350"/>
            </w:tabs>
            <w:rPr>
              <w:rFonts w:eastAsiaTheme="minorEastAsia"/>
              <w:noProof/>
            </w:rPr>
          </w:pPr>
          <w:hyperlink w:anchor="_Toc118377800" w:history="1">
            <w:r w:rsidR="00A16B9C" w:rsidRPr="00C554E8">
              <w:rPr>
                <w:rStyle w:val="Hyperlink"/>
                <w:rFonts w:ascii="Bookman Old Style" w:hAnsi="Bookman Old Style"/>
                <w:noProof/>
              </w:rPr>
              <w:t>Maximus, the Confessor.</w:t>
            </w:r>
            <w:r w:rsidR="00A16B9C">
              <w:rPr>
                <w:noProof/>
                <w:webHidden/>
              </w:rPr>
              <w:tab/>
            </w:r>
            <w:r w:rsidR="00A16B9C">
              <w:rPr>
                <w:noProof/>
                <w:webHidden/>
              </w:rPr>
              <w:fldChar w:fldCharType="begin"/>
            </w:r>
            <w:r w:rsidR="00A16B9C">
              <w:rPr>
                <w:noProof/>
                <w:webHidden/>
              </w:rPr>
              <w:instrText xml:space="preserve"> PAGEREF _Toc118377800 \h </w:instrText>
            </w:r>
            <w:r w:rsidR="00A16B9C">
              <w:rPr>
                <w:noProof/>
                <w:webHidden/>
              </w:rPr>
            </w:r>
            <w:r w:rsidR="00A16B9C">
              <w:rPr>
                <w:noProof/>
                <w:webHidden/>
              </w:rPr>
              <w:fldChar w:fldCharType="separate"/>
            </w:r>
            <w:r w:rsidR="00A16B9C">
              <w:rPr>
                <w:noProof/>
                <w:webHidden/>
              </w:rPr>
              <w:t>144</w:t>
            </w:r>
            <w:r w:rsidR="00A16B9C">
              <w:rPr>
                <w:noProof/>
                <w:webHidden/>
              </w:rPr>
              <w:fldChar w:fldCharType="end"/>
            </w:r>
          </w:hyperlink>
        </w:p>
        <w:p w14:paraId="5108C4B2" w14:textId="25A3ADCA" w:rsidR="00A16B9C" w:rsidRDefault="00000000">
          <w:pPr>
            <w:pStyle w:val="TOC1"/>
            <w:tabs>
              <w:tab w:val="right" w:leader="dot" w:pos="9350"/>
            </w:tabs>
            <w:rPr>
              <w:rFonts w:eastAsiaTheme="minorEastAsia"/>
              <w:noProof/>
            </w:rPr>
          </w:pPr>
          <w:hyperlink w:anchor="_Toc118377801" w:history="1">
            <w:r w:rsidR="00A16B9C" w:rsidRPr="00C554E8">
              <w:rPr>
                <w:rStyle w:val="Hyperlink"/>
                <w:rFonts w:ascii="Bookman Old Style" w:hAnsi="Bookman Old Style"/>
                <w:noProof/>
              </w:rPr>
              <w:t>19. The Deterioration of Christian Thought.</w:t>
            </w:r>
            <w:r w:rsidR="00A16B9C">
              <w:rPr>
                <w:noProof/>
                <w:webHidden/>
              </w:rPr>
              <w:tab/>
            </w:r>
            <w:r w:rsidR="00A16B9C">
              <w:rPr>
                <w:noProof/>
                <w:webHidden/>
              </w:rPr>
              <w:fldChar w:fldCharType="begin"/>
            </w:r>
            <w:r w:rsidR="00A16B9C">
              <w:rPr>
                <w:noProof/>
                <w:webHidden/>
              </w:rPr>
              <w:instrText xml:space="preserve"> PAGEREF _Toc118377801 \h </w:instrText>
            </w:r>
            <w:r w:rsidR="00A16B9C">
              <w:rPr>
                <w:noProof/>
                <w:webHidden/>
              </w:rPr>
            </w:r>
            <w:r w:rsidR="00A16B9C">
              <w:rPr>
                <w:noProof/>
                <w:webHidden/>
              </w:rPr>
              <w:fldChar w:fldCharType="separate"/>
            </w:r>
            <w:r w:rsidR="00A16B9C">
              <w:rPr>
                <w:noProof/>
                <w:webHidden/>
              </w:rPr>
              <w:t>145</w:t>
            </w:r>
            <w:r w:rsidR="00A16B9C">
              <w:rPr>
                <w:noProof/>
                <w:webHidden/>
              </w:rPr>
              <w:fldChar w:fldCharType="end"/>
            </w:r>
          </w:hyperlink>
        </w:p>
        <w:p w14:paraId="586ECFEE" w14:textId="72F322A4" w:rsidR="00A16B9C" w:rsidRDefault="00000000">
          <w:pPr>
            <w:pStyle w:val="TOC2"/>
            <w:tabs>
              <w:tab w:val="right" w:leader="dot" w:pos="9350"/>
            </w:tabs>
            <w:rPr>
              <w:rFonts w:eastAsiaTheme="minorEastAsia"/>
              <w:noProof/>
            </w:rPr>
          </w:pPr>
          <w:hyperlink w:anchor="_Toc118377802" w:history="1">
            <w:r w:rsidR="00A16B9C" w:rsidRPr="00C554E8">
              <w:rPr>
                <w:rStyle w:val="Hyperlink"/>
                <w:rFonts w:ascii="Bookman Old Style" w:hAnsi="Bookman Old Style"/>
                <w:noProof/>
              </w:rPr>
              <w:t>Jerome.</w:t>
            </w:r>
            <w:r w:rsidR="00A16B9C">
              <w:rPr>
                <w:noProof/>
                <w:webHidden/>
              </w:rPr>
              <w:tab/>
            </w:r>
            <w:r w:rsidR="00A16B9C">
              <w:rPr>
                <w:noProof/>
                <w:webHidden/>
              </w:rPr>
              <w:fldChar w:fldCharType="begin"/>
            </w:r>
            <w:r w:rsidR="00A16B9C">
              <w:rPr>
                <w:noProof/>
                <w:webHidden/>
              </w:rPr>
              <w:instrText xml:space="preserve"> PAGEREF _Toc118377802 \h </w:instrText>
            </w:r>
            <w:r w:rsidR="00A16B9C">
              <w:rPr>
                <w:noProof/>
                <w:webHidden/>
              </w:rPr>
            </w:r>
            <w:r w:rsidR="00A16B9C">
              <w:rPr>
                <w:noProof/>
                <w:webHidden/>
              </w:rPr>
              <w:fldChar w:fldCharType="separate"/>
            </w:r>
            <w:r w:rsidR="00A16B9C">
              <w:rPr>
                <w:noProof/>
                <w:webHidden/>
              </w:rPr>
              <w:t>146</w:t>
            </w:r>
            <w:r w:rsidR="00A16B9C">
              <w:rPr>
                <w:noProof/>
                <w:webHidden/>
              </w:rPr>
              <w:fldChar w:fldCharType="end"/>
            </w:r>
          </w:hyperlink>
        </w:p>
        <w:p w14:paraId="2E2BD38D" w14:textId="6951B5D5" w:rsidR="00A16B9C" w:rsidRDefault="00000000">
          <w:pPr>
            <w:pStyle w:val="TOC2"/>
            <w:tabs>
              <w:tab w:val="right" w:leader="dot" w:pos="9350"/>
            </w:tabs>
            <w:rPr>
              <w:rFonts w:eastAsiaTheme="minorEastAsia"/>
              <w:noProof/>
            </w:rPr>
          </w:pPr>
          <w:hyperlink w:anchor="_Toc118377803" w:history="1">
            <w:r w:rsidR="00A16B9C" w:rsidRPr="00C554E8">
              <w:rPr>
                <w:rStyle w:val="Hyperlink"/>
                <w:rFonts w:ascii="Bookman Old Style" w:hAnsi="Bookman Old Style"/>
                <w:noProof/>
              </w:rPr>
              <w:t>John Chrysostom.</w:t>
            </w:r>
            <w:r w:rsidR="00A16B9C">
              <w:rPr>
                <w:noProof/>
                <w:webHidden/>
              </w:rPr>
              <w:tab/>
            </w:r>
            <w:r w:rsidR="00A16B9C">
              <w:rPr>
                <w:noProof/>
                <w:webHidden/>
              </w:rPr>
              <w:fldChar w:fldCharType="begin"/>
            </w:r>
            <w:r w:rsidR="00A16B9C">
              <w:rPr>
                <w:noProof/>
                <w:webHidden/>
              </w:rPr>
              <w:instrText xml:space="preserve"> PAGEREF _Toc118377803 \h </w:instrText>
            </w:r>
            <w:r w:rsidR="00A16B9C">
              <w:rPr>
                <w:noProof/>
                <w:webHidden/>
              </w:rPr>
            </w:r>
            <w:r w:rsidR="00A16B9C">
              <w:rPr>
                <w:noProof/>
                <w:webHidden/>
              </w:rPr>
              <w:fldChar w:fldCharType="separate"/>
            </w:r>
            <w:r w:rsidR="00A16B9C">
              <w:rPr>
                <w:noProof/>
                <w:webHidden/>
              </w:rPr>
              <w:t>148</w:t>
            </w:r>
            <w:r w:rsidR="00A16B9C">
              <w:rPr>
                <w:noProof/>
                <w:webHidden/>
              </w:rPr>
              <w:fldChar w:fldCharType="end"/>
            </w:r>
          </w:hyperlink>
        </w:p>
        <w:p w14:paraId="625F85E3" w14:textId="22B36D49" w:rsidR="00A16B9C" w:rsidRDefault="00000000">
          <w:pPr>
            <w:pStyle w:val="TOC1"/>
            <w:tabs>
              <w:tab w:val="right" w:leader="dot" w:pos="9350"/>
            </w:tabs>
            <w:rPr>
              <w:rFonts w:eastAsiaTheme="minorEastAsia"/>
              <w:noProof/>
            </w:rPr>
          </w:pPr>
          <w:hyperlink w:anchor="_Toc118377804" w:history="1">
            <w:r w:rsidR="00A16B9C" w:rsidRPr="00C554E8">
              <w:rPr>
                <w:rStyle w:val="Hyperlink"/>
                <w:rFonts w:ascii="Bookman Old Style" w:hAnsi="Bookman Old Style"/>
                <w:noProof/>
              </w:rPr>
              <w:t>20. Augustine (Deterioration Continues).</w:t>
            </w:r>
            <w:r w:rsidR="00A16B9C">
              <w:rPr>
                <w:noProof/>
                <w:webHidden/>
              </w:rPr>
              <w:tab/>
            </w:r>
            <w:r w:rsidR="00A16B9C">
              <w:rPr>
                <w:noProof/>
                <w:webHidden/>
              </w:rPr>
              <w:fldChar w:fldCharType="begin"/>
            </w:r>
            <w:r w:rsidR="00A16B9C">
              <w:rPr>
                <w:noProof/>
                <w:webHidden/>
              </w:rPr>
              <w:instrText xml:space="preserve"> PAGEREF _Toc118377804 \h </w:instrText>
            </w:r>
            <w:r w:rsidR="00A16B9C">
              <w:rPr>
                <w:noProof/>
                <w:webHidden/>
              </w:rPr>
            </w:r>
            <w:r w:rsidR="00A16B9C">
              <w:rPr>
                <w:noProof/>
                <w:webHidden/>
              </w:rPr>
              <w:fldChar w:fldCharType="separate"/>
            </w:r>
            <w:r w:rsidR="00A16B9C">
              <w:rPr>
                <w:noProof/>
                <w:webHidden/>
              </w:rPr>
              <w:t>151</w:t>
            </w:r>
            <w:r w:rsidR="00A16B9C">
              <w:rPr>
                <w:noProof/>
                <w:webHidden/>
              </w:rPr>
              <w:fldChar w:fldCharType="end"/>
            </w:r>
          </w:hyperlink>
        </w:p>
        <w:p w14:paraId="05A0421D" w14:textId="542A06AC" w:rsidR="00A16B9C" w:rsidRDefault="00000000">
          <w:pPr>
            <w:pStyle w:val="TOC1"/>
            <w:tabs>
              <w:tab w:val="right" w:leader="dot" w:pos="9350"/>
            </w:tabs>
            <w:rPr>
              <w:rFonts w:eastAsiaTheme="minorEastAsia"/>
              <w:noProof/>
            </w:rPr>
          </w:pPr>
          <w:hyperlink w:anchor="_Toc118377805" w:history="1">
            <w:r w:rsidR="00A16B9C" w:rsidRPr="00C554E8">
              <w:rPr>
                <w:rStyle w:val="Hyperlink"/>
                <w:rFonts w:ascii="Bookman Old Style" w:hAnsi="Bookman Old Style"/>
                <w:noProof/>
              </w:rPr>
              <w:t>21. Unsuccessful Attempts to Suppress Universalism.</w:t>
            </w:r>
            <w:r w:rsidR="00A16B9C">
              <w:rPr>
                <w:noProof/>
                <w:webHidden/>
              </w:rPr>
              <w:tab/>
            </w:r>
            <w:r w:rsidR="00A16B9C">
              <w:rPr>
                <w:noProof/>
                <w:webHidden/>
              </w:rPr>
              <w:fldChar w:fldCharType="begin"/>
            </w:r>
            <w:r w:rsidR="00A16B9C">
              <w:rPr>
                <w:noProof/>
                <w:webHidden/>
              </w:rPr>
              <w:instrText xml:space="preserve"> PAGEREF _Toc118377805 \h </w:instrText>
            </w:r>
            <w:r w:rsidR="00A16B9C">
              <w:rPr>
                <w:noProof/>
                <w:webHidden/>
              </w:rPr>
            </w:r>
            <w:r w:rsidR="00A16B9C">
              <w:rPr>
                <w:noProof/>
                <w:webHidden/>
              </w:rPr>
              <w:fldChar w:fldCharType="separate"/>
            </w:r>
            <w:r w:rsidR="00A16B9C">
              <w:rPr>
                <w:noProof/>
                <w:webHidden/>
              </w:rPr>
              <w:t>156</w:t>
            </w:r>
            <w:r w:rsidR="00A16B9C">
              <w:rPr>
                <w:noProof/>
                <w:webHidden/>
              </w:rPr>
              <w:fldChar w:fldCharType="end"/>
            </w:r>
          </w:hyperlink>
        </w:p>
        <w:p w14:paraId="7015148B" w14:textId="0EF55ED2" w:rsidR="00A16B9C" w:rsidRDefault="00000000">
          <w:pPr>
            <w:pStyle w:val="TOC2"/>
            <w:tabs>
              <w:tab w:val="right" w:leader="dot" w:pos="9350"/>
            </w:tabs>
            <w:rPr>
              <w:rFonts w:eastAsiaTheme="minorEastAsia"/>
              <w:noProof/>
            </w:rPr>
          </w:pPr>
          <w:hyperlink w:anchor="_Toc118377806" w:history="1">
            <w:r w:rsidR="00A16B9C" w:rsidRPr="00C554E8">
              <w:rPr>
                <w:rStyle w:val="Hyperlink"/>
                <w:rFonts w:ascii="Bookman Old Style" w:hAnsi="Bookman Old Style"/>
                <w:noProof/>
              </w:rPr>
              <w:t>Significant Facts and Conclusions.</w:t>
            </w:r>
            <w:r w:rsidR="00A16B9C">
              <w:rPr>
                <w:noProof/>
                <w:webHidden/>
              </w:rPr>
              <w:tab/>
            </w:r>
            <w:r w:rsidR="00A16B9C">
              <w:rPr>
                <w:noProof/>
                <w:webHidden/>
              </w:rPr>
              <w:fldChar w:fldCharType="begin"/>
            </w:r>
            <w:r w:rsidR="00A16B9C">
              <w:rPr>
                <w:noProof/>
                <w:webHidden/>
              </w:rPr>
              <w:instrText xml:space="preserve"> PAGEREF _Toc118377806 \h </w:instrText>
            </w:r>
            <w:r w:rsidR="00A16B9C">
              <w:rPr>
                <w:noProof/>
                <w:webHidden/>
              </w:rPr>
            </w:r>
            <w:r w:rsidR="00A16B9C">
              <w:rPr>
                <w:noProof/>
                <w:webHidden/>
              </w:rPr>
              <w:fldChar w:fldCharType="separate"/>
            </w:r>
            <w:r w:rsidR="00A16B9C">
              <w:rPr>
                <w:noProof/>
                <w:webHidden/>
              </w:rPr>
              <w:t>159</w:t>
            </w:r>
            <w:r w:rsidR="00A16B9C">
              <w:rPr>
                <w:noProof/>
                <w:webHidden/>
              </w:rPr>
              <w:fldChar w:fldCharType="end"/>
            </w:r>
          </w:hyperlink>
        </w:p>
        <w:p w14:paraId="73C219AB" w14:textId="3AD30095" w:rsidR="00A16B9C" w:rsidRDefault="00000000">
          <w:pPr>
            <w:pStyle w:val="TOC1"/>
            <w:tabs>
              <w:tab w:val="right" w:leader="dot" w:pos="9350"/>
            </w:tabs>
            <w:rPr>
              <w:rFonts w:eastAsiaTheme="minorEastAsia"/>
              <w:noProof/>
            </w:rPr>
          </w:pPr>
          <w:hyperlink w:anchor="_Toc118377807" w:history="1">
            <w:r w:rsidR="00A16B9C" w:rsidRPr="00C554E8">
              <w:rPr>
                <w:rStyle w:val="Hyperlink"/>
                <w:rFonts w:ascii="Bookman Old Style" w:hAnsi="Bookman Old Style"/>
                <w:noProof/>
              </w:rPr>
              <w:t>22. The Eclipse of Universalism.</w:t>
            </w:r>
            <w:r w:rsidR="00A16B9C">
              <w:rPr>
                <w:noProof/>
                <w:webHidden/>
              </w:rPr>
              <w:tab/>
            </w:r>
            <w:r w:rsidR="00A16B9C">
              <w:rPr>
                <w:noProof/>
                <w:webHidden/>
              </w:rPr>
              <w:fldChar w:fldCharType="begin"/>
            </w:r>
            <w:r w:rsidR="00A16B9C">
              <w:rPr>
                <w:noProof/>
                <w:webHidden/>
              </w:rPr>
              <w:instrText xml:space="preserve"> PAGEREF _Toc118377807 \h </w:instrText>
            </w:r>
            <w:r w:rsidR="00A16B9C">
              <w:rPr>
                <w:noProof/>
                <w:webHidden/>
              </w:rPr>
            </w:r>
            <w:r w:rsidR="00A16B9C">
              <w:rPr>
                <w:noProof/>
                <w:webHidden/>
              </w:rPr>
              <w:fldChar w:fldCharType="separate"/>
            </w:r>
            <w:r w:rsidR="00A16B9C">
              <w:rPr>
                <w:noProof/>
                <w:webHidden/>
              </w:rPr>
              <w:t>163</w:t>
            </w:r>
            <w:r w:rsidR="00A16B9C">
              <w:rPr>
                <w:noProof/>
                <w:webHidden/>
              </w:rPr>
              <w:fldChar w:fldCharType="end"/>
            </w:r>
          </w:hyperlink>
        </w:p>
        <w:p w14:paraId="785FBB04" w14:textId="7885470C" w:rsidR="00A16B9C" w:rsidRDefault="00000000">
          <w:pPr>
            <w:pStyle w:val="TOC1"/>
            <w:tabs>
              <w:tab w:val="right" w:leader="dot" w:pos="9350"/>
            </w:tabs>
            <w:rPr>
              <w:rFonts w:eastAsiaTheme="minorEastAsia"/>
              <w:noProof/>
            </w:rPr>
          </w:pPr>
          <w:hyperlink w:anchor="_Toc118377808" w:history="1">
            <w:r w:rsidR="00A16B9C" w:rsidRPr="00C554E8">
              <w:rPr>
                <w:rStyle w:val="Hyperlink"/>
                <w:rFonts w:ascii="Bookman Old Style" w:hAnsi="Bookman Old Style"/>
                <w:noProof/>
              </w:rPr>
              <w:t>23. Summary of Conclusions.</w:t>
            </w:r>
            <w:r w:rsidR="00A16B9C">
              <w:rPr>
                <w:noProof/>
                <w:webHidden/>
              </w:rPr>
              <w:tab/>
            </w:r>
            <w:r w:rsidR="00A16B9C">
              <w:rPr>
                <w:noProof/>
                <w:webHidden/>
              </w:rPr>
              <w:fldChar w:fldCharType="begin"/>
            </w:r>
            <w:r w:rsidR="00A16B9C">
              <w:rPr>
                <w:noProof/>
                <w:webHidden/>
              </w:rPr>
              <w:instrText xml:space="preserve"> PAGEREF _Toc118377808 \h </w:instrText>
            </w:r>
            <w:r w:rsidR="00A16B9C">
              <w:rPr>
                <w:noProof/>
                <w:webHidden/>
              </w:rPr>
            </w:r>
            <w:r w:rsidR="00A16B9C">
              <w:rPr>
                <w:noProof/>
                <w:webHidden/>
              </w:rPr>
              <w:fldChar w:fldCharType="separate"/>
            </w:r>
            <w:r w:rsidR="00A16B9C">
              <w:rPr>
                <w:noProof/>
                <w:webHidden/>
              </w:rPr>
              <w:t>167</w:t>
            </w:r>
            <w:r w:rsidR="00A16B9C">
              <w:rPr>
                <w:noProof/>
                <w:webHidden/>
              </w:rPr>
              <w:fldChar w:fldCharType="end"/>
            </w:r>
          </w:hyperlink>
        </w:p>
        <w:p w14:paraId="0B967913" w14:textId="3B6D8C04" w:rsidR="00A16B9C" w:rsidRDefault="00000000">
          <w:pPr>
            <w:pStyle w:val="TOC1"/>
            <w:tabs>
              <w:tab w:val="right" w:leader="dot" w:pos="9350"/>
            </w:tabs>
            <w:rPr>
              <w:rFonts w:eastAsiaTheme="minorEastAsia"/>
              <w:noProof/>
            </w:rPr>
          </w:pPr>
          <w:hyperlink w:anchor="_Toc118377809" w:history="1">
            <w:r w:rsidR="00A16B9C" w:rsidRPr="00C554E8">
              <w:rPr>
                <w:rStyle w:val="Hyperlink"/>
                <w:rFonts w:ascii="Bookman Old Style" w:hAnsi="Bookman Old Style"/>
                <w:noProof/>
              </w:rPr>
              <w:t>Appendix A. Biographies of Those Referenced in This Work</w:t>
            </w:r>
            <w:r w:rsidR="00A16B9C">
              <w:rPr>
                <w:noProof/>
                <w:webHidden/>
              </w:rPr>
              <w:tab/>
            </w:r>
            <w:r w:rsidR="00A16B9C">
              <w:rPr>
                <w:noProof/>
                <w:webHidden/>
              </w:rPr>
              <w:fldChar w:fldCharType="begin"/>
            </w:r>
            <w:r w:rsidR="00A16B9C">
              <w:rPr>
                <w:noProof/>
                <w:webHidden/>
              </w:rPr>
              <w:instrText xml:space="preserve"> PAGEREF _Toc118377809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26AF81AE" w14:textId="49DDB4F6" w:rsidR="00A16B9C" w:rsidRDefault="00000000">
          <w:pPr>
            <w:pStyle w:val="TOC2"/>
            <w:tabs>
              <w:tab w:val="right" w:leader="dot" w:pos="9350"/>
            </w:tabs>
            <w:rPr>
              <w:rFonts w:eastAsiaTheme="minorEastAsia"/>
              <w:noProof/>
            </w:rPr>
          </w:pPr>
          <w:hyperlink w:anchor="_Toc118377810" w:history="1">
            <w:r w:rsidR="00A16B9C" w:rsidRPr="00C554E8">
              <w:rPr>
                <w:rStyle w:val="Hyperlink"/>
                <w:rFonts w:ascii="Bookman Old Style" w:hAnsi="Bookman Old Style"/>
                <w:noProof/>
              </w:rPr>
              <w:t>Augustine</w:t>
            </w:r>
            <w:r w:rsidR="00A16B9C">
              <w:rPr>
                <w:noProof/>
                <w:webHidden/>
              </w:rPr>
              <w:tab/>
            </w:r>
            <w:r w:rsidR="00A16B9C">
              <w:rPr>
                <w:noProof/>
                <w:webHidden/>
              </w:rPr>
              <w:fldChar w:fldCharType="begin"/>
            </w:r>
            <w:r w:rsidR="00A16B9C">
              <w:rPr>
                <w:noProof/>
                <w:webHidden/>
              </w:rPr>
              <w:instrText xml:space="preserve"> PAGEREF _Toc118377810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360EB765" w14:textId="720DD869" w:rsidR="00A16B9C" w:rsidRDefault="00000000">
          <w:pPr>
            <w:pStyle w:val="TOC2"/>
            <w:tabs>
              <w:tab w:val="right" w:leader="dot" w:pos="9350"/>
            </w:tabs>
            <w:rPr>
              <w:rFonts w:eastAsiaTheme="minorEastAsia"/>
              <w:noProof/>
            </w:rPr>
          </w:pPr>
          <w:hyperlink w:anchor="_Toc118377811" w:history="1">
            <w:r w:rsidR="00A16B9C" w:rsidRPr="00C554E8">
              <w:rPr>
                <w:rStyle w:val="Hyperlink"/>
                <w:rFonts w:ascii="Bookman Old Style" w:hAnsi="Bookman Old Style"/>
                <w:noProof/>
              </w:rPr>
              <w:t>Ballou, Hosea</w:t>
            </w:r>
            <w:r w:rsidR="00A16B9C">
              <w:rPr>
                <w:noProof/>
                <w:webHidden/>
              </w:rPr>
              <w:tab/>
            </w:r>
            <w:r w:rsidR="00A16B9C">
              <w:rPr>
                <w:noProof/>
                <w:webHidden/>
              </w:rPr>
              <w:fldChar w:fldCharType="begin"/>
            </w:r>
            <w:r w:rsidR="00A16B9C">
              <w:rPr>
                <w:noProof/>
                <w:webHidden/>
              </w:rPr>
              <w:instrText xml:space="preserve"> PAGEREF _Toc118377811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6D9E6698" w14:textId="77955C2F" w:rsidR="00A16B9C" w:rsidRDefault="00000000">
          <w:pPr>
            <w:pStyle w:val="TOC2"/>
            <w:tabs>
              <w:tab w:val="right" w:leader="dot" w:pos="9350"/>
            </w:tabs>
            <w:rPr>
              <w:rFonts w:eastAsiaTheme="minorEastAsia"/>
              <w:noProof/>
            </w:rPr>
          </w:pPr>
          <w:hyperlink w:anchor="_Toc118377812" w:history="1">
            <w:r w:rsidR="00A16B9C" w:rsidRPr="00C554E8">
              <w:rPr>
                <w:rStyle w:val="Hyperlink"/>
                <w:rFonts w:ascii="Bookman Old Style" w:hAnsi="Bookman Old Style"/>
                <w:noProof/>
              </w:rPr>
              <w:t>Beecher, Edward</w:t>
            </w:r>
            <w:r w:rsidR="00A16B9C">
              <w:rPr>
                <w:noProof/>
                <w:webHidden/>
              </w:rPr>
              <w:tab/>
            </w:r>
            <w:r w:rsidR="00A16B9C">
              <w:rPr>
                <w:noProof/>
                <w:webHidden/>
              </w:rPr>
              <w:fldChar w:fldCharType="begin"/>
            </w:r>
            <w:r w:rsidR="00A16B9C">
              <w:rPr>
                <w:noProof/>
                <w:webHidden/>
              </w:rPr>
              <w:instrText xml:space="preserve"> PAGEREF _Toc118377812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70D2CB4E" w14:textId="0B6D4448" w:rsidR="00A16B9C" w:rsidRDefault="00000000">
          <w:pPr>
            <w:pStyle w:val="TOC2"/>
            <w:tabs>
              <w:tab w:val="right" w:leader="dot" w:pos="9350"/>
            </w:tabs>
            <w:rPr>
              <w:rFonts w:eastAsiaTheme="minorEastAsia"/>
              <w:noProof/>
            </w:rPr>
          </w:pPr>
          <w:hyperlink w:anchor="_Toc118377813" w:history="1">
            <w:r w:rsidR="00A16B9C" w:rsidRPr="00C554E8">
              <w:rPr>
                <w:rStyle w:val="Hyperlink"/>
                <w:rFonts w:ascii="Bookman Old Style" w:hAnsi="Bookman Old Style"/>
                <w:noProof/>
              </w:rPr>
              <w:t>Bryennios, Philotheos</w:t>
            </w:r>
            <w:r w:rsidR="00A16B9C">
              <w:rPr>
                <w:noProof/>
                <w:webHidden/>
              </w:rPr>
              <w:tab/>
            </w:r>
            <w:r w:rsidR="00A16B9C">
              <w:rPr>
                <w:noProof/>
                <w:webHidden/>
              </w:rPr>
              <w:fldChar w:fldCharType="begin"/>
            </w:r>
            <w:r w:rsidR="00A16B9C">
              <w:rPr>
                <w:noProof/>
                <w:webHidden/>
              </w:rPr>
              <w:instrText xml:space="preserve"> PAGEREF _Toc118377813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61CE535D" w14:textId="77595717" w:rsidR="00A16B9C" w:rsidRDefault="00000000">
          <w:pPr>
            <w:pStyle w:val="TOC2"/>
            <w:tabs>
              <w:tab w:val="right" w:leader="dot" w:pos="9350"/>
            </w:tabs>
            <w:rPr>
              <w:rFonts w:eastAsiaTheme="minorEastAsia"/>
              <w:noProof/>
            </w:rPr>
          </w:pPr>
          <w:hyperlink w:anchor="_Toc118377814" w:history="1">
            <w:r w:rsidR="00A16B9C" w:rsidRPr="00C554E8">
              <w:rPr>
                <w:rStyle w:val="Hyperlink"/>
                <w:rFonts w:ascii="Bookman Old Style" w:hAnsi="Bookman Old Style"/>
                <w:noProof/>
              </w:rPr>
              <w:t>Cantwell, J.S.</w:t>
            </w:r>
            <w:r w:rsidR="00A16B9C">
              <w:rPr>
                <w:noProof/>
                <w:webHidden/>
              </w:rPr>
              <w:tab/>
            </w:r>
            <w:r w:rsidR="00A16B9C">
              <w:rPr>
                <w:noProof/>
                <w:webHidden/>
              </w:rPr>
              <w:fldChar w:fldCharType="begin"/>
            </w:r>
            <w:r w:rsidR="00A16B9C">
              <w:rPr>
                <w:noProof/>
                <w:webHidden/>
              </w:rPr>
              <w:instrText xml:space="preserve"> PAGEREF _Toc118377814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43610382" w14:textId="1B416EDE" w:rsidR="00A16B9C" w:rsidRDefault="00000000">
          <w:pPr>
            <w:pStyle w:val="TOC2"/>
            <w:tabs>
              <w:tab w:val="right" w:leader="dot" w:pos="9350"/>
            </w:tabs>
            <w:rPr>
              <w:rFonts w:eastAsiaTheme="minorEastAsia"/>
              <w:noProof/>
            </w:rPr>
          </w:pPr>
          <w:hyperlink w:anchor="_Toc118377815" w:history="1">
            <w:r w:rsidR="00A16B9C" w:rsidRPr="00C554E8">
              <w:rPr>
                <w:rStyle w:val="Hyperlink"/>
                <w:rFonts w:ascii="Bookman Old Style" w:hAnsi="Bookman Old Style"/>
                <w:noProof/>
              </w:rPr>
              <w:t>Chambre, A. St. John</w:t>
            </w:r>
            <w:r w:rsidR="00A16B9C">
              <w:rPr>
                <w:noProof/>
                <w:webHidden/>
              </w:rPr>
              <w:tab/>
            </w:r>
            <w:r w:rsidR="00A16B9C">
              <w:rPr>
                <w:noProof/>
                <w:webHidden/>
              </w:rPr>
              <w:fldChar w:fldCharType="begin"/>
            </w:r>
            <w:r w:rsidR="00A16B9C">
              <w:rPr>
                <w:noProof/>
                <w:webHidden/>
              </w:rPr>
              <w:instrText xml:space="preserve"> PAGEREF _Toc118377815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7BD05B34" w14:textId="7BB50CB0" w:rsidR="00A16B9C" w:rsidRDefault="00000000">
          <w:pPr>
            <w:pStyle w:val="TOC2"/>
            <w:tabs>
              <w:tab w:val="right" w:leader="dot" w:pos="9350"/>
            </w:tabs>
            <w:rPr>
              <w:rFonts w:eastAsiaTheme="minorEastAsia"/>
              <w:noProof/>
            </w:rPr>
          </w:pPr>
          <w:hyperlink w:anchor="_Toc118377816" w:history="1">
            <w:r w:rsidR="00A16B9C" w:rsidRPr="00C554E8">
              <w:rPr>
                <w:rStyle w:val="Hyperlink"/>
                <w:rFonts w:ascii="Bookman Old Style" w:hAnsi="Bookman Old Style"/>
                <w:noProof/>
              </w:rPr>
              <w:t>Chrysostom, John</w:t>
            </w:r>
            <w:r w:rsidR="00A16B9C">
              <w:rPr>
                <w:noProof/>
                <w:webHidden/>
              </w:rPr>
              <w:tab/>
            </w:r>
            <w:r w:rsidR="00A16B9C">
              <w:rPr>
                <w:noProof/>
                <w:webHidden/>
              </w:rPr>
              <w:fldChar w:fldCharType="begin"/>
            </w:r>
            <w:r w:rsidR="00A16B9C">
              <w:rPr>
                <w:noProof/>
                <w:webHidden/>
              </w:rPr>
              <w:instrText xml:space="preserve"> PAGEREF _Toc118377816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0347D6F3" w14:textId="1F927F9C" w:rsidR="00A16B9C" w:rsidRDefault="00000000">
          <w:pPr>
            <w:pStyle w:val="TOC2"/>
            <w:tabs>
              <w:tab w:val="right" w:leader="dot" w:pos="9350"/>
            </w:tabs>
            <w:rPr>
              <w:rFonts w:eastAsiaTheme="minorEastAsia"/>
              <w:noProof/>
            </w:rPr>
          </w:pPr>
          <w:hyperlink w:anchor="_Toc118377817" w:history="1">
            <w:r w:rsidR="00A16B9C" w:rsidRPr="00C554E8">
              <w:rPr>
                <w:rStyle w:val="Hyperlink"/>
                <w:rFonts w:ascii="Bookman Old Style" w:hAnsi="Bookman Old Style"/>
                <w:noProof/>
              </w:rPr>
              <w:t>Farrar, Frederick W.</w:t>
            </w:r>
            <w:r w:rsidR="00A16B9C">
              <w:rPr>
                <w:noProof/>
                <w:webHidden/>
              </w:rPr>
              <w:tab/>
            </w:r>
            <w:r w:rsidR="00A16B9C">
              <w:rPr>
                <w:noProof/>
                <w:webHidden/>
              </w:rPr>
              <w:fldChar w:fldCharType="begin"/>
            </w:r>
            <w:r w:rsidR="00A16B9C">
              <w:rPr>
                <w:noProof/>
                <w:webHidden/>
              </w:rPr>
              <w:instrText xml:space="preserve"> PAGEREF _Toc118377817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760DE1E5" w14:textId="2ACB8273" w:rsidR="00A16B9C" w:rsidRDefault="00000000">
          <w:pPr>
            <w:pStyle w:val="TOC2"/>
            <w:tabs>
              <w:tab w:val="right" w:leader="dot" w:pos="9350"/>
            </w:tabs>
            <w:rPr>
              <w:rFonts w:eastAsiaTheme="minorEastAsia"/>
              <w:noProof/>
            </w:rPr>
          </w:pPr>
          <w:hyperlink w:anchor="_Toc118377818" w:history="1">
            <w:r w:rsidR="00A16B9C" w:rsidRPr="00C554E8">
              <w:rPr>
                <w:rStyle w:val="Hyperlink"/>
                <w:rFonts w:ascii="Bookman Old Style" w:hAnsi="Bookman Old Style"/>
                <w:noProof/>
              </w:rPr>
              <w:t>Hagenbach, Karl</w:t>
            </w:r>
            <w:r w:rsidR="00A16B9C">
              <w:rPr>
                <w:noProof/>
                <w:webHidden/>
              </w:rPr>
              <w:tab/>
            </w:r>
            <w:r w:rsidR="00A16B9C">
              <w:rPr>
                <w:noProof/>
                <w:webHidden/>
              </w:rPr>
              <w:fldChar w:fldCharType="begin"/>
            </w:r>
            <w:r w:rsidR="00A16B9C">
              <w:rPr>
                <w:noProof/>
                <w:webHidden/>
              </w:rPr>
              <w:instrText xml:space="preserve"> PAGEREF _Toc118377818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0DA00230" w14:textId="0D05D68D" w:rsidR="00A16B9C" w:rsidRDefault="00000000">
          <w:pPr>
            <w:pStyle w:val="TOC2"/>
            <w:tabs>
              <w:tab w:val="right" w:leader="dot" w:pos="9350"/>
            </w:tabs>
            <w:rPr>
              <w:rFonts w:eastAsiaTheme="minorEastAsia"/>
              <w:noProof/>
            </w:rPr>
          </w:pPr>
          <w:hyperlink w:anchor="_Toc118377819" w:history="1">
            <w:r w:rsidR="00A16B9C" w:rsidRPr="00C554E8">
              <w:rPr>
                <w:rStyle w:val="Hyperlink"/>
                <w:rFonts w:ascii="Bookman Old Style" w:hAnsi="Bookman Old Style"/>
                <w:noProof/>
              </w:rPr>
              <w:t>Hitchcock, Roswell D.</w:t>
            </w:r>
            <w:r w:rsidR="00A16B9C">
              <w:rPr>
                <w:noProof/>
                <w:webHidden/>
              </w:rPr>
              <w:tab/>
            </w:r>
            <w:r w:rsidR="00A16B9C">
              <w:rPr>
                <w:noProof/>
                <w:webHidden/>
              </w:rPr>
              <w:fldChar w:fldCharType="begin"/>
            </w:r>
            <w:r w:rsidR="00A16B9C">
              <w:rPr>
                <w:noProof/>
                <w:webHidden/>
              </w:rPr>
              <w:instrText xml:space="preserve"> PAGEREF _Toc118377819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4E809685" w14:textId="7441F87F" w:rsidR="00A16B9C" w:rsidRDefault="00000000">
          <w:pPr>
            <w:pStyle w:val="TOC2"/>
            <w:tabs>
              <w:tab w:val="right" w:leader="dot" w:pos="9350"/>
            </w:tabs>
            <w:rPr>
              <w:rFonts w:eastAsiaTheme="minorEastAsia"/>
              <w:noProof/>
            </w:rPr>
          </w:pPr>
          <w:hyperlink w:anchor="_Toc118377820" w:history="1">
            <w:r w:rsidR="00A16B9C" w:rsidRPr="00C554E8">
              <w:rPr>
                <w:rStyle w:val="Hyperlink"/>
                <w:rFonts w:ascii="Bookman Old Style" w:hAnsi="Bookman Old Style"/>
                <w:noProof/>
              </w:rPr>
              <w:t>Von Mosheim, Lorenz</w:t>
            </w:r>
            <w:r w:rsidR="00A16B9C">
              <w:rPr>
                <w:noProof/>
                <w:webHidden/>
              </w:rPr>
              <w:tab/>
            </w:r>
            <w:r w:rsidR="00A16B9C">
              <w:rPr>
                <w:noProof/>
                <w:webHidden/>
              </w:rPr>
              <w:fldChar w:fldCharType="begin"/>
            </w:r>
            <w:r w:rsidR="00A16B9C">
              <w:rPr>
                <w:noProof/>
                <w:webHidden/>
              </w:rPr>
              <w:instrText xml:space="preserve"> PAGEREF _Toc118377820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361B572A" w14:textId="5D8A9564" w:rsidR="00A16B9C" w:rsidRDefault="00000000">
          <w:pPr>
            <w:pStyle w:val="TOC2"/>
            <w:tabs>
              <w:tab w:val="right" w:leader="dot" w:pos="9350"/>
            </w:tabs>
            <w:rPr>
              <w:rFonts w:eastAsiaTheme="minorEastAsia"/>
              <w:noProof/>
            </w:rPr>
          </w:pPr>
          <w:hyperlink w:anchor="_Toc118377821" w:history="1">
            <w:r w:rsidR="00A16B9C" w:rsidRPr="00C554E8">
              <w:rPr>
                <w:rStyle w:val="Hyperlink"/>
                <w:rFonts w:ascii="Bookman Old Style" w:hAnsi="Bookman Old Style"/>
                <w:noProof/>
              </w:rPr>
              <w:t>Sawyer, Thomas Jefferson</w:t>
            </w:r>
            <w:r w:rsidR="00A16B9C">
              <w:rPr>
                <w:noProof/>
                <w:webHidden/>
              </w:rPr>
              <w:tab/>
            </w:r>
            <w:r w:rsidR="00A16B9C">
              <w:rPr>
                <w:noProof/>
                <w:webHidden/>
              </w:rPr>
              <w:fldChar w:fldCharType="begin"/>
            </w:r>
            <w:r w:rsidR="00A16B9C">
              <w:rPr>
                <w:noProof/>
                <w:webHidden/>
              </w:rPr>
              <w:instrText xml:space="preserve"> PAGEREF _Toc118377821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51EBC0D8" w14:textId="141BBE55" w:rsidR="00A16B9C" w:rsidRDefault="00000000">
          <w:pPr>
            <w:pStyle w:val="TOC2"/>
            <w:tabs>
              <w:tab w:val="right" w:leader="dot" w:pos="9350"/>
            </w:tabs>
            <w:rPr>
              <w:rFonts w:eastAsiaTheme="minorEastAsia"/>
              <w:noProof/>
            </w:rPr>
          </w:pPr>
          <w:hyperlink w:anchor="_Toc118377822" w:history="1">
            <w:r w:rsidR="00A16B9C" w:rsidRPr="00C554E8">
              <w:rPr>
                <w:rStyle w:val="Hyperlink"/>
                <w:rFonts w:ascii="Bookman Old Style" w:hAnsi="Bookman Old Style"/>
                <w:noProof/>
              </w:rPr>
              <w:t>Thayer, Thomas Baldwin</w:t>
            </w:r>
            <w:r w:rsidR="00A16B9C">
              <w:rPr>
                <w:noProof/>
                <w:webHidden/>
              </w:rPr>
              <w:tab/>
            </w:r>
            <w:r w:rsidR="00A16B9C">
              <w:rPr>
                <w:noProof/>
                <w:webHidden/>
              </w:rPr>
              <w:fldChar w:fldCharType="begin"/>
            </w:r>
            <w:r w:rsidR="00A16B9C">
              <w:rPr>
                <w:noProof/>
                <w:webHidden/>
              </w:rPr>
              <w:instrText xml:space="preserve"> PAGEREF _Toc118377822 \h </w:instrText>
            </w:r>
            <w:r w:rsidR="00A16B9C">
              <w:rPr>
                <w:noProof/>
                <w:webHidden/>
              </w:rPr>
            </w:r>
            <w:r w:rsidR="00A16B9C">
              <w:rPr>
                <w:noProof/>
                <w:webHidden/>
              </w:rPr>
              <w:fldChar w:fldCharType="separate"/>
            </w:r>
            <w:r w:rsidR="00A16B9C">
              <w:rPr>
                <w:noProof/>
                <w:webHidden/>
              </w:rPr>
              <w:t>173</w:t>
            </w:r>
            <w:r w:rsidR="00A16B9C">
              <w:rPr>
                <w:noProof/>
                <w:webHidden/>
              </w:rPr>
              <w:fldChar w:fldCharType="end"/>
            </w:r>
          </w:hyperlink>
        </w:p>
        <w:p w14:paraId="5C520F76" w14:textId="39B8ACBA" w:rsidR="00A16B9C" w:rsidRDefault="00000000">
          <w:pPr>
            <w:pStyle w:val="TOC1"/>
            <w:tabs>
              <w:tab w:val="right" w:leader="dot" w:pos="9350"/>
            </w:tabs>
            <w:rPr>
              <w:rFonts w:eastAsiaTheme="minorEastAsia"/>
              <w:noProof/>
            </w:rPr>
          </w:pPr>
          <w:hyperlink w:anchor="_Toc118377823" w:history="1">
            <w:r w:rsidR="00A16B9C" w:rsidRPr="00C554E8">
              <w:rPr>
                <w:rStyle w:val="Hyperlink"/>
                <w:rFonts w:ascii="Bookman Old Style" w:hAnsi="Bookman Old Style"/>
                <w:noProof/>
              </w:rPr>
              <w:t>Appendix B. Individuals Referenced in This Work.</w:t>
            </w:r>
            <w:r w:rsidR="00A16B9C">
              <w:rPr>
                <w:noProof/>
                <w:webHidden/>
              </w:rPr>
              <w:tab/>
            </w:r>
            <w:r w:rsidR="00A16B9C">
              <w:rPr>
                <w:noProof/>
                <w:webHidden/>
              </w:rPr>
              <w:fldChar w:fldCharType="begin"/>
            </w:r>
            <w:r w:rsidR="00A16B9C">
              <w:rPr>
                <w:noProof/>
                <w:webHidden/>
              </w:rPr>
              <w:instrText xml:space="preserve"> PAGEREF _Toc118377823 \h </w:instrText>
            </w:r>
            <w:r w:rsidR="00A16B9C">
              <w:rPr>
                <w:noProof/>
                <w:webHidden/>
              </w:rPr>
            </w:r>
            <w:r w:rsidR="00A16B9C">
              <w:rPr>
                <w:noProof/>
                <w:webHidden/>
              </w:rPr>
              <w:fldChar w:fldCharType="separate"/>
            </w:r>
            <w:r w:rsidR="00A16B9C">
              <w:rPr>
                <w:noProof/>
                <w:webHidden/>
              </w:rPr>
              <w:t>174</w:t>
            </w:r>
            <w:r w:rsidR="00A16B9C">
              <w:rPr>
                <w:noProof/>
                <w:webHidden/>
              </w:rPr>
              <w:fldChar w:fldCharType="end"/>
            </w:r>
          </w:hyperlink>
        </w:p>
        <w:p w14:paraId="5327F869" w14:textId="275D9D3A" w:rsidR="00A16B9C" w:rsidRDefault="00000000">
          <w:pPr>
            <w:pStyle w:val="TOC1"/>
            <w:tabs>
              <w:tab w:val="right" w:leader="dot" w:pos="9350"/>
            </w:tabs>
            <w:rPr>
              <w:rFonts w:eastAsiaTheme="minorEastAsia"/>
              <w:noProof/>
            </w:rPr>
          </w:pPr>
          <w:hyperlink w:anchor="_Toc118377824" w:history="1">
            <w:r w:rsidR="00A16B9C" w:rsidRPr="00C554E8">
              <w:rPr>
                <w:rStyle w:val="Hyperlink"/>
                <w:rFonts w:ascii="Bookman Old Style" w:hAnsi="Bookman Old Style"/>
                <w:noProof/>
              </w:rPr>
              <w:t>Appendix C. Works Referenced Herein.</w:t>
            </w:r>
            <w:r w:rsidR="00A16B9C">
              <w:rPr>
                <w:noProof/>
                <w:webHidden/>
              </w:rPr>
              <w:tab/>
            </w:r>
            <w:r w:rsidR="00A16B9C">
              <w:rPr>
                <w:noProof/>
                <w:webHidden/>
              </w:rPr>
              <w:fldChar w:fldCharType="begin"/>
            </w:r>
            <w:r w:rsidR="00A16B9C">
              <w:rPr>
                <w:noProof/>
                <w:webHidden/>
              </w:rPr>
              <w:instrText xml:space="preserve"> PAGEREF _Toc118377824 \h </w:instrText>
            </w:r>
            <w:r w:rsidR="00A16B9C">
              <w:rPr>
                <w:noProof/>
                <w:webHidden/>
              </w:rPr>
            </w:r>
            <w:r w:rsidR="00A16B9C">
              <w:rPr>
                <w:noProof/>
                <w:webHidden/>
              </w:rPr>
              <w:fldChar w:fldCharType="separate"/>
            </w:r>
            <w:r w:rsidR="00A16B9C">
              <w:rPr>
                <w:noProof/>
                <w:webHidden/>
              </w:rPr>
              <w:t>176</w:t>
            </w:r>
            <w:r w:rsidR="00A16B9C">
              <w:rPr>
                <w:noProof/>
                <w:webHidden/>
              </w:rPr>
              <w:fldChar w:fldCharType="end"/>
            </w:r>
          </w:hyperlink>
        </w:p>
        <w:p w14:paraId="3F71A61E" w14:textId="14615297" w:rsidR="00A16B9C" w:rsidRDefault="00000000">
          <w:pPr>
            <w:pStyle w:val="TOC1"/>
            <w:tabs>
              <w:tab w:val="right" w:leader="dot" w:pos="9350"/>
            </w:tabs>
            <w:rPr>
              <w:rFonts w:eastAsiaTheme="minorEastAsia"/>
              <w:noProof/>
            </w:rPr>
          </w:pPr>
          <w:hyperlink w:anchor="_Toc118377825" w:history="1">
            <w:r w:rsidR="00A16B9C" w:rsidRPr="00C554E8">
              <w:rPr>
                <w:rStyle w:val="Hyperlink"/>
                <w:rFonts w:ascii="Bookman Old Style" w:hAnsi="Bookman Old Style"/>
                <w:noProof/>
              </w:rPr>
              <w:t>Bibliography</w:t>
            </w:r>
            <w:r w:rsidR="00A16B9C">
              <w:rPr>
                <w:noProof/>
                <w:webHidden/>
              </w:rPr>
              <w:tab/>
            </w:r>
            <w:r w:rsidR="00A16B9C">
              <w:rPr>
                <w:noProof/>
                <w:webHidden/>
              </w:rPr>
              <w:fldChar w:fldCharType="begin"/>
            </w:r>
            <w:r w:rsidR="00A16B9C">
              <w:rPr>
                <w:noProof/>
                <w:webHidden/>
              </w:rPr>
              <w:instrText xml:space="preserve"> PAGEREF _Toc118377825 \h </w:instrText>
            </w:r>
            <w:r w:rsidR="00A16B9C">
              <w:rPr>
                <w:noProof/>
                <w:webHidden/>
              </w:rPr>
            </w:r>
            <w:r w:rsidR="00A16B9C">
              <w:rPr>
                <w:noProof/>
                <w:webHidden/>
              </w:rPr>
              <w:fldChar w:fldCharType="separate"/>
            </w:r>
            <w:r w:rsidR="00A16B9C">
              <w:rPr>
                <w:noProof/>
                <w:webHidden/>
              </w:rPr>
              <w:t>177</w:t>
            </w:r>
            <w:r w:rsidR="00A16B9C">
              <w:rPr>
                <w:noProof/>
                <w:webHidden/>
              </w:rPr>
              <w:fldChar w:fldCharType="end"/>
            </w:r>
          </w:hyperlink>
        </w:p>
        <w:p w14:paraId="05FE9BCD" w14:textId="42A1A6DB" w:rsidR="00A16B9C" w:rsidRDefault="00000000">
          <w:pPr>
            <w:pStyle w:val="TOC1"/>
            <w:tabs>
              <w:tab w:val="right" w:leader="dot" w:pos="9350"/>
            </w:tabs>
            <w:rPr>
              <w:rFonts w:eastAsiaTheme="minorEastAsia"/>
              <w:noProof/>
            </w:rPr>
          </w:pPr>
          <w:hyperlink w:anchor="_Toc118377826" w:history="1">
            <w:r w:rsidR="00A16B9C" w:rsidRPr="00C554E8">
              <w:rPr>
                <w:rStyle w:val="Hyperlink"/>
                <w:rFonts w:ascii="Bookman Old Style" w:hAnsi="Bookman Old Style"/>
                <w:noProof/>
              </w:rPr>
              <w:t>What Has Changed?</w:t>
            </w:r>
            <w:r w:rsidR="00A16B9C">
              <w:rPr>
                <w:noProof/>
                <w:webHidden/>
              </w:rPr>
              <w:tab/>
            </w:r>
            <w:r w:rsidR="00A16B9C">
              <w:rPr>
                <w:noProof/>
                <w:webHidden/>
              </w:rPr>
              <w:fldChar w:fldCharType="begin"/>
            </w:r>
            <w:r w:rsidR="00A16B9C">
              <w:rPr>
                <w:noProof/>
                <w:webHidden/>
              </w:rPr>
              <w:instrText xml:space="preserve"> PAGEREF _Toc118377826 \h </w:instrText>
            </w:r>
            <w:r w:rsidR="00A16B9C">
              <w:rPr>
                <w:noProof/>
                <w:webHidden/>
              </w:rPr>
            </w:r>
            <w:r w:rsidR="00A16B9C">
              <w:rPr>
                <w:noProof/>
                <w:webHidden/>
              </w:rPr>
              <w:fldChar w:fldCharType="separate"/>
            </w:r>
            <w:r w:rsidR="00A16B9C">
              <w:rPr>
                <w:noProof/>
                <w:webHidden/>
              </w:rPr>
              <w:t>178</w:t>
            </w:r>
            <w:r w:rsidR="00A16B9C">
              <w:rPr>
                <w:noProof/>
                <w:webHidden/>
              </w:rPr>
              <w:fldChar w:fldCharType="end"/>
            </w:r>
          </w:hyperlink>
        </w:p>
        <w:p w14:paraId="0D68C958" w14:textId="13ABC5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77711"/>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77712"/>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xml:space="preserve">. 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2ABD4880" w:rsidR="00377200"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77713"/>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77714"/>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77715"/>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377200">
        <w:rPr>
          <w:rFonts w:ascii="Bookman Old Style" w:hAnsi="Bookman Old Style"/>
          <w:b/>
          <w:bCs/>
        </w:rPr>
        <w:t>Chrysostom</w:t>
      </w:r>
      <w:r w:rsidRPr="002F5DC5">
        <w:rPr>
          <w:rFonts w:ascii="Bookman Old Style" w:hAnsi="Bookman Old Style"/>
        </w:rPr>
        <w:t xml:space="preserve">, </w:t>
      </w:r>
      <w:r w:rsidRPr="00377200">
        <w:rPr>
          <w:rFonts w:ascii="Bookman Old Style" w:hAnsi="Bookman Old Style"/>
          <w:b/>
          <w:bCs/>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Thomas </w:t>
      </w:r>
      <w:proofErr w:type="spellStart"/>
      <w:r w:rsidR="00657085" w:rsidRPr="002F5DC5">
        <w:rPr>
          <w:rFonts w:ascii="Bookman Old Style" w:hAnsi="Bookman Old Style"/>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77716"/>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77717"/>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A16B9C">
        <w:rPr>
          <w:rFonts w:ascii="Bookman Old Style" w:hAnsi="Bookman Old Style"/>
          <w:b/>
          <w:bCs/>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A16B9C">
        <w:rPr>
          <w:rFonts w:ascii="Bookman Old Style" w:hAnsi="Bookman Old Style"/>
          <w:b/>
          <w:bCs/>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A16B9C">
        <w:rPr>
          <w:rFonts w:ascii="Bookman Old Style" w:hAnsi="Bookman Old Style"/>
          <w:b/>
          <w:bCs/>
        </w:rPr>
        <w:t>Clement of Alexa</w:t>
      </w:r>
      <w:r w:rsidR="00657085" w:rsidRPr="00A16B9C">
        <w:rPr>
          <w:rFonts w:ascii="Bookman Old Style" w:hAnsi="Bookman Old Style"/>
          <w:b/>
          <w:bCs/>
        </w:rPr>
        <w:t>ndria</w:t>
      </w:r>
      <w:r w:rsidR="00657085" w:rsidRPr="002F5DC5">
        <w:rPr>
          <w:rFonts w:ascii="Bookman Old Style" w:hAnsi="Bookman Old Style"/>
        </w:rPr>
        <w:t xml:space="preserve">, by </w:t>
      </w:r>
      <w:r w:rsidR="00657085" w:rsidRPr="00A16B9C">
        <w:rPr>
          <w:rFonts w:ascii="Bookman Old Style" w:hAnsi="Bookman Old Style"/>
          <w:b/>
          <w:bCs/>
        </w:rPr>
        <w:t>Eusebius</w:t>
      </w:r>
      <w:r w:rsidR="00657085" w:rsidRPr="002F5DC5">
        <w:rPr>
          <w:rFonts w:ascii="Bookman Old Style" w:hAnsi="Bookman Old Style"/>
        </w:rPr>
        <w:t xml:space="preserve"> and by </w:t>
      </w:r>
      <w:r w:rsidR="00657085" w:rsidRPr="00A16B9C">
        <w:rPr>
          <w:rFonts w:ascii="Bookman Old Style" w:hAnsi="Bookman Old Style"/>
          <w:b/>
          <w:bCs/>
        </w:rPr>
        <w:t>Athanas</w:t>
      </w:r>
      <w:r w:rsidRPr="00A16B9C">
        <w:rPr>
          <w:rFonts w:ascii="Bookman Old Style" w:hAnsi="Bookman Old Style"/>
          <w:b/>
          <w:bCs/>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A16B9C">
        <w:rPr>
          <w:rFonts w:ascii="Bookman Old Style" w:hAnsi="Bookman Old Style"/>
          <w:b/>
          <w:bCs/>
        </w:rPr>
        <w:t>Origen</w:t>
      </w:r>
      <w:r w:rsidR="00657085" w:rsidRPr="002F5DC5">
        <w:rPr>
          <w:rFonts w:ascii="Bookman Old Style" w:hAnsi="Bookman Old Style"/>
        </w:rPr>
        <w:t xml:space="preserve"> </w:t>
      </w:r>
      <w:r w:rsidRPr="002F5DC5">
        <w:rPr>
          <w:rFonts w:ascii="Bookman Old Style" w:hAnsi="Bookman Old Style"/>
        </w:rPr>
        <w:t xml:space="preserve">and </w:t>
      </w:r>
      <w:r w:rsidRPr="00A16B9C">
        <w:rPr>
          <w:rFonts w:ascii="Bookman Old Style" w:hAnsi="Bookman Old Style"/>
          <w:b/>
          <w:bCs/>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77718"/>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77719"/>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77720"/>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09D9558B"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77721"/>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29802BCA"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77722"/>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w:t>
      </w:r>
      <w:r w:rsidRPr="002F5DC5">
        <w:rPr>
          <w:rFonts w:ascii="Bookman Old Style" w:hAnsi="Bookman Old Style"/>
        </w:rPr>
        <w:lastRenderedPageBreak/>
        <w:t xml:space="preserve">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w:t>
      </w:r>
      <w:r w:rsidR="00A24A03" w:rsidRPr="002F5DC5">
        <w:rPr>
          <w:rFonts w:ascii="Bookman Old Style" w:hAnsi="Bookman Old Style"/>
        </w:rPr>
        <w:lastRenderedPageBreak/>
        <w:t xml:space="preserve">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w:t>
      </w:r>
      <w:r w:rsidR="00A24A03" w:rsidRPr="002F5DC5">
        <w:rPr>
          <w:rFonts w:ascii="Bookman Old Style" w:hAnsi="Bookman Old Style"/>
        </w:rPr>
        <w:lastRenderedPageBreak/>
        <w:t xml:space="preserve">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77777777" w:rsidR="00A16B9C"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16C2E70E"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454622AA"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bookmarkStart w:id="13" w:name="_Toc118377723"/>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77724"/>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11B6D2EE"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w:t>
      </w:r>
      <w:r w:rsidR="00C37BC2" w:rsidRPr="002F5DC5">
        <w:rPr>
          <w:rFonts w:ascii="Bookman Old Style" w:hAnsi="Bookman Old Style"/>
        </w:rPr>
        <w:lastRenderedPageBreak/>
        <w:t xml:space="preserve">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1E9E95E"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77725"/>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77726"/>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77727"/>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77728"/>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77729"/>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77730"/>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77731"/>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B977A8">
        <w:rPr>
          <w:rFonts w:ascii="Bookman Old Style" w:hAnsi="Bookman Old Style"/>
          <w:b/>
          <w:bCs/>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B977A8">
        <w:rPr>
          <w:rFonts w:ascii="Bookman Old Style" w:hAnsi="Bookman Old Style"/>
          <w:b/>
          <w:bCs/>
        </w:rPr>
        <w:t>Clement</w:t>
      </w:r>
      <w:r w:rsidRPr="002F5DC5">
        <w:rPr>
          <w:rFonts w:ascii="Bookman Old Style" w:hAnsi="Bookman Old Style"/>
        </w:rPr>
        <w:t xml:space="preserve"> and </w:t>
      </w:r>
      <w:r w:rsidRPr="00B977A8">
        <w:rPr>
          <w:rFonts w:ascii="Bookman Old Style" w:hAnsi="Bookman Old Style"/>
          <w:b/>
          <w:bCs/>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B977A8">
        <w:rPr>
          <w:rFonts w:ascii="Bookman Old Style" w:hAnsi="Bookman Old Style"/>
          <w:b/>
          <w:bCs/>
        </w:rPr>
        <w:t>Clement</w:t>
      </w:r>
      <w:r w:rsidRPr="002F5DC5">
        <w:rPr>
          <w:rFonts w:ascii="Bookman Old Style" w:hAnsi="Bookman Old Style"/>
        </w:rPr>
        <w:t xml:space="preserve"> and </w:t>
      </w:r>
      <w:r w:rsidRPr="00B977A8">
        <w:rPr>
          <w:rFonts w:ascii="Bookman Old Style" w:hAnsi="Bookman Old Style"/>
          <w:b/>
          <w:bCs/>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77732"/>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B977A8">
        <w:rPr>
          <w:rFonts w:ascii="Bookman Old Style" w:hAnsi="Bookman Old Style"/>
          <w:b/>
          <w:bCs/>
        </w:rPr>
        <w:t>Clement</w:t>
      </w:r>
      <w:r w:rsidR="00091D96" w:rsidRPr="002F5DC5">
        <w:rPr>
          <w:rFonts w:ascii="Bookman Old Style" w:hAnsi="Bookman Old Style"/>
        </w:rPr>
        <w:t xml:space="preserve">, </w:t>
      </w:r>
      <w:proofErr w:type="gramStart"/>
      <w:r w:rsidR="00091D96" w:rsidRPr="00B977A8">
        <w:rPr>
          <w:rFonts w:ascii="Bookman Old Style" w:hAnsi="Bookman Old Style"/>
          <w:b/>
          <w:bCs/>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77733"/>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was </w:t>
      </w:r>
      <w:r w:rsidRPr="00B977A8">
        <w:rPr>
          <w:rFonts w:ascii="Bookman Old Style" w:hAnsi="Bookman Old Style"/>
          <w:b/>
          <w:bCs/>
        </w:rPr>
        <w:t xml:space="preserve">Clement </w:t>
      </w:r>
      <w:r w:rsidR="00D90996" w:rsidRPr="00B977A8">
        <w:rPr>
          <w:rFonts w:ascii="Bookman Old Style" w:hAnsi="Bookman Old Style"/>
          <w:b/>
          <w:bCs/>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77734"/>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77735"/>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77736"/>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77737"/>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77738"/>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77739"/>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77740"/>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77741"/>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77742"/>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77743"/>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77744"/>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and </w:t>
      </w:r>
      <w:r w:rsidRPr="00E04B53">
        <w:rPr>
          <w:rFonts w:ascii="Bookman Old Style" w:hAnsi="Bookman Old Style"/>
          <w:b/>
          <w:bCs/>
        </w:rPr>
        <w:t>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77745"/>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77746"/>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77747"/>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77748"/>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77749"/>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77750"/>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77751"/>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77752"/>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77753"/>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77754"/>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77755"/>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77756"/>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w:t>
      </w:r>
      <w:proofErr w:type="gramStart"/>
      <w:r w:rsidRPr="002F5DC5">
        <w:rPr>
          <w:rFonts w:ascii="Bookman Old Style" w:hAnsi="Bookman Old Style"/>
        </w:rPr>
        <w:t>resists;</w:t>
      </w:r>
      <w:proofErr w:type="gramEnd"/>
      <w:r w:rsidRPr="002F5DC5">
        <w:rPr>
          <w:rFonts w:ascii="Bookman Old Style" w:hAnsi="Bookman Old Style"/>
        </w:rPr>
        <w:t xml:space="preserve">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proofErr w:type="gramStart"/>
      <w:r w:rsidRPr="002F5DC5">
        <w:rPr>
          <w:rFonts w:ascii="Bookman Old Style" w:hAnsi="Bookman Old Style"/>
        </w:rPr>
        <w:t>We</w:t>
      </w:r>
      <w:proofErr w:type="gramEnd"/>
      <w:r w:rsidRPr="002F5DC5">
        <w:rPr>
          <w:rFonts w:ascii="Bookman Old Style" w:hAnsi="Bookman Old Style"/>
        </w:rPr>
        <w:t xml:space="preserv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77757"/>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 xml:space="preserve">Origen </w:t>
      </w:r>
      <w:proofErr w:type="spellStart"/>
      <w:r w:rsidRPr="002F5DC5">
        <w:rPr>
          <w:rFonts w:ascii="Bookman Old Style" w:hAnsi="Bookman Old Style"/>
        </w:rPr>
        <w:t>Adama</w:t>
      </w:r>
      <w:r w:rsidR="00D71C14" w:rsidRPr="002F5DC5">
        <w:rPr>
          <w:rFonts w:ascii="Bookman Old Style" w:hAnsi="Bookman Old Style"/>
        </w:rPr>
        <w:t>ntius</w:t>
      </w:r>
      <w:proofErr w:type="spellEnd"/>
      <w:r w:rsidR="00D71C14" w:rsidRPr="002F5DC5">
        <w:rPr>
          <w:rFonts w:ascii="Bookman Old Style" w:hAnsi="Bookman Old Style"/>
        </w:rPr>
        <w:t xml:space="preserve">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AD </w:t>
      </w:r>
      <w:r w:rsidRPr="002F5DC5">
        <w:rPr>
          <w:rFonts w:ascii="Bookman Old Style" w:hAnsi="Bookman Old Style"/>
        </w:rPr>
        <w:t xml:space="preserve">202,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 xml:space="preserve">for his </w:t>
      </w:r>
      <w:proofErr w:type="gramStart"/>
      <w:r w:rsidRPr="002F5DC5">
        <w:rPr>
          <w:rFonts w:ascii="Bookman Old Style" w:hAnsi="Bookman Old Style"/>
        </w:rPr>
        <w:t>family, and</w:t>
      </w:r>
      <w:proofErr w:type="gramEnd"/>
      <w:r w:rsidRPr="002F5DC5">
        <w:rPr>
          <w:rFonts w:ascii="Bookman Old Style" w:hAnsi="Bookman Old Style"/>
        </w:rPr>
        <w:t xml:space="preserve">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2F5DC5">
        <w:rPr>
          <w:rFonts w:ascii="Bookman Old Style" w:hAnsi="Bookman Old Style"/>
        </w:rPr>
        <w:t>Celsus</w:t>
      </w:r>
      <w:proofErr w:type="spellEnd"/>
      <w:r w:rsidR="00986F4A" w:rsidRPr="002F5DC5">
        <w:rPr>
          <w:rFonts w:ascii="Bookman Old Style" w:hAnsi="Bookman Old Style"/>
        </w:rPr>
        <w:t xml:space="preserve">,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22"/>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2F5DC5">
        <w:rPr>
          <w:rFonts w:ascii="Bookman Old Style" w:hAnsi="Bookman Old Style"/>
        </w:rPr>
        <w:t>Ad</w:t>
      </w:r>
      <w:r w:rsidR="00986F4A" w:rsidRPr="002F5DC5">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De </w:t>
      </w:r>
      <w:proofErr w:type="spellStart"/>
      <w:r w:rsidRPr="002F5DC5">
        <w:rPr>
          <w:rFonts w:ascii="Bookman Old Style" w:hAnsi="Bookman Old Style"/>
        </w:rPr>
        <w:t>P</w:t>
      </w:r>
      <w:r w:rsidR="00986F4A" w:rsidRPr="002F5DC5">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 xml:space="preserve">are his eulogists. </w:t>
      </w:r>
      <w:proofErr w:type="spellStart"/>
      <w:r w:rsidR="00986F4A" w:rsidRPr="002F5DC5">
        <w:rPr>
          <w:rFonts w:ascii="Bookman Old Style" w:hAnsi="Bookman Old Style"/>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2F5DC5">
        <w:rPr>
          <w:rFonts w:ascii="Bookman Old Style" w:hAnsi="Bookman Old Style"/>
        </w:rPr>
        <w:t>Heraclas</w:t>
      </w:r>
      <w:proofErr w:type="spellEnd"/>
      <w:r w:rsidR="00986F4A" w:rsidRPr="002F5DC5">
        <w:rPr>
          <w:rFonts w:ascii="Bookman Old Style" w:hAnsi="Bookman Old Style"/>
        </w:rPr>
        <w:t xml:space="preserve">, who in turn was </w:t>
      </w:r>
      <w:r w:rsidRPr="002F5DC5">
        <w:rPr>
          <w:rFonts w:ascii="Bookman Old Style" w:hAnsi="Bookman Old Style"/>
        </w:rPr>
        <w:t>succeeded by Dionysiu</w:t>
      </w:r>
      <w:r w:rsidR="00986F4A" w:rsidRPr="002F5DC5">
        <w:rPr>
          <w:rFonts w:ascii="Bookman Old Style" w:hAnsi="Bookman Old Style"/>
        </w:rPr>
        <w:t xml:space="preserve">s, another pupil, so that from </w:t>
      </w:r>
      <w:proofErr w:type="spellStart"/>
      <w:r w:rsidR="00986F4A"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to</w:t>
      </w:r>
      <w:r w:rsidR="00986F4A" w:rsidRPr="002F5DC5">
        <w:rPr>
          <w:rFonts w:ascii="Bookman Old Style" w:hAnsi="Bookman Old Style"/>
        </w:rPr>
        <w:t xml:space="preserve"> Clemens, Origen, </w:t>
      </w:r>
      <w:proofErr w:type="spellStart"/>
      <w:r w:rsidR="00986F4A" w:rsidRPr="002F5DC5">
        <w:rPr>
          <w:rFonts w:ascii="Bookman Old Style" w:hAnsi="Bookman Old Style"/>
        </w:rPr>
        <w:t>Heraclas</w:t>
      </w:r>
      <w:proofErr w:type="spellEnd"/>
      <w:r w:rsidR="00986F4A" w:rsidRPr="002F5DC5">
        <w:rPr>
          <w:rFonts w:ascii="Bookman Old Style" w:hAnsi="Bookman Old Style"/>
        </w:rPr>
        <w:t xml:space="preserve">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w:t>
      </w:r>
      <w:proofErr w:type="gramStart"/>
      <w:r w:rsidR="00986F4A" w:rsidRPr="002F5DC5">
        <w:rPr>
          <w:rFonts w:ascii="Bookman Old Style" w:hAnsi="Bookman Old Style"/>
        </w:rPr>
        <w:t>cross ,</w:t>
      </w:r>
      <w:proofErr w:type="gramEnd"/>
      <w:r w:rsidR="00986F4A" w:rsidRPr="002F5DC5">
        <w:rPr>
          <w:rFonts w:ascii="Bookman Old Style" w:hAnsi="Bookman Old Style"/>
        </w:rPr>
        <w:t xml:space="preserve">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 xml:space="preserve">rigen marks an epoch in </w:t>
      </w:r>
      <w:proofErr w:type="gramStart"/>
      <w:r w:rsidR="00986F4A" w:rsidRPr="002F5DC5">
        <w:rPr>
          <w:rFonts w:ascii="Bookman Old Style" w:hAnsi="Bookman Old Style"/>
        </w:rPr>
        <w:t>Christ</w:t>
      </w:r>
      <w:r w:rsidRPr="002F5DC5">
        <w:rPr>
          <w:rFonts w:ascii="Bookman Old Style" w:hAnsi="Bookman Old Style"/>
        </w:rPr>
        <w:t>ianity, and</w:t>
      </w:r>
      <w:proofErr w:type="gramEnd"/>
      <w:r w:rsidRPr="002F5DC5">
        <w:rPr>
          <w:rFonts w:ascii="Bookman Old Style" w:hAnsi="Bookman Old Style"/>
        </w:rPr>
        <w:t xml:space="preserve">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 xml:space="preserve">313)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24"/>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 xml:space="preserve">man's </w:t>
      </w:r>
      <w:proofErr w:type="gramStart"/>
      <w:r w:rsidR="00091D96" w:rsidRPr="002F5DC5">
        <w:rPr>
          <w:rFonts w:ascii="Bookman Old Style" w:hAnsi="Bookman Old Style"/>
        </w:rPr>
        <w:t>stead, but</w:t>
      </w:r>
      <w:proofErr w:type="gramEnd"/>
      <w:r w:rsidR="00091D96" w:rsidRPr="002F5DC5">
        <w:rPr>
          <w:rFonts w:ascii="Bookman Old Style" w:hAnsi="Bookman Old Style"/>
        </w:rPr>
        <w:t xml:space="preserve">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2F5DC5">
        <w:rPr>
          <w:rFonts w:ascii="Bookman Old Style" w:hAnsi="Bookman Old Style"/>
        </w:rPr>
        <w:t>Migne's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"Contra </w:t>
      </w:r>
      <w:proofErr w:type="spellStart"/>
      <w:r w:rsidR="00CE2A68" w:rsidRPr="002F5DC5">
        <w:rPr>
          <w:rFonts w:ascii="Bookman Old Style" w:hAnsi="Bookman Old Style"/>
        </w:rPr>
        <w:t>Celsum</w:t>
      </w:r>
      <w:proofErr w:type="spellEnd"/>
      <w:r w:rsidR="00CE2A68" w:rsidRPr="002F5DC5">
        <w:rPr>
          <w:rFonts w:ascii="Bookman Old Style" w:hAnsi="Bookman Old Style"/>
        </w:rPr>
        <w:t xml:space="preserve">," or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 xml:space="preserve">De </w:t>
      </w:r>
      <w:proofErr w:type="spellStart"/>
      <w:r w:rsidRPr="002F5DC5">
        <w:rPr>
          <w:rFonts w:ascii="Bookman Old Style" w:hAnsi="Bookman Old Style"/>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2F5DC5">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Origen's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with the Latin version of </w:t>
      </w:r>
      <w:proofErr w:type="spellStart"/>
      <w:r w:rsidR="00CE2A68"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 xml:space="preserve">reat discrepancies Indeed, </w:t>
      </w:r>
      <w:proofErr w:type="spellStart"/>
      <w:r w:rsidR="00CE2A68" w:rsidRPr="002F5DC5">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 xml:space="preserve">ates his confession </w:t>
      </w:r>
      <w:proofErr w:type="gramStart"/>
      <w:r w:rsidRPr="002F5DC5">
        <w:rPr>
          <w:rFonts w:ascii="Bookman Old Style" w:hAnsi="Bookman Old Style"/>
        </w:rPr>
        <w:t>els</w:t>
      </w:r>
      <w:r w:rsidR="00CE2A68" w:rsidRPr="002F5DC5">
        <w:rPr>
          <w:rFonts w:ascii="Bookman Old Style" w:hAnsi="Bookman Old Style"/>
        </w:rPr>
        <w:t>ewhere, and</w:t>
      </w:r>
      <w:proofErr w:type="gramEnd"/>
      <w:r w:rsidR="00CE2A68" w:rsidRPr="002F5DC5">
        <w:rPr>
          <w:rFonts w:ascii="Bookman Old Style" w:hAnsi="Bookman Old Style"/>
        </w:rPr>
        <w:t xml:space="preserve">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w:t>
      </w:r>
      <w:proofErr w:type="gramStart"/>
      <w:r w:rsidR="0061358E" w:rsidRPr="002F5DC5">
        <w:rPr>
          <w:rFonts w:ascii="Bookman Old Style" w:hAnsi="Bookman Old Style"/>
        </w:rPr>
        <w:t xml:space="preserve">miracles, </w:t>
      </w:r>
      <w:r w:rsidRPr="002F5DC5">
        <w:rPr>
          <w:rFonts w:ascii="Bookman Old Style" w:hAnsi="Bookman Old Style"/>
        </w:rPr>
        <w:t>but</w:t>
      </w:r>
      <w:proofErr w:type="gramEnd"/>
      <w:r w:rsidRPr="002F5DC5">
        <w:rPr>
          <w:rFonts w:ascii="Bookman Old Style" w:hAnsi="Bookman Old Style"/>
        </w:rPr>
        <w:t xml:space="preserve">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7"/>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w:t>
      </w:r>
      <w:proofErr w:type="spellStart"/>
      <w:r w:rsidRPr="002F5DC5">
        <w:rPr>
          <w:rFonts w:ascii="Bookman Old Style" w:hAnsi="Bookman Old Style"/>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first form was the "</w:t>
      </w:r>
      <w:proofErr w:type="spellStart"/>
      <w:r w:rsidR="0061358E" w:rsidRPr="002F5DC5">
        <w:rPr>
          <w:rFonts w:ascii="Bookman Old Style" w:hAnsi="Bookman Old Style"/>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w:t>
      </w:r>
      <w:proofErr w:type="spellStart"/>
      <w:r w:rsidR="0061358E" w:rsidRPr="002F5DC5">
        <w:rPr>
          <w:rFonts w:ascii="Bookman Old Style" w:hAnsi="Bookman Old Style"/>
        </w:rPr>
        <w:t>Octapla</w:t>
      </w:r>
      <w:proofErr w:type="spellEnd"/>
      <w:r w:rsidR="0061358E" w:rsidRPr="002F5DC5">
        <w:rPr>
          <w:rFonts w:ascii="Bookman Old Style" w:hAnsi="Bookman Old Style"/>
        </w:rPr>
        <w:t>.</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77758"/>
      <w:r w:rsidRPr="002F5DC5">
        <w:rPr>
          <w:rFonts w:ascii="Bookman Old Style" w:hAnsi="Bookman Old Style"/>
        </w:rPr>
        <w:lastRenderedPageBreak/>
        <w:t>Quotation of Origen's Language.</w:t>
      </w:r>
      <w:bookmarkEnd w:id="48"/>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proofErr w:type="gramStart"/>
      <w:r w:rsidRPr="002F5DC5">
        <w:rPr>
          <w:rFonts w:ascii="Bookman Old Style" w:hAnsi="Bookman Old Style"/>
        </w:rPr>
        <w:t>living, and</w:t>
      </w:r>
      <w:proofErr w:type="gramEnd"/>
      <w:r w:rsidRPr="002F5DC5">
        <w:rPr>
          <w:rFonts w:ascii="Bookman Old Style" w:hAnsi="Bookman Old Style"/>
        </w:rPr>
        <w:t xml:space="preserve">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2F5DC5">
        <w:rPr>
          <w:rFonts w:ascii="Bookman Old Style" w:hAnsi="Bookman Old Style"/>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 xml:space="preserve">"When thou </w:t>
      </w:r>
      <w:proofErr w:type="spellStart"/>
      <w:r w:rsidRPr="002F5DC5">
        <w:rPr>
          <w:rFonts w:ascii="Bookman Old Style" w:hAnsi="Bookman Old Style"/>
        </w:rPr>
        <w:t>h</w:t>
      </w:r>
      <w:r w:rsidR="006E10F7" w:rsidRPr="002F5DC5">
        <w:rPr>
          <w:rFonts w:ascii="Bookman Old Style" w:hAnsi="Bookman Old Style"/>
        </w:rPr>
        <w:t>earest</w:t>
      </w:r>
      <w:proofErr w:type="spellEnd"/>
      <w:r w:rsidR="006E10F7" w:rsidRPr="002F5DC5">
        <w:rPr>
          <w:rFonts w:ascii="Bookman Old Style" w:hAnsi="Bookman Old Style"/>
        </w:rPr>
        <w:t xml:space="preserve"> of the wrath of God, be</w:t>
      </w:r>
      <w:r w:rsidRPr="002F5DC5">
        <w:rPr>
          <w:rFonts w:ascii="Bookman Old Style" w:hAnsi="Bookman Old Style"/>
        </w:rPr>
        <w:t xml:space="preserve">lieve not that this wrath and indignation are passions of God; they are </w:t>
      </w:r>
      <w:proofErr w:type="spellStart"/>
      <w:r w:rsidRPr="002F5DC5">
        <w:rPr>
          <w:rFonts w:ascii="Bookman Old Style" w:hAnsi="Bookman Old Style"/>
        </w:rPr>
        <w:t>condescensions</w:t>
      </w:r>
      <w:proofErr w:type="spellEnd"/>
      <w:r w:rsidRPr="002F5DC5">
        <w:rPr>
          <w:rFonts w:ascii="Bookman Old Style" w:hAnsi="Bookman Old Style"/>
        </w:rPr>
        <w:t xml:space="preserve"> of language designed to convert and improve the child. * * * </w:t>
      </w:r>
      <w:proofErr w:type="gramStart"/>
      <w:r w:rsidRPr="002F5DC5">
        <w:rPr>
          <w:rFonts w:ascii="Bookman Old Style" w:hAnsi="Bookman Old Style"/>
        </w:rPr>
        <w:t>So</w:t>
      </w:r>
      <w:proofErr w:type="gramEnd"/>
      <w:r w:rsidRPr="002F5DC5">
        <w:rPr>
          <w:rFonts w:ascii="Bookman Old Style" w:hAnsi="Bookman Old Style"/>
        </w:rPr>
        <w:t xml:space="preserve">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2F5DC5">
        <w:rPr>
          <w:rFonts w:ascii="Bookman Old Style" w:hAnsi="Bookman Old Style"/>
        </w:rPr>
        <w:t>aeon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would be in some one of the </w:t>
      </w:r>
      <w:proofErr w:type="spellStart"/>
      <w:r w:rsidRPr="002F5DC5">
        <w:rPr>
          <w:rFonts w:ascii="Bookman Old Style" w:hAnsi="Bookman Old Style"/>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2F5DC5">
        <w:rPr>
          <w:rFonts w:ascii="Bookman Old Style" w:hAnsi="Bookman Old Style"/>
        </w:rPr>
        <w:t>aion</w:t>
      </w:r>
      <w:proofErr w:type="spellEnd"/>
      <w:r w:rsidRPr="002F5DC5">
        <w:rPr>
          <w:rFonts w:ascii="Bookman Old Style" w:hAnsi="Bookman Old Style"/>
        </w:rPr>
        <w:t xml:space="preserve"> in the </w:t>
      </w:r>
      <w:proofErr w:type="spellStart"/>
      <w:r w:rsidRPr="002F5DC5">
        <w:rPr>
          <w:rFonts w:ascii="Bookman Old Style" w:hAnsi="Bookman Old Style"/>
        </w:rPr>
        <w:t>origi</w:t>
      </w:r>
      <w:proofErr w:type="spellEnd"/>
      <w:r w:rsidRPr="002F5DC5">
        <w:rPr>
          <w:rFonts w:ascii="Bookman Old Style" w:hAnsi="Bookman Old Style"/>
        </w:rPr>
        <w:t xml:space="preserve">- </w:t>
      </w:r>
      <w:proofErr w:type="spellStart"/>
      <w:r w:rsidR="006E10F7" w:rsidRPr="002F5DC5">
        <w:rPr>
          <w:rFonts w:ascii="Bookman Old Style" w:hAnsi="Bookman Old Style"/>
        </w:rPr>
        <w:t>nal</w:t>
      </w:r>
      <w:proofErr w:type="spellEnd"/>
      <w:r w:rsidR="006E10F7" w:rsidRPr="002F5DC5">
        <w:rPr>
          <w:rFonts w:ascii="Bookman Old Style" w:hAnsi="Bookman Old Style"/>
        </w:rPr>
        <w:t>,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"De </w:t>
      </w:r>
      <w:proofErr w:type="spellStart"/>
      <w:r w:rsidR="006E10F7" w:rsidRPr="002F5DC5">
        <w:rPr>
          <w:rFonts w:ascii="Bookman Old Style" w:hAnsi="Bookman Old Style"/>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proofErr w:type="spellStart"/>
      <w:r w:rsidRPr="002F5DC5">
        <w:rPr>
          <w:rFonts w:ascii="Bookman Old Style" w:hAnsi="Bookman Old Style"/>
        </w:rPr>
        <w:lastRenderedPageBreak/>
        <w:t>Huet</w:t>
      </w:r>
      <w:proofErr w:type="spellEnd"/>
      <w:r w:rsidR="00091D96" w:rsidRPr="002F5DC5">
        <w:rPr>
          <w:rFonts w:ascii="Bookman Old Style" w:hAnsi="Bookman Old Style"/>
        </w:rPr>
        <w:t xml:space="preserve"> quotes </w:t>
      </w:r>
      <w:proofErr w:type="spellStart"/>
      <w:r w:rsidR="00091D96" w:rsidRPr="002F5DC5">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77759"/>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40"/>
      </w:r>
    </w:p>
    <w:p w14:paraId="0D68CA92" w14:textId="77777777"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proofErr w:type="gramStart"/>
      <w:r w:rsidR="006D4EE5" w:rsidRPr="002F5DC5">
        <w:rPr>
          <w:rFonts w:ascii="Bookman Old Style" w:hAnsi="Bookman Old Style"/>
        </w:rPr>
        <w:t>sins, and</w:t>
      </w:r>
      <w:proofErr w:type="gramEnd"/>
      <w:r w:rsidR="006D4EE5" w:rsidRPr="002F5DC5">
        <w:rPr>
          <w:rFonts w:ascii="Bookman Old Style" w:hAnsi="Bookman Old Style"/>
        </w:rPr>
        <w:t xml:space="preserve">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41"/>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proofErr w:type="spellStart"/>
      <w:r w:rsidRPr="002F5DC5">
        <w:rPr>
          <w:rFonts w:ascii="Bookman Old Style" w:hAnsi="Bookman Old Style"/>
        </w:rPr>
        <w:t>Ennom</w:t>
      </w:r>
      <w:proofErr w:type="spellEnd"/>
      <w:r w:rsidRPr="002F5DC5">
        <w:rPr>
          <w:rFonts w:ascii="Bookman Old Style" w:hAnsi="Bookman Old Style"/>
        </w:rPr>
        <w:t xml:space="preserve">,'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proofErr w:type="spellStart"/>
      <w:r w:rsidRPr="002F5DC5">
        <w:rPr>
          <w:rFonts w:ascii="Bookman Old Style" w:hAnsi="Bookman Old Style"/>
        </w:rPr>
        <w:t>Ennom</w:t>
      </w:r>
      <w:proofErr w:type="spellEnd"/>
      <w:r w:rsidRPr="002F5DC5">
        <w:rPr>
          <w:rFonts w:ascii="Bookman Old Style" w:hAnsi="Bookman Old Style"/>
        </w:rPr>
        <w:t>,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42"/>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particular </w:t>
      </w:r>
      <w:proofErr w:type="gramStart"/>
      <w:r w:rsidRPr="002F5DC5">
        <w:rPr>
          <w:rFonts w:ascii="Bookman Old Style" w:hAnsi="Bookman Old Style"/>
        </w:rPr>
        <w:t>passa</w:t>
      </w:r>
      <w:r w:rsidR="006D4EE5" w:rsidRPr="002F5DC5">
        <w:rPr>
          <w:rFonts w:ascii="Bookman Old Style" w:hAnsi="Bookman Old Style"/>
        </w:rPr>
        <w:t>ge, or</w:t>
      </w:r>
      <w:proofErr w:type="gramEnd"/>
      <w:r w:rsidR="006D4EE5" w:rsidRPr="002F5DC5">
        <w:rPr>
          <w:rFonts w:ascii="Bookman Old Style" w:hAnsi="Bookman Old Style"/>
        </w:rPr>
        <w:t xml:space="preserve">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7"/>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77760"/>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 xml:space="preserve">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77761"/>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77762"/>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77763"/>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77764"/>
      <w:r w:rsidRPr="002F5DC5">
        <w:rPr>
          <w:rFonts w:ascii="Bookman Old Style" w:hAnsi="Bookman Old Style"/>
        </w:rPr>
        <w:lastRenderedPageBreak/>
        <w:t>12. The Eulogists of Origen.</w:t>
      </w:r>
      <w:bookmarkEnd w:id="54"/>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 xml:space="preserve">in exalting his </w:t>
      </w:r>
      <w:proofErr w:type="gramStart"/>
      <w:r w:rsidRPr="002F5DC5">
        <w:rPr>
          <w:rFonts w:ascii="Bookman Old Style" w:hAnsi="Bookman Old Style"/>
        </w:rPr>
        <w:t>nam</w:t>
      </w:r>
      <w:r w:rsidR="006A34A8" w:rsidRPr="002F5DC5">
        <w:rPr>
          <w:rFonts w:ascii="Bookman Old Style" w:hAnsi="Bookman Old Style"/>
        </w:rPr>
        <w:t>e, and</w:t>
      </w:r>
      <w:proofErr w:type="gramEnd"/>
      <w:r w:rsidR="006A34A8" w:rsidRPr="002F5DC5">
        <w:rPr>
          <w:rFonts w:ascii="Bookman Old Style" w:hAnsi="Bookman Old Style"/>
        </w:rPr>
        <w:t xml:space="preserve">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6"/>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 xml:space="preserve">Christianity, </w:t>
      </w:r>
      <w:proofErr w:type="gramStart"/>
      <w:r w:rsidRPr="002F5DC5">
        <w:rPr>
          <w:rFonts w:ascii="Bookman Old Style" w:hAnsi="Bookman Old Style"/>
        </w:rPr>
        <w:t>and in pa</w:t>
      </w:r>
      <w:r w:rsidR="006A34A8" w:rsidRPr="002F5DC5">
        <w:rPr>
          <w:rFonts w:ascii="Bookman Old Style" w:hAnsi="Bookman Old Style"/>
        </w:rPr>
        <w:t>rticular, of</w:t>
      </w:r>
      <w:proofErr w:type="gramEnd"/>
      <w:r w:rsidR="006A34A8" w:rsidRPr="002F5DC5">
        <w:rPr>
          <w:rFonts w:ascii="Bookman Old Style" w:hAnsi="Bookman Old Style"/>
        </w:rPr>
        <w:t xml:space="preserve"> free intellectual theology."</w:t>
      </w:r>
      <w:r w:rsidR="006A34A8" w:rsidRPr="002F5DC5">
        <w:rPr>
          <w:rStyle w:val="FootnoteReference"/>
          <w:rFonts w:ascii="Bookman Old Style" w:hAnsi="Bookman Old Style"/>
        </w:rPr>
        <w:footnoteReference w:id="267"/>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9"/>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roofErr w:type="spellStart"/>
      <w:r w:rsidR="001730C7" w:rsidRPr="002F5DC5">
        <w:rPr>
          <w:rFonts w:ascii="Bookman Old Style" w:hAnsi="Bookman Old Style"/>
        </w:rPr>
        <w:t>Plumptre</w:t>
      </w:r>
      <w:proofErr w:type="spellEnd"/>
      <w:r w:rsidR="001730C7" w:rsidRPr="002F5DC5">
        <w:rPr>
          <w:rFonts w:ascii="Bookman Old Style" w:hAnsi="Bookman Old Style"/>
        </w:rPr>
        <w:t xml:space="preserv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 xml:space="preserve">diplomatic </w:t>
      </w:r>
      <w:proofErr w:type="gramStart"/>
      <w:r w:rsidRPr="002F5DC5">
        <w:rPr>
          <w:rFonts w:ascii="Bookman Old Style" w:hAnsi="Bookman Old Style"/>
        </w:rPr>
        <w:t>compromises</w:t>
      </w:r>
      <w:r w:rsidR="001730C7" w:rsidRPr="002F5DC5">
        <w:rPr>
          <w:rFonts w:ascii="Bookman Old Style" w:hAnsi="Bookman Old Style"/>
        </w:rPr>
        <w:t xml:space="preserve"> ;</w:t>
      </w:r>
      <w:proofErr w:type="gramEnd"/>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proofErr w:type="spellStart"/>
      <w:r w:rsidR="00091D96" w:rsidRPr="002F5DC5">
        <w:rPr>
          <w:rFonts w:ascii="Bookman Old Style" w:hAnsi="Bookman Old Style"/>
        </w:rPr>
        <w:t>Denn</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wer</w:t>
      </w:r>
      <w:proofErr w:type="spellEnd"/>
      <w:r w:rsidR="00091D96" w:rsidRPr="002F5DC5">
        <w:rPr>
          <w:rFonts w:ascii="Bookman Old Style" w:hAnsi="Bookman Old Style"/>
        </w:rPr>
        <w:t xml:space="preserve"> den </w:t>
      </w:r>
      <w:proofErr w:type="spellStart"/>
      <w:r w:rsidR="00091D96" w:rsidRPr="002F5DC5">
        <w:rPr>
          <w:rFonts w:ascii="Bookman Old Style" w:hAnsi="Bookman Old Style"/>
        </w:rPr>
        <w:t>Be</w:t>
      </w:r>
      <w:r w:rsidRPr="002F5DC5">
        <w:rPr>
          <w:rFonts w:ascii="Bookman Old Style" w:hAnsi="Bookman Old Style"/>
        </w:rPr>
        <w:t>sten</w:t>
      </w:r>
      <w:proofErr w:type="spellEnd"/>
      <w:r w:rsidRPr="002F5DC5">
        <w:rPr>
          <w:rFonts w:ascii="Bookman Old Style" w:hAnsi="Bookman Old Style"/>
        </w:rPr>
        <w:t xml:space="preserve"> seiner Zeit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w:t>
      </w:r>
      <w:r w:rsidRPr="002F5DC5">
        <w:rPr>
          <w:rFonts w:ascii="Bookman Old Style" w:hAnsi="Bookman Old Style"/>
        </w:rPr>
        <w:br/>
        <w:t xml:space="preserve">Der hat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fu</w:t>
      </w:r>
      <w:r w:rsidR="00091D96" w:rsidRPr="002F5DC5">
        <w:rPr>
          <w:rFonts w:ascii="Bookman Old Style" w:hAnsi="Bookman Old Style"/>
        </w:rPr>
        <w:t>r</w:t>
      </w:r>
      <w:r w:rsidRPr="002F5DC5">
        <w:rPr>
          <w:rFonts w:ascii="Bookman Old Style" w:hAnsi="Bookman Old Style"/>
        </w:rPr>
        <w:t xml:space="preserve"> alle </w:t>
      </w:r>
      <w:proofErr w:type="spellStart"/>
      <w:r w:rsidRPr="002F5DC5">
        <w:rPr>
          <w:rFonts w:ascii="Bookman Old Style" w:hAnsi="Bookman Old Style"/>
        </w:rPr>
        <w:t>Zeiten</w:t>
      </w:r>
      <w:proofErr w:type="spellEnd"/>
      <w:r w:rsidRPr="002F5DC5">
        <w:rPr>
          <w:rFonts w:ascii="Bookman Old Style" w:hAnsi="Bookman Old Style"/>
        </w:rPr>
        <w:t>.'"</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 xml:space="preserve">cause love never </w:t>
      </w:r>
      <w:proofErr w:type="spellStart"/>
      <w:r w:rsidRPr="002F5DC5">
        <w:rPr>
          <w:rFonts w:ascii="Bookman Old Style" w:hAnsi="Bookman Old Style"/>
        </w:rPr>
        <w:t>faileth</w:t>
      </w:r>
      <w:proofErr w:type="spellEnd"/>
      <w:r w:rsidRPr="002F5DC5">
        <w:rPr>
          <w:rFonts w:ascii="Bookman Old Style" w:hAnsi="Bookman Old Style"/>
        </w:rPr>
        <w:t>,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w:t>
      </w:r>
      <w:proofErr w:type="spellStart"/>
      <w:r w:rsidR="001730C7" w:rsidRPr="002F5DC5">
        <w:rPr>
          <w:rFonts w:ascii="Bookman Old Style" w:hAnsi="Bookman Old Style"/>
        </w:rPr>
        <w:t>Principiis</w:t>
      </w:r>
      <w:proofErr w:type="spellEnd"/>
      <w:r w:rsidR="001730C7" w:rsidRPr="002F5DC5">
        <w:rPr>
          <w:rFonts w:ascii="Bookman Old Style" w:hAnsi="Bookman Old Style"/>
        </w:rPr>
        <w:t xml:space="preserve">,"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77765"/>
      <w:r w:rsidRPr="002F5DC5">
        <w:rPr>
          <w:rFonts w:ascii="Bookman Old Style" w:hAnsi="Bookman Old Style"/>
        </w:rPr>
        <w:lastRenderedPageBreak/>
        <w:t>13. A Third Century Group.</w:t>
      </w:r>
      <w:bookmarkEnd w:id="55"/>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77766"/>
      <w:r w:rsidRPr="002F5DC5">
        <w:rPr>
          <w:rFonts w:ascii="Bookman Old Style" w:hAnsi="Bookman Old Style"/>
        </w:rPr>
        <w:t>Hippolytus.</w:t>
      </w:r>
      <w:bookmarkEnd w:id="56"/>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2F5DC5">
        <w:rPr>
          <w:rFonts w:ascii="Bookman Old Style" w:hAnsi="Bookman Old Style"/>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2F5DC5">
        <w:rPr>
          <w:rFonts w:ascii="Bookman Old Style" w:hAnsi="Bookman Old Style"/>
        </w:rPr>
        <w:t>Anacephalaeosis</w:t>
      </w:r>
      <w:proofErr w:type="spellEnd"/>
      <w:r w:rsidRPr="002F5DC5">
        <w:rPr>
          <w:rFonts w:ascii="Bookman Old Style" w:hAnsi="Bookman Old Style"/>
        </w:rPr>
        <w:t xml:space="preserve">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It is curious to notice how the mind of a </w:t>
      </w:r>
      <w:proofErr w:type="spellStart"/>
      <w:r w:rsidRPr="002F5DC5">
        <w:rPr>
          <w:rFonts w:ascii="Bookman Old Style" w:hAnsi="Bookman Old Style"/>
        </w:rPr>
        <w:t>theolo</w:t>
      </w:r>
      <w:proofErr w:type="spellEnd"/>
      <w:r w:rsidRPr="002F5DC5">
        <w:rPr>
          <w:rFonts w:ascii="Bookman Old Style" w:hAnsi="Bookman Old Style"/>
        </w:rPr>
        <w:t xml:space="preserve">- </w:t>
      </w:r>
      <w:proofErr w:type="spellStart"/>
      <w:r w:rsidRPr="002F5DC5">
        <w:rPr>
          <w:rFonts w:ascii="Bookman Old Style" w:hAnsi="Bookman Old Style"/>
        </w:rPr>
        <w:t>gian</w:t>
      </w:r>
      <w:proofErr w:type="spellEnd"/>
      <w:r w:rsidRPr="002F5DC5">
        <w:rPr>
          <w:rFonts w:ascii="Bookman Old Style" w:hAnsi="Bookman Old Style"/>
        </w:rPr>
        <w:t xml:space="preserve">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Pr="002F5DC5">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assage in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w:t>
      </w:r>
      <w:proofErr w:type="spellStart"/>
      <w:r w:rsidRPr="002F5DC5">
        <w:rPr>
          <w:rFonts w:ascii="Bookman Old Style" w:hAnsi="Bookman Old Style"/>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Pr="002F5DC5">
        <w:rPr>
          <w:rFonts w:ascii="Bookman Old Style" w:hAnsi="Bookman Old Style"/>
        </w:rPr>
        <w:t>Thus</w:t>
      </w:r>
      <w:proofErr w:type="gramEnd"/>
      <w:r w:rsidRPr="002F5DC5">
        <w:rPr>
          <w:rFonts w:ascii="Bookman Old Style" w:hAnsi="Bookman Old Style"/>
        </w:rPr>
        <w:t xml:space="preserve">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6"/>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77767"/>
      <w:r w:rsidRPr="002F5DC5">
        <w:rPr>
          <w:rFonts w:ascii="Bookman Old Style" w:hAnsi="Bookman Old Style"/>
        </w:rPr>
        <w:t>Theophilus.</w:t>
      </w:r>
      <w:bookmarkEnd w:id="57"/>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77768"/>
      <w:r w:rsidRPr="002F5DC5">
        <w:rPr>
          <w:rFonts w:ascii="Bookman Old Style" w:hAnsi="Bookman Old Style"/>
        </w:rPr>
        <w:t>Tertullian.</w:t>
      </w:r>
      <w:bookmarkEnd w:id="58"/>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w:t>
      </w:r>
      <w:proofErr w:type="spellStart"/>
      <w:r w:rsidR="0020134B" w:rsidRPr="002F5DC5">
        <w:rPr>
          <w:rFonts w:ascii="Bookman Old Style" w:hAnsi="Bookman Old Style"/>
        </w:rPr>
        <w:t>DePressense</w:t>
      </w:r>
      <w:proofErr w:type="spellEnd"/>
      <w:r w:rsidR="0020134B" w:rsidRPr="002F5DC5">
        <w:rPr>
          <w:rFonts w:ascii="Bookman Old Style" w:hAnsi="Bookman Old Style"/>
        </w:rPr>
        <w:t xml:space="preserv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proofErr w:type="spellStart"/>
      <w:r w:rsidRPr="002F5DC5">
        <w:rPr>
          <w:rFonts w:ascii="Bookman Old Style" w:hAnsi="Bookman Old Style"/>
        </w:rPr>
        <w:t>Ha</w:t>
      </w:r>
      <w:r w:rsidR="0020134B" w:rsidRPr="002F5DC5">
        <w:rPr>
          <w:rFonts w:ascii="Bookman Old Style" w:hAnsi="Bookman Old Style"/>
        </w:rPr>
        <w:t>se</w:t>
      </w:r>
      <w:proofErr w:type="spellEnd"/>
      <w:r w:rsidR="0020134B" w:rsidRPr="002F5DC5">
        <w:rPr>
          <w:rFonts w:ascii="Bookman Old Style" w:hAnsi="Bookman Old Style"/>
        </w:rPr>
        <w:t xml:space="preserv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9" w:name="_Toc118377769"/>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proofErr w:type="spellStart"/>
      <w:r w:rsidR="00091D96" w:rsidRPr="002F5DC5">
        <w:rPr>
          <w:rFonts w:ascii="Bookman Old Style" w:hAnsi="Bookman Old Style"/>
        </w:rPr>
        <w:t>cepted</w:t>
      </w:r>
      <w:proofErr w:type="spellEnd"/>
      <w:r w:rsidR="00091D96" w:rsidRPr="002F5DC5">
        <w:rPr>
          <w:rFonts w:ascii="Bookman Old Style" w:hAnsi="Bookman Old Style"/>
        </w:rPr>
        <w:t xml:space="preserve">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77770"/>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w:t>
      </w:r>
      <w:proofErr w:type="gramStart"/>
      <w:r w:rsidR="004A3C3F" w:rsidRPr="002F5DC5">
        <w:rPr>
          <w:rFonts w:ascii="Bookman Old Style" w:hAnsi="Bookman Old Style"/>
        </w:rPr>
        <w:t xml:space="preserve">is </w:t>
      </w:r>
      <w:r w:rsidRPr="002F5DC5">
        <w:rPr>
          <w:rFonts w:ascii="Bookman Old Style" w:hAnsi="Bookman Old Style"/>
        </w:rPr>
        <w:t>this religious histori</w:t>
      </w:r>
      <w:r w:rsidR="004A3C3F" w:rsidRPr="002F5DC5">
        <w:rPr>
          <w:rFonts w:ascii="Bookman Old Style" w:hAnsi="Bookman Old Style"/>
        </w:rPr>
        <w:t>an</w:t>
      </w:r>
      <w:proofErr w:type="gramEnd"/>
      <w:r w:rsidR="004A3C3F" w:rsidRPr="002F5DC5">
        <w:rPr>
          <w:rFonts w:ascii="Bookman Old Style" w:hAnsi="Bookman Old Style"/>
        </w:rPr>
        <w:t xml:space="preserve">.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w:t>
      </w:r>
      <w:proofErr w:type="spellStart"/>
      <w:r w:rsidRPr="002F5DC5">
        <w:rPr>
          <w:rFonts w:ascii="Bookman Old Style" w:hAnsi="Bookman Old Style"/>
        </w:rPr>
        <w:t>Hagenbach</w:t>
      </w:r>
      <w:proofErr w:type="spellEnd"/>
      <w:r w:rsidRPr="002F5DC5">
        <w:rPr>
          <w:rFonts w:ascii="Bookman Old Style" w:hAnsi="Bookman Old Style"/>
        </w:rPr>
        <w:t xml:space="preserve">,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6"/>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w:t>
      </w:r>
      <w:proofErr w:type="spellStart"/>
      <w:r w:rsidR="004A3C3F" w:rsidRPr="002F5DC5">
        <w:rPr>
          <w:rFonts w:ascii="Bookman Old Style" w:hAnsi="Bookman Old Style"/>
        </w:rPr>
        <w:t>Hagenbach</w:t>
      </w:r>
      <w:proofErr w:type="spellEnd"/>
      <w:r w:rsidR="004A3C3F" w:rsidRPr="002F5DC5">
        <w:rPr>
          <w:rFonts w:ascii="Bookman Old Style" w:hAnsi="Bookman Old Style"/>
        </w:rPr>
        <w:t xml:space="preserve">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 xml:space="preserve">traces in Gregory of Nyssa; while </w:t>
      </w:r>
      <w:proofErr w:type="spellStart"/>
      <w:r w:rsidRPr="002F5DC5">
        <w:rPr>
          <w:rFonts w:ascii="Bookman Old Style" w:hAnsi="Bookman Old Style"/>
        </w:rPr>
        <w:t>Hagenbac</w:t>
      </w:r>
      <w:r w:rsidR="004A3C3F" w:rsidRPr="002F5DC5">
        <w:rPr>
          <w:rFonts w:ascii="Bookman Old Style" w:hAnsi="Bookman Old Style"/>
        </w:rPr>
        <w:t>h</w:t>
      </w:r>
      <w:proofErr w:type="spellEnd"/>
      <w:r w:rsidR="004A3C3F" w:rsidRPr="002F5DC5">
        <w:rPr>
          <w:rFonts w:ascii="Bookman Old Style" w:hAnsi="Bookman Old Style"/>
        </w:rPr>
        <w:t xml:space="preserve">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 xml:space="preserve">nslation of </w:t>
      </w:r>
      <w:proofErr w:type="spellStart"/>
      <w:r w:rsidR="004A3C3F" w:rsidRPr="002F5DC5">
        <w:rPr>
          <w:rFonts w:ascii="Bookman Old Style" w:hAnsi="Bookman Old Style"/>
        </w:rPr>
        <w:t>Guerike's</w:t>
      </w:r>
      <w:proofErr w:type="spellEnd"/>
      <w:r w:rsidR="004A3C3F" w:rsidRPr="002F5DC5">
        <w:rPr>
          <w:rFonts w:ascii="Bookman Old Style" w:hAnsi="Bookman Old Style"/>
        </w:rPr>
        <w:t xml:space="preserve"> Church History:</w:t>
      </w:r>
      <w:r w:rsidR="004A3C3F" w:rsidRPr="002F5DC5">
        <w:rPr>
          <w:rStyle w:val="FootnoteReference"/>
          <w:rFonts w:ascii="Bookman Old Style" w:hAnsi="Bookman Old Style"/>
        </w:rPr>
        <w:footnoteReference w:id="287"/>
      </w:r>
      <w:r w:rsidR="004A3C3F" w:rsidRPr="002F5DC5">
        <w:rPr>
          <w:rFonts w:ascii="Bookman Old Style" w:hAnsi="Bookman Old Style"/>
        </w:rPr>
        <w:t xml:space="preserve"> "It is noticeable that the </w:t>
      </w:r>
      <w:proofErr w:type="spellStart"/>
      <w:r w:rsidRPr="002F5DC5">
        <w:rPr>
          <w:rFonts w:ascii="Bookman Old Style" w:hAnsi="Bookman Old Style"/>
        </w:rPr>
        <w:t>exegetico</w:t>
      </w:r>
      <w:proofErr w:type="spellEnd"/>
      <w:r w:rsidRPr="002F5DC5">
        <w:rPr>
          <w:rFonts w:ascii="Bookman Old Style" w:hAnsi="Bookman Old Style"/>
        </w:rPr>
        <w:t>-grammatical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w:t>
      </w:r>
      <w:proofErr w:type="spellStart"/>
      <w:r w:rsidR="004A3C3F" w:rsidRPr="002F5DC5">
        <w:rPr>
          <w:rFonts w:ascii="Bookman Old Style" w:hAnsi="Bookman Old Style"/>
        </w:rPr>
        <w:t>Hagenbach</w:t>
      </w:r>
      <w:proofErr w:type="spellEnd"/>
      <w:r w:rsidR="004A3C3F" w:rsidRPr="002F5DC5">
        <w:rPr>
          <w:rFonts w:ascii="Bookman Old Style" w:hAnsi="Bookman Old Style"/>
        </w:rPr>
        <w:t xml:space="preserve">,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xml:space="preserve">" </w:t>
      </w:r>
      <w:proofErr w:type="spellStart"/>
      <w:r w:rsidRPr="002F5DC5">
        <w:rPr>
          <w:rFonts w:ascii="Bookman Old Style" w:hAnsi="Bookman Old Style"/>
        </w:rPr>
        <w:t>Ha</w:t>
      </w:r>
      <w:r w:rsidR="004A3C3F" w:rsidRPr="002F5DC5">
        <w:rPr>
          <w:rFonts w:ascii="Bookman Old Style" w:hAnsi="Bookman Old Style"/>
        </w:rPr>
        <w:t>genbach</w:t>
      </w:r>
      <w:proofErr w:type="spellEnd"/>
      <w:r w:rsidR="004A3C3F" w:rsidRPr="002F5DC5">
        <w:rPr>
          <w:rFonts w:ascii="Bookman Old Style" w:hAnsi="Bookman Old Style"/>
        </w:rPr>
        <w:t xml:space="preserve">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77771"/>
      <w:r w:rsidRPr="002F5DC5">
        <w:rPr>
          <w:rFonts w:ascii="Bookman Old Style" w:hAnsi="Bookman Old Style"/>
        </w:rPr>
        <w:lastRenderedPageBreak/>
        <w:t>14. Minor Authorities.</w:t>
      </w:r>
      <w:bookmarkEnd w:id="61"/>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lled the "Second Origen," (</w:t>
      </w:r>
      <w:proofErr w:type="spellStart"/>
      <w:r w:rsidR="009240DE" w:rsidRPr="002F5DC5">
        <w:rPr>
          <w:rFonts w:ascii="Bookman Old Style" w:hAnsi="Bookman Old Style"/>
        </w:rPr>
        <w:t>Origenes</w:t>
      </w:r>
      <w:proofErr w:type="spellEnd"/>
      <w:r w:rsidR="009240DE" w:rsidRPr="002F5DC5">
        <w:rPr>
          <w:rFonts w:ascii="Bookman Old Style" w:hAnsi="Bookman Old Style"/>
        </w:rPr>
        <w:t xml:space="preserve">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w:t>
      </w:r>
      <w:proofErr w:type="spellStart"/>
      <w:r w:rsidR="00091D96" w:rsidRPr="002F5DC5">
        <w:rPr>
          <w:rFonts w:ascii="Bookman Old Style" w:hAnsi="Bookman Old Style"/>
        </w:rPr>
        <w:t>Universalian</w:t>
      </w:r>
      <w:proofErr w:type="spellEnd"/>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 xml:space="preserve">t of it." He became bishop of </w:t>
      </w:r>
      <w:proofErr w:type="gramStart"/>
      <w:r w:rsidRPr="002F5DC5">
        <w:rPr>
          <w:rFonts w:ascii="Bookman Old Style" w:hAnsi="Bookman Old Style"/>
        </w:rPr>
        <w:t>Ca</w:t>
      </w:r>
      <w:r w:rsidR="00091D96" w:rsidRPr="002F5DC5">
        <w:rPr>
          <w:rFonts w:ascii="Bookman Old Style" w:hAnsi="Bookman Old Style"/>
        </w:rPr>
        <w:t>esarea, and</w:t>
      </w:r>
      <w:proofErr w:type="gramEnd"/>
      <w:r w:rsidR="00091D96" w:rsidRPr="002F5DC5">
        <w:rPr>
          <w:rFonts w:ascii="Bookman Old Style" w:hAnsi="Bookman Old Style"/>
        </w:rPr>
        <w:t xml:space="preserve">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2F5DC5">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"Apology"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own name to "</w:t>
      </w:r>
      <w:proofErr w:type="spellStart"/>
      <w:r w:rsidRPr="002F5DC5">
        <w:rPr>
          <w:rFonts w:ascii="Bookman Old Style" w:hAnsi="Bookman Old Style"/>
        </w:rPr>
        <w:t>Pamphilus's</w:t>
      </w:r>
      <w:proofErr w:type="spellEnd"/>
      <w:r w:rsidRPr="002F5DC5">
        <w:rPr>
          <w:rFonts w:ascii="Bookman Old Style" w:hAnsi="Bookman Old Style"/>
        </w:rPr>
        <w:t xml:space="preserve">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 xml:space="preserve">"With </w:t>
      </w:r>
      <w:proofErr w:type="spellStart"/>
      <w:r w:rsidRPr="002F5DC5">
        <w:rPr>
          <w:rFonts w:ascii="Bookman Old Style" w:hAnsi="Bookman Old Style"/>
        </w:rPr>
        <w:t>Pamphilus</w:t>
      </w:r>
      <w:proofErr w:type="spellEnd"/>
      <w:r w:rsidRPr="002F5DC5">
        <w:rPr>
          <w:rFonts w:ascii="Bookman Old Style" w:hAnsi="Bookman Old Style"/>
        </w:rPr>
        <w:t>,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Eusebius is as severe in describing the sinner's woes as Augustine himself. He says: "Who those were (whose worm </w:t>
      </w:r>
      <w:proofErr w:type="spellStart"/>
      <w:r w:rsidRPr="002F5DC5">
        <w:rPr>
          <w:rFonts w:ascii="Bookman Old Style" w:hAnsi="Bookman Old Style"/>
        </w:rPr>
        <w:t>dieth</w:t>
      </w:r>
      <w:proofErr w:type="spellEnd"/>
      <w:r w:rsidRPr="002F5DC5">
        <w:rPr>
          <w:rFonts w:ascii="Bookman Old Style" w:hAnsi="Bookman Old Style"/>
        </w:rPr>
        <w:t xml:space="preserve">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 xml:space="preserve">and they have set me at </w:t>
      </w:r>
      <w:proofErr w:type="spellStart"/>
      <w:r w:rsidRPr="002F5DC5">
        <w:rPr>
          <w:rFonts w:ascii="Bookman Old Style" w:hAnsi="Bookman Old Style"/>
        </w:rPr>
        <w:t>nought</w:t>
      </w:r>
      <w:proofErr w:type="spellEnd"/>
      <w:r w:rsidRPr="002F5DC5">
        <w:rPr>
          <w:rFonts w:ascii="Bookman Old Style" w:hAnsi="Bookman Old Style"/>
        </w:rPr>
        <w:t>.’</w:t>
      </w:r>
      <w:r w:rsidR="00091D96" w:rsidRPr="002F5DC5">
        <w:rPr>
          <w:rFonts w:ascii="Bookman Old Style" w:hAnsi="Bookman Old Style"/>
        </w:rPr>
        <w:t xml:space="preserve"> He spoke darkly then of those of the Jews who set at </w:t>
      </w:r>
      <w:proofErr w:type="spellStart"/>
      <w:r w:rsidR="00091D96" w:rsidRPr="002F5DC5">
        <w:rPr>
          <w:rFonts w:ascii="Bookman Old Style" w:hAnsi="Bookman Old Style"/>
        </w:rPr>
        <w:t>nought</w:t>
      </w:r>
      <w:proofErr w:type="spellEnd"/>
      <w:r w:rsidR="00091D96" w:rsidRPr="002F5DC5">
        <w:rPr>
          <w:rFonts w:ascii="Bookman Old Style" w:hAnsi="Bookman Old Style"/>
        </w:rPr>
        <w:t xml:space="preserve">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proofErr w:type="spellStart"/>
      <w:r w:rsidR="00091D96" w:rsidRPr="002F5DC5">
        <w:rPr>
          <w:rFonts w:ascii="Bookman Old Style" w:hAnsi="Bookman Old Style"/>
          <w:i/>
        </w:rPr>
        <w:t>aionian</w:t>
      </w:r>
      <w:proofErr w:type="spellEnd"/>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proofErr w:type="spellStart"/>
      <w:r w:rsidRPr="002F5DC5">
        <w:rPr>
          <w:rFonts w:ascii="Bookman Old Style" w:hAnsi="Bookman Old Style"/>
          <w:i/>
        </w:rPr>
        <w:t>aionian</w:t>
      </w:r>
      <w:proofErr w:type="spellEnd"/>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93"/>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w:t>
      </w:r>
      <w:proofErr w:type="gramStart"/>
      <w:r w:rsidRPr="002F5DC5">
        <w:rPr>
          <w:rFonts w:ascii="Bookman Old Style" w:hAnsi="Bookman Old Style"/>
        </w:rPr>
        <w:t>age, and</w:t>
      </w:r>
      <w:proofErr w:type="gramEnd"/>
      <w:r w:rsidRPr="002F5DC5">
        <w:rPr>
          <w:rFonts w:ascii="Bookman Old Style" w:hAnsi="Bookman Old Style"/>
        </w:rPr>
        <w:t xml:space="preserve">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proofErr w:type="spellStart"/>
      <w:r w:rsidRPr="002F5DC5">
        <w:rPr>
          <w:rFonts w:ascii="Bookman Old Style" w:hAnsi="Bookman Old Style"/>
        </w:rPr>
        <w:t>demn</w:t>
      </w:r>
      <w:proofErr w:type="spellEnd"/>
      <w:r w:rsidRPr="002F5DC5">
        <w:rPr>
          <w:rFonts w:ascii="Bookman Old Style" w:hAnsi="Bookman Old Style"/>
        </w:rPr>
        <w:t xml:space="preserve">."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w:t>
      </w:r>
      <w:proofErr w:type="spellStart"/>
      <w:r w:rsidR="00C04506" w:rsidRPr="002F5DC5">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77772"/>
      <w:r w:rsidRPr="002F5DC5">
        <w:rPr>
          <w:rFonts w:ascii="Bookman Old Style" w:hAnsi="Bookman Old Style"/>
        </w:rPr>
        <w:t>Epiphanius.</w:t>
      </w:r>
      <w:bookmarkEnd w:id="62"/>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In his book against heresies, "The </w:t>
      </w:r>
      <w:proofErr w:type="spellStart"/>
      <w:r w:rsidRPr="002F5DC5">
        <w:rPr>
          <w:rFonts w:ascii="Bookman Old Style" w:hAnsi="Bookman Old Style"/>
        </w:rPr>
        <w:t>Panarion</w:t>
      </w:r>
      <w:proofErr w:type="spellEnd"/>
      <w:r w:rsidRPr="002F5DC5">
        <w:rPr>
          <w:rFonts w:ascii="Bookman Old Style" w:hAnsi="Bookman Old Style"/>
        </w:rPr>
        <w:t>,"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77773"/>
      <w:r w:rsidRPr="002F5DC5">
        <w:rPr>
          <w:rFonts w:ascii="Bookman Old Style" w:hAnsi="Bookman Old Style"/>
        </w:rPr>
        <w:lastRenderedPageBreak/>
        <w:t>15. Gregory Nazianzen.</w:t>
      </w:r>
      <w:bookmarkEnd w:id="63"/>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proofErr w:type="gramStart"/>
      <w:r w:rsidR="00091D96" w:rsidRPr="002F5DC5">
        <w:rPr>
          <w:rFonts w:ascii="Bookman Old Style" w:hAnsi="Bookman Old Style"/>
        </w:rPr>
        <w:t>Emperor</w:t>
      </w:r>
      <w:proofErr w:type="gramEnd"/>
      <w:r w:rsidR="00091D96" w:rsidRPr="002F5DC5">
        <w:rPr>
          <w:rFonts w:ascii="Bookman Old Style" w:hAnsi="Bookman Old Style"/>
        </w:rPr>
        <w:t xml:space="preserve">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Pr="002F5DC5">
        <w:rPr>
          <w:rFonts w:ascii="Bookman Old Style" w:hAnsi="Bookman Old Style"/>
        </w:rPr>
        <w:t xml:space="preserve">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77774"/>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10"/>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 xml:space="preserve">odore of </w:t>
      </w:r>
      <w:proofErr w:type="spellStart"/>
      <w:r w:rsidRPr="002F5DC5">
        <w:rPr>
          <w:rFonts w:ascii="Bookman Old Style" w:hAnsi="Bookman Old Style"/>
        </w:rPr>
        <w:t>Mopsuestia</w:t>
      </w:r>
      <w:proofErr w:type="spellEnd"/>
      <w:r w:rsidRPr="002F5DC5">
        <w:rPr>
          <w:rFonts w:ascii="Bookman Old Style" w:hAnsi="Bookman Old Style"/>
        </w:rPr>
        <w:t>,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77775"/>
      <w:r w:rsidRPr="002F5DC5">
        <w:rPr>
          <w:rFonts w:ascii="Bookman Old Style" w:hAnsi="Bookman Old Style"/>
        </w:rPr>
        <w:t>The Nestorians.</w:t>
      </w:r>
      <w:bookmarkEnd w:id="65"/>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14"/>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6" w:name="_Toc118377776"/>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77777"/>
      <w:r w:rsidRPr="002F5DC5">
        <w:rPr>
          <w:rFonts w:ascii="Bookman Old Style" w:hAnsi="Bookman Old Style"/>
        </w:rPr>
        <w:lastRenderedPageBreak/>
        <w:t>17. A Notable Family.</w:t>
      </w:r>
      <w:bookmarkEnd w:id="67"/>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77778"/>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77779"/>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77780"/>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77781"/>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77782"/>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77783"/>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77784"/>
      <w:r w:rsidRPr="002F5DC5">
        <w:rPr>
          <w:rFonts w:ascii="Bookman Old Style" w:hAnsi="Bookman Old Style"/>
        </w:rPr>
        <w:t>Ambrose of Milan.</w:t>
      </w:r>
      <w:bookmarkEnd w:id="74"/>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77785"/>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77786"/>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77787"/>
      <w:r w:rsidRPr="002F5DC5">
        <w:rPr>
          <w:rFonts w:ascii="Bookman Old Style" w:hAnsi="Bookman Old Style"/>
        </w:rPr>
        <w:t>Marius Victorinus.</w:t>
      </w:r>
      <w:bookmarkEnd w:id="77"/>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77788"/>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proofErr w:type="gramEnd"/>
      <w:r w:rsidR="00B342DC" w:rsidRPr="002F5DC5">
        <w:rPr>
          <w:rFonts w:ascii="Bookman Old Style" w:hAnsi="Bookman Old Style"/>
        </w:rPr>
        <w:t xml:space="preserve">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77789"/>
      <w:r w:rsidRPr="002F5DC5">
        <w:rPr>
          <w:rFonts w:ascii="Bookman Old Style" w:hAnsi="Bookman Old Style"/>
        </w:rPr>
        <w:t>John Cassian.</w:t>
      </w:r>
      <w:bookmarkEnd w:id="79"/>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77790"/>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77791"/>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77792"/>
      <w:r w:rsidRPr="002F5DC5">
        <w:rPr>
          <w:rFonts w:ascii="Bookman Old Style" w:hAnsi="Bookman Old Style"/>
        </w:rPr>
        <w:t>Cyril of Alexandria.</w:t>
      </w:r>
      <w:bookmarkEnd w:id="82"/>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9"/>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77793"/>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77777777"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"De </w:t>
      </w:r>
      <w:proofErr w:type="spellStart"/>
      <w:r w:rsidRPr="002F5DC5">
        <w:rPr>
          <w:rFonts w:ascii="Bookman Old Style" w:hAnsi="Bookman Old Style"/>
        </w:rPr>
        <w:t>Princi</w:t>
      </w:r>
      <w:r w:rsidR="00091D96" w:rsidRPr="002F5DC5">
        <w:rPr>
          <w:rFonts w:ascii="Bookman Old Style" w:hAnsi="Bookman Old Style"/>
        </w:rPr>
        <w:t>piis</w:t>
      </w:r>
      <w:proofErr w:type="spellEnd"/>
      <w:r w:rsidR="00091D96" w:rsidRPr="002F5DC5">
        <w:rPr>
          <w:rFonts w:ascii="Bookman Old Style" w:hAnsi="Bookman Old Style"/>
        </w:rPr>
        <w:t>"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77794"/>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77795"/>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63"/>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64"/>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77796"/>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77797"/>
      <w:proofErr w:type="spellStart"/>
      <w:r w:rsidRPr="002F5DC5">
        <w:rPr>
          <w:rFonts w:ascii="Bookman Old Style" w:hAnsi="Bookman Old Style"/>
        </w:rPr>
        <w:t>Macarius</w:t>
      </w:r>
      <w:proofErr w:type="spellEnd"/>
      <w:r w:rsidRPr="002F5DC5">
        <w:rPr>
          <w:rFonts w:ascii="Bookman Old Style" w:hAnsi="Bookman Old Style"/>
        </w:rPr>
        <w:t>.</w:t>
      </w:r>
      <w:bookmarkEnd w:id="87"/>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77798"/>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77799"/>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77800"/>
      <w:r w:rsidRPr="002F5DC5">
        <w:rPr>
          <w:rFonts w:ascii="Bookman Old Style" w:hAnsi="Bookman Old Style"/>
        </w:rPr>
        <w:t>Maximus, the Confessor.</w:t>
      </w:r>
      <w:bookmarkEnd w:id="90"/>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77801"/>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7"/>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77802"/>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77803"/>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w:t>
      </w:r>
      <w:proofErr w:type="spellStart"/>
      <w:r w:rsidRPr="002F5DC5">
        <w:rPr>
          <w:rFonts w:ascii="Bookman Old Style" w:hAnsi="Bookman Old Style"/>
        </w:rPr>
        <w:t>Mopsuestia</w:t>
      </w:r>
      <w:proofErr w:type="spellEnd"/>
      <w:r w:rsidRPr="002F5DC5">
        <w:rPr>
          <w:rFonts w:ascii="Bookman Old Style" w:hAnsi="Bookman Old Style"/>
        </w:rPr>
        <w:t>,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77804"/>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me's translation of Origen's “</w:t>
      </w:r>
      <w:proofErr w:type="spellStart"/>
      <w:r w:rsidR="00AF07A4" w:rsidRPr="002F5DC5">
        <w:rPr>
          <w:rFonts w:ascii="Bookman Old Style" w:hAnsi="Bookman Old Style"/>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90"/>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2"/>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77805"/>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8"/>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9"/>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0"/>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1"/>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2"/>
      </w:r>
    </w:p>
    <w:p w14:paraId="0D68CBAB" w14:textId="77777777" w:rsidR="00091D96" w:rsidRPr="002F5DC5" w:rsidRDefault="00091D96" w:rsidP="00FC41E0">
      <w:pPr>
        <w:pStyle w:val="Heading2"/>
        <w:rPr>
          <w:rFonts w:ascii="Bookman Old Style" w:hAnsi="Bookman Old Style"/>
        </w:rPr>
      </w:pPr>
      <w:bookmarkStart w:id="96" w:name="_Toc118377806"/>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3"/>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4"/>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5"/>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6"/>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77807"/>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7"/>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8"/>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9"/>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0"/>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1"/>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2"/>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77808"/>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3"/>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77809"/>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77810"/>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77811"/>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77812"/>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77813"/>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77814"/>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77815"/>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77816"/>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77817"/>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77818"/>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77819"/>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77820"/>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77821"/>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77822"/>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77823"/>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77824"/>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77825"/>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77826"/>
      <w:r w:rsidRPr="002F5DC5">
        <w:rPr>
          <w:rFonts w:ascii="Bookman Old Style" w:hAnsi="Bookman Old Style"/>
        </w:rPr>
        <w:lastRenderedPageBreak/>
        <w:t>What Has Changed?</w:t>
      </w:r>
      <w:bookmarkEnd w:id="116"/>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52220" w14:textId="77777777" w:rsidR="00062099" w:rsidRDefault="00062099" w:rsidP="00661298">
      <w:pPr>
        <w:spacing w:after="0" w:line="240" w:lineRule="auto"/>
      </w:pPr>
      <w:r>
        <w:separator/>
      </w:r>
    </w:p>
  </w:endnote>
  <w:endnote w:type="continuationSeparator" w:id="0">
    <w:p w14:paraId="0A5DFE27" w14:textId="77777777" w:rsidR="00062099" w:rsidRDefault="00062099"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09A2" w14:textId="77777777" w:rsidR="00062099" w:rsidRDefault="00062099" w:rsidP="00661298">
      <w:pPr>
        <w:spacing w:after="0" w:line="240" w:lineRule="auto"/>
      </w:pPr>
      <w:r>
        <w:separator/>
      </w:r>
    </w:p>
  </w:footnote>
  <w:footnote w:type="continuationSeparator" w:id="0">
    <w:p w14:paraId="31F8F33F" w14:textId="77777777" w:rsidR="00062099" w:rsidRDefault="00062099"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Aionion,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Celsus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Migne,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w:t>
      </w:r>
      <w:r>
        <w:t xml:space="preserve">JW: </w:t>
      </w:r>
      <w:r>
        <w:t xml:space="preserve">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Migne.</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Principiis,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77777777"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Ag. </w:t>
      </w:r>
      <w:proofErr w:type="spellStart"/>
      <w:r>
        <w:t>Cels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7777777" w:rsidR="00210409" w:rsidRDefault="00210409">
      <w:pPr>
        <w:pStyle w:val="FootnoteText"/>
      </w:pPr>
      <w:r>
        <w:rPr>
          <w:rStyle w:val="FootnoteReference"/>
        </w:rPr>
        <w:footnoteRef/>
      </w:r>
      <w:r>
        <w:t xml:space="preserve"> Ag. </w:t>
      </w:r>
      <w:proofErr w:type="spellStart"/>
      <w:r>
        <w:t>Cels</w:t>
      </w:r>
      <w:proofErr w:type="spellEnd"/>
      <w:r>
        <w:t>. V. xv.</w:t>
      </w:r>
    </w:p>
  </w:footnote>
  <w:footnote w:id="239">
    <w:p w14:paraId="0D68CCC8" w14:textId="77777777" w:rsidR="00210409" w:rsidRDefault="00210409">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40">
    <w:p w14:paraId="0D68CCC9"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77777777" w:rsidR="00210409" w:rsidRDefault="00210409">
      <w:pPr>
        <w:pStyle w:val="FootnoteText"/>
      </w:pPr>
      <w:r>
        <w:rPr>
          <w:rStyle w:val="FootnoteReference"/>
        </w:rPr>
        <w:footnoteRef/>
      </w:r>
      <w:r>
        <w:t xml:space="preserve"> Ag. </w:t>
      </w:r>
      <w:proofErr w:type="spellStart"/>
      <w:r>
        <w:t>Cels</w:t>
      </w:r>
      <w:proofErr w:type="spellEnd"/>
      <w:r>
        <w:t xml:space="preserve">. VI. </w:t>
      </w:r>
      <w:proofErr w:type="spellStart"/>
      <w:r>
        <w:t>Xxvi</w:t>
      </w:r>
      <w:proofErr w:type="spellEnd"/>
      <w:r>
        <w:t>.</w:t>
      </w:r>
    </w:p>
  </w:footnote>
  <w:footnote w:id="243">
    <w:p w14:paraId="0D68CCCC" w14:textId="77777777" w:rsidR="00210409" w:rsidRDefault="00210409">
      <w:pPr>
        <w:pStyle w:val="FootnoteText"/>
      </w:pPr>
      <w:r>
        <w:rPr>
          <w:rStyle w:val="FootnoteReference"/>
        </w:rPr>
        <w:footnoteRef/>
      </w:r>
      <w:r>
        <w:t xml:space="preserve"> Ag. </w:t>
      </w:r>
      <w:proofErr w:type="spellStart"/>
      <w:r>
        <w:t>Cels</w:t>
      </w:r>
      <w:proofErr w:type="spellEnd"/>
      <w:r>
        <w:t>. V. xv, xvi.</w:t>
      </w:r>
    </w:p>
  </w:footnote>
  <w:footnote w:id="244">
    <w:p w14:paraId="0D68CCCD"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77777777" w:rsidR="00210409" w:rsidRDefault="00210409">
      <w:pPr>
        <w:pStyle w:val="FootnoteText"/>
      </w:pPr>
      <w:r>
        <w:rPr>
          <w:rStyle w:val="FootnoteReference"/>
        </w:rPr>
        <w:footnoteRef/>
      </w:r>
      <w:r>
        <w:t xml:space="preserve"> Ag. </w:t>
      </w:r>
      <w:proofErr w:type="spellStart"/>
      <w:r>
        <w:t>Cels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Migne, Vol. XXIV, pp. 1030-33.</w:t>
      </w:r>
    </w:p>
  </w:footnote>
  <w:footnote w:id="293">
    <w:p w14:paraId="0D68CCFE" w14:textId="77777777" w:rsidR="00210409" w:rsidRDefault="00210409">
      <w:pPr>
        <w:pStyle w:val="FootnoteText"/>
      </w:pPr>
      <w:r>
        <w:rPr>
          <w:rStyle w:val="FootnoteReference"/>
        </w:rPr>
        <w:footnoteRef/>
      </w:r>
      <w:r>
        <w:t xml:space="preserve"> Sermon Major de fide. Migne,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77777777" w:rsidR="00210409" w:rsidRDefault="00210409">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Photius,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lib. I:25, Migne,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Migne,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Pasch. xx. Migne,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Migne Vol. XXII.</w:t>
      </w:r>
    </w:p>
  </w:footnote>
  <w:footnote w:id="370">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0D68CD5F" w14:textId="77777777" w:rsidR="00210409" w:rsidRDefault="00210409">
      <w:pPr>
        <w:pStyle w:val="FootnoteText"/>
      </w:pPr>
      <w:r>
        <w:rPr>
          <w:rStyle w:val="FootnoteReference"/>
        </w:rPr>
        <w:footnoteRef/>
      </w:r>
      <w:r>
        <w:t xml:space="preserve"> Latin Christianity, I, 127.</w:t>
      </w:r>
    </w:p>
  </w:footnote>
  <w:footnote w:id="391">
    <w:p w14:paraId="0D68CD60" w14:textId="77777777" w:rsidR="00210409" w:rsidRDefault="00210409">
      <w:pPr>
        <w:pStyle w:val="FootnoteText"/>
      </w:pPr>
      <w:r>
        <w:rPr>
          <w:rStyle w:val="FootnoteReference"/>
        </w:rPr>
        <w:footnoteRef/>
      </w:r>
      <w:r>
        <w:t xml:space="preserve"> Farrar’s Lives of the Fathers.</w:t>
      </w:r>
    </w:p>
  </w:footnote>
  <w:footnote w:id="392">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3">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4">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395">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6">
    <w:p w14:paraId="0D68CD65" w14:textId="77777777" w:rsidR="00210409" w:rsidRDefault="00210409">
      <w:pPr>
        <w:pStyle w:val="FootnoteText"/>
      </w:pPr>
      <w:r>
        <w:rPr>
          <w:rStyle w:val="FootnoteReference"/>
        </w:rPr>
        <w:footnoteRef/>
      </w:r>
      <w:r>
        <w:t xml:space="preserve"> See pg. 284 in original.</w:t>
      </w:r>
    </w:p>
  </w:footnote>
  <w:footnote w:id="397">
    <w:p w14:paraId="0D68CD66" w14:textId="77777777" w:rsidR="00210409" w:rsidRDefault="00210409">
      <w:pPr>
        <w:pStyle w:val="FootnoteText"/>
      </w:pPr>
      <w:r>
        <w:rPr>
          <w:rStyle w:val="FootnoteReference"/>
        </w:rPr>
        <w:footnoteRef/>
      </w:r>
      <w:r>
        <w:t xml:space="preserve"> Landon, pp. 177-8.</w:t>
      </w:r>
    </w:p>
  </w:footnote>
  <w:footnote w:id="398">
    <w:p w14:paraId="0D68CD67" w14:textId="77777777" w:rsidR="00210409" w:rsidRDefault="00210409">
      <w:pPr>
        <w:pStyle w:val="FootnoteText"/>
      </w:pPr>
      <w:r>
        <w:rPr>
          <w:rStyle w:val="FootnoteReference"/>
        </w:rPr>
        <w:footnoteRef/>
      </w:r>
      <w:r>
        <w:t xml:space="preserve"> Landon, Manual of Councils, London, 1846, pg. 174.</w:t>
      </w:r>
    </w:p>
  </w:footnote>
  <w:footnote w:id="399">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0">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1">
    <w:p w14:paraId="0D68CD6A" w14:textId="77777777" w:rsidR="00210409" w:rsidRDefault="00210409">
      <w:pPr>
        <w:pStyle w:val="FootnoteText"/>
      </w:pPr>
      <w:r>
        <w:rPr>
          <w:rStyle w:val="FootnoteReference"/>
        </w:rPr>
        <w:footnoteRef/>
      </w:r>
      <w:r>
        <w:t xml:space="preserve"> See pg. 288 in original.</w:t>
      </w:r>
    </w:p>
  </w:footnote>
  <w:footnote w:id="402">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3">
    <w:p w14:paraId="0D68CD6C" w14:textId="77777777" w:rsidR="00210409" w:rsidRDefault="00210409">
      <w:pPr>
        <w:pStyle w:val="FootnoteText"/>
      </w:pPr>
      <w:r>
        <w:rPr>
          <w:rStyle w:val="FootnoteReference"/>
        </w:rPr>
        <w:footnoteRef/>
      </w:r>
      <w:r>
        <w:t xml:space="preserve"> Latin Christ. I, pg. 227.</w:t>
      </w:r>
    </w:p>
  </w:footnote>
  <w:footnote w:id="404">
    <w:p w14:paraId="0D68CD6D" w14:textId="77777777" w:rsidR="00210409" w:rsidRDefault="00210409">
      <w:pPr>
        <w:pStyle w:val="FootnoteText"/>
      </w:pPr>
      <w:r>
        <w:rPr>
          <w:rStyle w:val="FootnoteReference"/>
        </w:rPr>
        <w:footnoteRef/>
      </w:r>
      <w:r>
        <w:t xml:space="preserve"> Outlines Hist. Dog., pp. 204, 208, 320, 323.</w:t>
      </w:r>
    </w:p>
  </w:footnote>
  <w:footnote w:id="405">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6">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7">
    <w:p w14:paraId="0D68CD70" w14:textId="77777777" w:rsidR="00210409" w:rsidRDefault="00210409">
      <w:pPr>
        <w:pStyle w:val="FootnoteText"/>
      </w:pPr>
      <w:r>
        <w:rPr>
          <w:rStyle w:val="FootnoteReference"/>
        </w:rPr>
        <w:footnoteRef/>
      </w:r>
      <w:r>
        <w:t xml:space="preserve"> Alexandria and her Schools.</w:t>
      </w:r>
    </w:p>
  </w:footnote>
  <w:footnote w:id="408">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9">
    <w:p w14:paraId="0D68CD72" w14:textId="77777777" w:rsidR="00210409" w:rsidRDefault="00210409">
      <w:pPr>
        <w:pStyle w:val="FootnoteText"/>
      </w:pPr>
      <w:r>
        <w:rPr>
          <w:rStyle w:val="FootnoteReference"/>
        </w:rPr>
        <w:footnoteRef/>
      </w:r>
      <w:r>
        <w:t xml:space="preserve"> Rev. S. Crane, D.D., in The Universalist.</w:t>
      </w:r>
    </w:p>
  </w:footnote>
  <w:footnote w:id="410">
    <w:p w14:paraId="0D68CD73" w14:textId="77777777" w:rsidR="00210409" w:rsidRDefault="00210409">
      <w:pPr>
        <w:pStyle w:val="FootnoteText"/>
      </w:pPr>
      <w:r>
        <w:rPr>
          <w:rStyle w:val="FootnoteReference"/>
        </w:rPr>
        <w:footnoteRef/>
      </w:r>
      <w:r>
        <w:t xml:space="preserve"> Grimm’s Michael Angelo.</w:t>
      </w:r>
    </w:p>
  </w:footnote>
  <w:footnote w:id="411">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2">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099"/>
    <w:rsid w:val="000628B5"/>
    <w:rsid w:val="000754AD"/>
    <w:rsid w:val="000758F8"/>
    <w:rsid w:val="00085E7D"/>
    <w:rsid w:val="00091D96"/>
    <w:rsid w:val="00093C0C"/>
    <w:rsid w:val="000B73DB"/>
    <w:rsid w:val="000E3C62"/>
    <w:rsid w:val="00111DDF"/>
    <w:rsid w:val="001224E0"/>
    <w:rsid w:val="001312CD"/>
    <w:rsid w:val="001340E3"/>
    <w:rsid w:val="00155E56"/>
    <w:rsid w:val="001621F4"/>
    <w:rsid w:val="001730C7"/>
    <w:rsid w:val="00174940"/>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4E59"/>
    <w:rsid w:val="00353C2B"/>
    <w:rsid w:val="00362398"/>
    <w:rsid w:val="00377200"/>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C3F"/>
    <w:rsid w:val="004C2AB3"/>
    <w:rsid w:val="004C5AAD"/>
    <w:rsid w:val="004D1B8A"/>
    <w:rsid w:val="004E3BF8"/>
    <w:rsid w:val="004E64CE"/>
    <w:rsid w:val="004E7976"/>
    <w:rsid w:val="00502A48"/>
    <w:rsid w:val="00524ECB"/>
    <w:rsid w:val="00526CC2"/>
    <w:rsid w:val="00540B03"/>
    <w:rsid w:val="00556C34"/>
    <w:rsid w:val="00580870"/>
    <w:rsid w:val="00586B23"/>
    <w:rsid w:val="00592BE3"/>
    <w:rsid w:val="00596BAE"/>
    <w:rsid w:val="00597B90"/>
    <w:rsid w:val="005A4D11"/>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3ADF"/>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94EC8"/>
    <w:rsid w:val="00B977A8"/>
    <w:rsid w:val="00BA51ED"/>
    <w:rsid w:val="00BB534C"/>
    <w:rsid w:val="00BC003A"/>
    <w:rsid w:val="00BC3C16"/>
    <w:rsid w:val="00BC5F97"/>
    <w:rsid w:val="00BC725B"/>
    <w:rsid w:val="00BC7E06"/>
    <w:rsid w:val="00BF7D55"/>
    <w:rsid w:val="00C04506"/>
    <w:rsid w:val="00C07A79"/>
    <w:rsid w:val="00C11F5A"/>
    <w:rsid w:val="00C12855"/>
    <w:rsid w:val="00C138BA"/>
    <w:rsid w:val="00C22834"/>
    <w:rsid w:val="00C24F14"/>
    <w:rsid w:val="00C3361C"/>
    <w:rsid w:val="00C37BC2"/>
    <w:rsid w:val="00C41037"/>
    <w:rsid w:val="00C5038C"/>
    <w:rsid w:val="00C606EF"/>
    <w:rsid w:val="00C63A0F"/>
    <w:rsid w:val="00C91C23"/>
    <w:rsid w:val="00C9708A"/>
    <w:rsid w:val="00CA0B55"/>
    <w:rsid w:val="00CA2C96"/>
    <w:rsid w:val="00CB42D9"/>
    <w:rsid w:val="00CE2A68"/>
    <w:rsid w:val="00D033D0"/>
    <w:rsid w:val="00D1233F"/>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424C8"/>
    <w:rsid w:val="00E47806"/>
    <w:rsid w:val="00E61ACC"/>
    <w:rsid w:val="00E7084A"/>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180</Pages>
  <Words>70751</Words>
  <Characters>403284</Characters>
  <Application>Microsoft Office Word</Application>
  <DocSecurity>0</DocSecurity>
  <Lines>3360</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17</cp:revision>
  <dcterms:created xsi:type="dcterms:W3CDTF">2021-12-30T21:50:00Z</dcterms:created>
  <dcterms:modified xsi:type="dcterms:W3CDTF">2022-11-03T21:22:00Z</dcterms:modified>
</cp:coreProperties>
</file>