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20" w:name="_Toc118540325"/>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20"/>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lastRenderedPageBreak/>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 xml:space="preserve">A. St. J. </w:t>
      </w:r>
      <w:proofErr w:type="spellStart"/>
      <w:r w:rsidR="007E057D">
        <w:rPr>
          <w:rFonts w:ascii="Bookman Old Style" w:hAnsi="Bookman Old Style"/>
          <w:b/>
          <w:bCs/>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Pr>
          <w:rFonts w:ascii="Bookman Old Style" w:hAnsi="Bookman Old Style"/>
          <w:b/>
          <w:bCs/>
        </w:rPr>
        <w:t>Chambré</w:t>
      </w:r>
      <w:proofErr w:type="spellEnd"/>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72"/>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proofErr w:type="spellStart"/>
      <w:r>
        <w:t>Firmilian</w:t>
      </w:r>
      <w:proofErr w:type="spellEnd"/>
      <w:r>
        <w:t>.</w:t>
      </w:r>
      <w:bookmarkEnd w:id="63"/>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proofErr w:type="spellStart"/>
      <w:r>
        <w:t>Theognostus</w:t>
      </w:r>
      <w:proofErr w:type="spellEnd"/>
      <w:r>
        <w:t xml:space="preserve"> and </w:t>
      </w:r>
      <w:proofErr w:type="spellStart"/>
      <w:r>
        <w:t>Pierius</w:t>
      </w:r>
      <w:proofErr w:type="spellEnd"/>
      <w:r>
        <w:t>.</w:t>
      </w:r>
      <w:bookmarkEnd w:id="65"/>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proofErr w:type="spellStart"/>
      <w:r>
        <w:t>Pamphilus</w:t>
      </w:r>
      <w:proofErr w:type="spellEnd"/>
      <w:r>
        <w:t>.</w:t>
      </w:r>
      <w:bookmarkEnd w:id="67"/>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9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688EAE33" w:rsidR="00377200" w:rsidRDefault="00377200" w:rsidP="00377200">
      <w:pPr>
        <w:pStyle w:val="Heading2"/>
        <w:rPr>
          <w:rFonts w:ascii="Bookman Old Style" w:hAnsi="Bookman Old Style"/>
        </w:rPr>
      </w:pPr>
      <w:bookmarkStart w:id="110" w:name="_Toc118540415"/>
      <w:proofErr w:type="spellStart"/>
      <w:r w:rsidRPr="00377200">
        <w:rPr>
          <w:rFonts w:ascii="Bookman Old Style" w:hAnsi="Bookman Old Style"/>
        </w:rPr>
        <w:t>A</w:t>
      </w:r>
      <w:bookmarkEnd w:id="110"/>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1"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1"/>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3"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5"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5"/>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7"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7"/>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8"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8"/>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9"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20"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20"/>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1"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2"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5620B" w14:textId="77777777" w:rsidR="00863229" w:rsidRDefault="00863229" w:rsidP="00661298">
      <w:pPr>
        <w:spacing w:after="0" w:line="240" w:lineRule="auto"/>
      </w:pPr>
      <w:r>
        <w:separator/>
      </w:r>
    </w:p>
  </w:endnote>
  <w:endnote w:type="continuationSeparator" w:id="0">
    <w:p w14:paraId="6D24315F" w14:textId="77777777" w:rsidR="00863229" w:rsidRDefault="00863229"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5DB1" w14:textId="77777777" w:rsidR="00863229" w:rsidRDefault="00863229" w:rsidP="00661298">
      <w:pPr>
        <w:spacing w:after="0" w:line="240" w:lineRule="auto"/>
      </w:pPr>
      <w:r>
        <w:separator/>
      </w:r>
    </w:p>
  </w:footnote>
  <w:footnote w:type="continuationSeparator" w:id="0">
    <w:p w14:paraId="797574D6" w14:textId="77777777" w:rsidR="00863229" w:rsidRDefault="00863229"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44">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45">
    <w:p w14:paraId="0D68CC68" w14:textId="77777777" w:rsidR="00210409" w:rsidRDefault="00210409">
      <w:pPr>
        <w:pStyle w:val="FootnoteText"/>
      </w:pPr>
      <w:r>
        <w:rPr>
          <w:rStyle w:val="FootnoteReference"/>
        </w:rPr>
        <w:footnoteRef/>
      </w:r>
      <w:r>
        <w:t xml:space="preserve"> Strom. VI.</w:t>
      </w:r>
    </w:p>
  </w:footnote>
  <w:footnote w:id="146">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7">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9">
    <w:p w14:paraId="0D68CC6C" w14:textId="77777777" w:rsidR="00210409" w:rsidRDefault="00210409">
      <w:pPr>
        <w:pStyle w:val="FootnoteText"/>
      </w:pPr>
      <w:r>
        <w:rPr>
          <w:rStyle w:val="FootnoteReference"/>
        </w:rPr>
        <w:footnoteRef/>
      </w:r>
      <w:r>
        <w:t xml:space="preserve"> Universalist Quarterly.</w:t>
      </w:r>
    </w:p>
  </w:footnote>
  <w:footnote w:id="150">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51">
    <w:p w14:paraId="0D68CC6E" w14:textId="77777777" w:rsidR="00210409" w:rsidRDefault="00210409">
      <w:pPr>
        <w:pStyle w:val="FootnoteText"/>
      </w:pPr>
      <w:r>
        <w:rPr>
          <w:rStyle w:val="FootnoteReference"/>
        </w:rPr>
        <w:footnoteRef/>
      </w:r>
      <w:r>
        <w:t xml:space="preserve"> Spirits in Prison, London, p. 25.</w:t>
      </w:r>
    </w:p>
  </w:footnote>
  <w:footnote w:id="152">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77777777" w:rsidR="00210409" w:rsidRDefault="00210409">
      <w:pPr>
        <w:pStyle w:val="FootnoteText"/>
      </w:pPr>
      <w:r>
        <w:rPr>
          <w:rStyle w:val="FootnoteReference"/>
        </w:rPr>
        <w:footnoteRef/>
      </w:r>
      <w:r>
        <w:t xml:space="preserve"> “Neoplatonism,” by C. Bigg, p. 334.</w:t>
      </w:r>
    </w:p>
  </w:footnote>
  <w:footnote w:id="154">
    <w:p w14:paraId="0D68CC71" w14:textId="77777777" w:rsidR="00210409" w:rsidRDefault="00210409">
      <w:pPr>
        <w:pStyle w:val="FootnoteText"/>
      </w:pPr>
      <w:r>
        <w:rPr>
          <w:rStyle w:val="FootnoteReference"/>
        </w:rPr>
        <w:footnoteRef/>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77777777" w:rsidR="00210409" w:rsidRDefault="00210409">
      <w:pPr>
        <w:pStyle w:val="FootnoteText"/>
      </w:pPr>
      <w:r>
        <w:rPr>
          <w:rStyle w:val="FootnoteReference"/>
        </w:rPr>
        <w:footnoteRef/>
      </w:r>
      <w:r>
        <w:t xml:space="preserve"> Anc. Hist. Univ., Note.</w:t>
      </w:r>
    </w:p>
  </w:footnote>
  <w:footnote w:id="157">
    <w:p w14:paraId="0D68CC74" w14:textId="77777777" w:rsidR="00210409" w:rsidRDefault="00210409">
      <w:pPr>
        <w:pStyle w:val="FootnoteText"/>
      </w:pPr>
      <w:r>
        <w:rPr>
          <w:rStyle w:val="FootnoteReference"/>
        </w:rPr>
        <w:footnoteRef/>
      </w:r>
      <w:r>
        <w:t xml:space="preserve"> Univ. Asserted, p. 105.</w:t>
      </w:r>
    </w:p>
  </w:footnote>
  <w:footnote w:id="158">
    <w:p w14:paraId="0D68CC75" w14:textId="77777777" w:rsidR="00210409" w:rsidRDefault="00210409">
      <w:pPr>
        <w:pStyle w:val="FootnoteText"/>
      </w:pPr>
      <w:r>
        <w:rPr>
          <w:rStyle w:val="FootnoteReference"/>
        </w:rPr>
        <w:footnoteRef/>
      </w:r>
      <w:r>
        <w:t xml:space="preserve"> See pg. 74 of the original for Greek footnote.</w:t>
      </w:r>
    </w:p>
  </w:footnote>
  <w:footnote w:id="159">
    <w:p w14:paraId="0D68CC76" w14:textId="77777777" w:rsidR="00210409" w:rsidRDefault="00210409">
      <w:pPr>
        <w:pStyle w:val="FootnoteText"/>
      </w:pPr>
      <w:r>
        <w:rPr>
          <w:rStyle w:val="FootnoteReference"/>
        </w:rPr>
        <w:footnoteRef/>
      </w:r>
      <w:r>
        <w:t xml:space="preserve"> Williams &amp; Norgate, London, 1880.</w:t>
      </w:r>
    </w:p>
  </w:footnote>
  <w:footnote w:id="160">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61">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62">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63">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4">
    <w:p w14:paraId="0D68CC7A" w14:textId="77777777" w:rsidR="00210409" w:rsidRDefault="00210409">
      <w:pPr>
        <w:pStyle w:val="FootnoteText"/>
      </w:pPr>
      <w:r>
        <w:rPr>
          <w:rStyle w:val="FootnoteReference"/>
        </w:rPr>
        <w:footnoteRef/>
      </w:r>
      <w:r>
        <w:t xml:space="preserve"> Lives of the Fathers, p. 112.</w:t>
      </w:r>
    </w:p>
  </w:footnote>
  <w:footnote w:id="165">
    <w:p w14:paraId="0D68CC7B" w14:textId="77777777" w:rsidR="00210409" w:rsidRDefault="00210409">
      <w:pPr>
        <w:pStyle w:val="FootnoteText"/>
      </w:pPr>
      <w:r>
        <w:rPr>
          <w:rStyle w:val="FootnoteReference"/>
        </w:rPr>
        <w:footnoteRef/>
      </w:r>
      <w:r>
        <w:t xml:space="preserve"> 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8">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5231BB7A" w:rsidR="00210409" w:rsidRDefault="00210409">
      <w:pPr>
        <w:pStyle w:val="FootnoteText"/>
      </w:pPr>
      <w:r>
        <w:rPr>
          <w:rStyle w:val="FootnoteReference"/>
        </w:rPr>
        <w:footnoteRef/>
      </w:r>
      <w:r>
        <w:t xml:space="preserve"> Schaff’s.</w:t>
      </w:r>
    </w:p>
  </w:footnote>
  <w:footnote w:id="171">
    <w:p w14:paraId="0D68CC7F" w14:textId="77777777" w:rsidR="00210409" w:rsidRDefault="00210409">
      <w:pPr>
        <w:pStyle w:val="FootnoteText"/>
      </w:pPr>
      <w:r>
        <w:rPr>
          <w:rStyle w:val="FootnoteReference"/>
        </w:rPr>
        <w:footnoteRef/>
      </w:r>
      <w:r>
        <w:t xml:space="preserve"> Vol. I, pg. 490.</w:t>
      </w:r>
    </w:p>
  </w:footnote>
  <w:footnote w:id="172">
    <w:p w14:paraId="0D68CC80" w14:textId="77777777" w:rsidR="00210409" w:rsidRDefault="00210409">
      <w:pPr>
        <w:pStyle w:val="FootnoteText"/>
      </w:pPr>
      <w:r>
        <w:rPr>
          <w:rStyle w:val="FootnoteReference"/>
        </w:rPr>
        <w:footnoteRef/>
      </w:r>
      <w:r>
        <w:t xml:space="preserve"> See original, pg. 86 for Greek.</w:t>
      </w:r>
    </w:p>
  </w:footnote>
  <w:footnote w:id="173">
    <w:p w14:paraId="0D68CC81" w14:textId="77777777" w:rsidR="00210409" w:rsidRDefault="00210409">
      <w:pPr>
        <w:pStyle w:val="FootnoteText"/>
      </w:pPr>
      <w:r>
        <w:rPr>
          <w:rStyle w:val="FootnoteReference"/>
        </w:rPr>
        <w:footnoteRef/>
      </w:r>
      <w:r>
        <w:t xml:space="preserve"> See original, pg. 86 for Greek.</w:t>
      </w:r>
    </w:p>
  </w:footnote>
  <w:footnote w:id="174">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75">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77777777" w:rsidR="00210409" w:rsidRDefault="00210409">
      <w:pPr>
        <w:pStyle w:val="FootnoteText"/>
      </w:pPr>
      <w:r>
        <w:rPr>
          <w:rStyle w:val="FootnoteReference"/>
        </w:rPr>
        <w:footnoteRef/>
      </w:r>
      <w:r>
        <w:t xml:space="preserve"> Vol. I, pp. 271-2.</w:t>
      </w:r>
    </w:p>
  </w:footnote>
  <w:footnote w:id="17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8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8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82">
    <w:p w14:paraId="0D68CC8A" w14:textId="77777777" w:rsidR="00210409" w:rsidRDefault="00210409">
      <w:pPr>
        <w:pStyle w:val="FootnoteText"/>
      </w:pPr>
      <w:r>
        <w:rPr>
          <w:rStyle w:val="FootnoteReference"/>
        </w:rPr>
        <w:footnoteRef/>
      </w:r>
      <w:r>
        <w:t xml:space="preserve"> “Neoplatonism” by Rev. Dr. Charles Bigg.</w:t>
      </w:r>
    </w:p>
  </w:footnote>
  <w:footnote w:id="18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84">
    <w:p w14:paraId="0D68CC8C" w14:textId="77777777" w:rsidR="00210409" w:rsidRDefault="00210409">
      <w:pPr>
        <w:pStyle w:val="FootnoteText"/>
      </w:pPr>
      <w:r>
        <w:rPr>
          <w:rStyle w:val="FootnoteReference"/>
        </w:rPr>
        <w:footnoteRef/>
      </w:r>
      <w:r>
        <w:t xml:space="preserve"> Outlines of the History of Dogma, pp. 68-69.</w:t>
      </w:r>
    </w:p>
  </w:footnote>
  <w:footnote w:id="185">
    <w:p w14:paraId="0D68CC8D" w14:textId="77777777" w:rsidR="00210409" w:rsidRDefault="00210409">
      <w:pPr>
        <w:pStyle w:val="FootnoteText"/>
      </w:pPr>
      <w:r>
        <w:rPr>
          <w:rStyle w:val="FootnoteReference"/>
        </w:rPr>
        <w:footnoteRef/>
      </w:r>
      <w:r>
        <w:t xml:space="preserve"> See pg. 96 in original for Greek.</w:t>
      </w:r>
    </w:p>
  </w:footnote>
  <w:footnote w:id="18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9">
    <w:p w14:paraId="0D68CC91" w14:textId="77777777" w:rsidR="00210409" w:rsidRDefault="00210409">
      <w:pPr>
        <w:pStyle w:val="FootnoteText"/>
      </w:pPr>
      <w:r>
        <w:rPr>
          <w:rStyle w:val="FootnoteReference"/>
        </w:rPr>
        <w:footnoteRef/>
      </w:r>
      <w:r>
        <w:t xml:space="preserve"> William J. Deane, Pseudepigrapha, pg. 329.</w:t>
      </w:r>
    </w:p>
  </w:footnote>
  <w:footnote w:id="19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9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92">
    <w:p w14:paraId="0D68CC94" w14:textId="77777777" w:rsidR="00210409" w:rsidRDefault="00210409">
      <w:pPr>
        <w:pStyle w:val="FootnoteText"/>
      </w:pPr>
      <w:r>
        <w:rPr>
          <w:rStyle w:val="FootnoteReference"/>
        </w:rPr>
        <w:footnoteRef/>
      </w:r>
      <w:r>
        <w:t xml:space="preserve"> 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9">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E00"/>
    <w:rsid w:val="002A3283"/>
    <w:rsid w:val="002A6377"/>
    <w:rsid w:val="002C08AA"/>
    <w:rsid w:val="002C4B8B"/>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195D"/>
    <w:rsid w:val="00844304"/>
    <w:rsid w:val="00854491"/>
    <w:rsid w:val="00854D0A"/>
    <w:rsid w:val="00863229"/>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188</Pages>
  <Words>71476</Words>
  <Characters>407416</Characters>
  <Application>Microsoft Office Word</Application>
  <DocSecurity>0</DocSecurity>
  <Lines>3395</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39</cp:revision>
  <cp:lastPrinted>2022-11-05T15:35:00Z</cp:lastPrinted>
  <dcterms:created xsi:type="dcterms:W3CDTF">2021-12-30T21:50:00Z</dcterms:created>
  <dcterms:modified xsi:type="dcterms:W3CDTF">2022-11-05T20:51:00Z</dcterms:modified>
</cp:coreProperties>
</file>