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78C252D9" w14:textId="6407653D" w:rsidR="00FA3773" w:rsidRPr="00FA3773" w:rsidRDefault="00FA3773" w:rsidP="00FA3773">
      <w:pPr>
        <w:pStyle w:val="Heading2"/>
      </w:pPr>
      <w:r>
        <w:t>Bishop of Constantinople.</w:t>
      </w:r>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r>
        <w:t>The Penalties of Sin.</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r>
        <w:t>Gregory’s Spirit.</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w:t>
      </w:r>
      <w:proofErr w:type="spellStart"/>
      <w:r w:rsidR="00FA3773" w:rsidRPr="00FA3773">
        <w:rPr>
          <w:rFonts w:ascii="Bookman Old Style" w:hAnsi="Bookman Old Style"/>
        </w:rPr>
        <w:t>οκ</w:t>
      </w:r>
      <w:proofErr w:type="spellEnd"/>
      <w:r w:rsidR="00FA3773" w:rsidRPr="00FA3773">
        <w:rPr>
          <w:rFonts w:ascii="Bookman Old Style" w:hAnsi="Bookman Old Style"/>
        </w:rPr>
        <w:t>ατάστασις</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p>
    <w:p w14:paraId="0D68CB0A" w14:textId="6E48AB74" w:rsidR="00091D96" w:rsidRPr="002F5DC5" w:rsidRDefault="004F5B91" w:rsidP="004F5B91">
      <w:pPr>
        <w:pStyle w:val="Heading2"/>
      </w:pPr>
      <w:r>
        <w:t>Views Defined by Great Scholars.</w:t>
      </w:r>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4F5B91">
        <w:rPr>
          <w:rFonts w:ascii="Bookman Old Style" w:hAnsi="Bookman Old Style"/>
        </w:rPr>
        <w:t>Swete</w:t>
      </w:r>
      <w:proofErr w:type="spellEnd"/>
      <w:r w:rsidR="0073112A" w:rsidRPr="004F5B91">
        <w:rPr>
          <w:rFonts w:ascii="Bookman Old Style" w:hAnsi="Bookman Old Style"/>
        </w:rPr>
        <w:t xml:space="preserv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56BB1D76" w14:textId="23A79196" w:rsidR="004F5B91" w:rsidRDefault="004F5B91" w:rsidP="004F5B91">
      <w:pPr>
        <w:pStyle w:val="Heading2"/>
      </w:pPr>
      <w:r>
        <w:lastRenderedPageBreak/>
        <w:t>Author of Nestorian Declarations.</w:t>
      </w:r>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1B752D3F" w14:textId="443CC670" w:rsidR="004F5B91" w:rsidRPr="002F5DC5" w:rsidRDefault="004F5B91" w:rsidP="004F5B91">
      <w:pPr>
        <w:pStyle w:val="Heading2"/>
      </w:pPr>
      <w:r>
        <w:t>Dorner on Theodore.</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r>
        <w:t>Unity in Diversity.</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r>
        <w:t>The Nestorian Liturgies.</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r>
        <w:t>Dr. Beecher on Theodore.</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79EC1A55" w14:textId="1C2D0124" w:rsidR="004F5B91" w:rsidRDefault="004F5B91" w:rsidP="004F5B91">
      <w:pPr>
        <w:pStyle w:val="Heading3"/>
      </w:pPr>
      <w:r>
        <w:lastRenderedPageBreak/>
        <w:t>Character of Early Universalists.</w:t>
      </w:r>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24F7E0BE" w14:textId="77777777" w:rsidR="00A333E3" w:rsidRDefault="00091D96" w:rsidP="00A333E3">
      <w:pPr>
        <w:pStyle w:val="Heading2"/>
      </w:pPr>
      <w:r w:rsidRPr="002F5DC5">
        <w:t xml:space="preserve">Note. </w:t>
      </w:r>
    </w:p>
    <w:p w14:paraId="0D68CB1D" w14:textId="7E59F511" w:rsidR="00091D96" w:rsidRPr="002F5DC5" w:rsidRDefault="00091D96" w:rsidP="00A333E3">
      <w:pPr>
        <w:ind w:firstLine="720"/>
        <w:rPr>
          <w:rFonts w:ascii="Bookman Old Style" w:hAnsi="Bookman Old Style"/>
        </w:rPr>
      </w:pPr>
      <w:proofErr w:type="spellStart"/>
      <w:r w:rsidRPr="00A333E3">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3"/>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B50D2D7" w14:textId="68EC676A" w:rsidR="009874A0" w:rsidRPr="002F5DC5" w:rsidRDefault="009874A0" w:rsidP="009874A0">
      <w:pPr>
        <w:pStyle w:val="Heading3"/>
      </w:pPr>
      <w:r>
        <w:t>A Saintly Woman.</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6"/>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proofErr w:type="spellStart"/>
      <w:r>
        <w:t>Macrina’s</w:t>
      </w:r>
      <w:proofErr w:type="spellEnd"/>
      <w:r>
        <w:t xml:space="preserve"> Religious Sentiments.</w:t>
      </w:r>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7"/>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8"/>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9"/>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r>
        <w:lastRenderedPageBreak/>
        <w:t>Her Last Days.</w:t>
      </w:r>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proofErr w:type="spellStart"/>
      <w:r>
        <w:t>Macrina</w:t>
      </w:r>
      <w:proofErr w:type="spellEnd"/>
      <w:r>
        <w:t xml:space="preserve"> a Representative Universalist.</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lastRenderedPageBreak/>
        <w:t>Basil the Great.</w:t>
      </w:r>
      <w:bookmarkEnd w:id="78"/>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r>
        <w:t>Basil’s Language.</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r>
        <w:t>Cave’s Error.</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2"/>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p>
    <w:p w14:paraId="6B8A918C" w14:textId="714B2EC4" w:rsidR="009874A0" w:rsidRPr="002F5DC5" w:rsidRDefault="009874A0" w:rsidP="009874A0">
      <w:pPr>
        <w:pStyle w:val="Heading3"/>
      </w:pPr>
      <w:r>
        <w:t>Eulogies of Basil.</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r>
        <w:t>The Mass of Christians Universalists.</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r>
        <w:t>Gregory’s Language.</w:t>
      </w:r>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proofErr w:type="spellStart"/>
      <w:r w:rsidRPr="009874A0">
        <w:rPr>
          <w:rFonts w:ascii="Bookman Old Style" w:hAnsi="Bookman Old Style"/>
          <w:i/>
          <w:iCs/>
        </w:rPr>
        <w:t>Sermo</w:t>
      </w:r>
      <w:proofErr w:type="spellEnd"/>
      <w:r w:rsidRPr="009874A0">
        <w:rPr>
          <w:rFonts w:ascii="Bookman Old Style" w:hAnsi="Bookman Old Style"/>
          <w:i/>
          <w:iCs/>
        </w:rPr>
        <w:t xml:space="preserve"> </w:t>
      </w:r>
      <w:proofErr w:type="spellStart"/>
      <w:r w:rsidRPr="009874A0">
        <w:rPr>
          <w:rFonts w:ascii="Bookman Old Style" w:hAnsi="Bookman Old Style"/>
          <w:i/>
          <w:iCs/>
        </w:rPr>
        <w:t>Catecheticus</w:t>
      </w:r>
      <w:proofErr w:type="spellEnd"/>
      <w:r w:rsidRPr="009874A0">
        <w:rPr>
          <w:rFonts w:ascii="Bookman Old Style" w:hAnsi="Bookman Old Style"/>
          <w:i/>
          <w:iCs/>
        </w:rPr>
        <w:t xml:space="preserve">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8"/>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39"/>
      </w:r>
      <w:r w:rsidRPr="002F5DC5">
        <w:rPr>
          <w:rFonts w:ascii="Bookman Old Style" w:hAnsi="Bookman Old Style"/>
        </w:rPr>
        <w:t xml:space="preserve"> in the purification</w:t>
      </w:r>
      <w:r w:rsidRPr="002F5DC5">
        <w:rPr>
          <w:rStyle w:val="FootnoteReference"/>
          <w:rFonts w:ascii="Bookman Old Style" w:hAnsi="Bookman Old Style"/>
        </w:rPr>
        <w:footnoteReference w:id="340"/>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1"/>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r>
        <w:t>Perversions of Historians.</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2"/>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4"/>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6"/>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r>
        <w:t>Opinions in the Fourth Century.</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7"/>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8"/>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9"/>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0"/>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1"/>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2"/>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3"/>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4"/>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5"/>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6"/>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7"/>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8"/>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9"/>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0"/>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1"/>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2"/>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3"/>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4"/>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5"/>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6"/>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8"/>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9"/>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0"/>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1"/>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2"/>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3"/>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5"/>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8"/>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9"/>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80"/>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1"/>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4"/>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5"/>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7"/>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0"/>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3"/>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4"/>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5"/>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6"/>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7"/>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8"/>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0"/>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6"/>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7"/>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8"/>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0"/>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1"/>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2"/>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3"/>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4"/>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5"/>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6"/>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7"/>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9"/>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0"/>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1"/>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6"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93F9" w14:textId="77777777" w:rsidR="00DA220E" w:rsidRDefault="00DA220E" w:rsidP="00661298">
      <w:pPr>
        <w:spacing w:after="0" w:line="240" w:lineRule="auto"/>
      </w:pPr>
      <w:r>
        <w:separator/>
      </w:r>
    </w:p>
  </w:endnote>
  <w:endnote w:type="continuationSeparator" w:id="0">
    <w:p w14:paraId="2AA4D2F4" w14:textId="77777777" w:rsidR="00DA220E" w:rsidRDefault="00DA220E"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293F2" w14:textId="77777777" w:rsidR="00DA220E" w:rsidRDefault="00DA220E" w:rsidP="00661298">
      <w:pPr>
        <w:spacing w:after="0" w:line="240" w:lineRule="auto"/>
      </w:pPr>
      <w:r>
        <w:separator/>
      </w:r>
    </w:p>
  </w:footnote>
  <w:footnote w:type="continuationSeparator" w:id="0">
    <w:p w14:paraId="4544C986" w14:textId="77777777" w:rsidR="00DA220E" w:rsidRDefault="00DA220E"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w:t>
      </w:r>
      <w:proofErr w:type="spellStart"/>
      <w:r>
        <w:t>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w:t>
      </w:r>
      <w:proofErr w:type="spellStart"/>
      <w:r>
        <w:t>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w:t>
      </w:r>
      <w:proofErr w:type="spellStart"/>
      <w:r>
        <w:t>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1">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2">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w:t>
      </w:r>
      <w:proofErr w:type="spellStart"/>
      <w:r>
        <w:t>ct</w:t>
      </w:r>
      <w:proofErr w:type="spellEnd"/>
      <w:r>
        <w: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6">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7">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08">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0">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1">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2">
    <w:p w14:paraId="0D68CD0B" w14:textId="56A0347B" w:rsidR="00210409" w:rsidRDefault="00210409">
      <w:pPr>
        <w:pStyle w:val="FootnoteText"/>
      </w:pPr>
      <w:r>
        <w:rPr>
          <w:rStyle w:val="FootnoteReference"/>
        </w:rPr>
        <w:footnoteRef/>
      </w:r>
      <w:r>
        <w:t xml:space="preserve"> </w:t>
      </w:r>
      <w:r w:rsidR="00FA3773">
        <w:t xml:space="preserve">JW: </w:t>
      </w:r>
      <w:r>
        <w:t xml:space="preserve">Hist. Christ. Dogmas, Vol. II. </w:t>
      </w:r>
      <w:proofErr w:type="spellStart"/>
      <w:r>
        <w:t>Hagenbach</w:t>
      </w:r>
      <w:proofErr w:type="spellEnd"/>
      <w:r>
        <w:t xml:space="preserve"> testifies to the same. Dogmas, Vol I.</w:t>
      </w:r>
    </w:p>
  </w:footnote>
  <w:footnote w:id="313">
    <w:p w14:paraId="0D68CD0C" w14:textId="5B9601AB" w:rsidR="00210409" w:rsidRDefault="00210409">
      <w:pPr>
        <w:pStyle w:val="FootnoteText"/>
      </w:pPr>
      <w:r>
        <w:rPr>
          <w:rStyle w:val="FootnoteReference"/>
        </w:rPr>
        <w:footnoteRef/>
      </w:r>
      <w:r>
        <w:t xml:space="preserve"> </w:t>
      </w:r>
      <w:r w:rsidR="004F5B91">
        <w:t xml:space="preserve">JW: </w:t>
      </w:r>
      <w:proofErr w:type="spellStart"/>
      <w:r>
        <w:t>Assemani</w:t>
      </w:r>
      <w:proofErr w:type="spellEnd"/>
      <w:r>
        <w:t xml:space="preserve"> Bib. Orient. Tom. III.</w:t>
      </w:r>
    </w:p>
  </w:footnote>
  <w:footnote w:id="314">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5">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6">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8">
    <w:p w14:paraId="0D68CD11" w14:textId="11946B88" w:rsidR="00210409" w:rsidRDefault="00210409">
      <w:pPr>
        <w:pStyle w:val="FootnoteText"/>
      </w:pPr>
      <w:r>
        <w:rPr>
          <w:rStyle w:val="FootnoteReference"/>
        </w:rPr>
        <w:footnoteRef/>
      </w:r>
      <w:r>
        <w:t xml:space="preserve"> </w:t>
      </w:r>
      <w:r w:rsidR="004F5B91">
        <w:t xml:space="preserve">JW: </w:t>
      </w:r>
      <w:proofErr w:type="spellStart"/>
      <w:r>
        <w:t>Doct</w:t>
      </w:r>
      <w:proofErr w:type="spellEnd"/>
      <w:r>
        <w:t>. And Per. Of Christ., Div. II, Vol. 1, p. 50.</w:t>
      </w:r>
    </w:p>
  </w:footnote>
  <w:footnote w:id="319">
    <w:p w14:paraId="0D68CD12" w14:textId="258A3D72" w:rsidR="00210409" w:rsidRDefault="00210409">
      <w:pPr>
        <w:pStyle w:val="FootnoteText"/>
      </w:pPr>
      <w:r>
        <w:rPr>
          <w:rStyle w:val="FootnoteReference"/>
        </w:rPr>
        <w:footnoteRef/>
      </w:r>
      <w:r>
        <w:t xml:space="preserve"> </w:t>
      </w:r>
      <w:r w:rsidR="004F5B91">
        <w:t xml:space="preserve">JW: </w:t>
      </w:r>
      <w:proofErr w:type="spellStart"/>
      <w:r>
        <w:t>Renaudot’s</w:t>
      </w:r>
      <w:proofErr w:type="spellEnd"/>
      <w:r>
        <w:t xml:space="preserve"> Oriental Liturgies, Vol. II, p. 610.</w:t>
      </w:r>
    </w:p>
  </w:footnote>
  <w:footnote w:id="320">
    <w:p w14:paraId="0D68CD13" w14:textId="4724ECB7" w:rsidR="00210409" w:rsidRDefault="00210409">
      <w:pPr>
        <w:pStyle w:val="FootnoteText"/>
      </w:pPr>
      <w:r>
        <w:rPr>
          <w:rStyle w:val="FootnoteReference"/>
        </w:rPr>
        <w:footnoteRef/>
      </w:r>
      <w:r>
        <w:t xml:space="preserve"> </w:t>
      </w:r>
      <w:r w:rsidR="004F5B91">
        <w:t xml:space="preserve">JWL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2">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3">
    <w:p w14:paraId="5C1B83C9" w14:textId="5919FDA0" w:rsidR="00AF0D0B" w:rsidRDefault="00AF0D0B" w:rsidP="00AF0D0B">
      <w:pPr>
        <w:pStyle w:val="FootnoteText"/>
      </w:pPr>
      <w:r>
        <w:rPr>
          <w:rStyle w:val="FootnoteReference"/>
        </w:rPr>
        <w:footnoteRef/>
      </w:r>
      <w:r>
        <w:t xml:space="preserve"> DM: Hermann </w:t>
      </w:r>
      <w:proofErr w:type="spellStart"/>
      <w:r>
        <w:t>Olshausen</w:t>
      </w:r>
      <w:proofErr w:type="spellEnd"/>
      <w:r>
        <w:t xml:space="preserve">. </w:t>
      </w:r>
      <w:proofErr w:type="spellStart"/>
      <w:r w:rsidRPr="00AF0D0B">
        <w:rPr>
          <w:i/>
          <w:iCs/>
        </w:rPr>
        <w:t>Biblischer</w:t>
      </w:r>
      <w:proofErr w:type="spellEnd"/>
      <w:r w:rsidRPr="00AF0D0B">
        <w:rPr>
          <w:i/>
          <w:iCs/>
        </w:rPr>
        <w:t xml:space="preserve"> </w:t>
      </w:r>
      <w:proofErr w:type="spellStart"/>
      <w:r w:rsidRPr="00AF0D0B">
        <w:rPr>
          <w:i/>
          <w:iCs/>
        </w:rPr>
        <w:t>Commentar</w:t>
      </w:r>
      <w:proofErr w:type="spellEnd"/>
      <w:r w:rsidRPr="00AF0D0B">
        <w:rPr>
          <w:i/>
          <w:iCs/>
        </w:rPr>
        <w:t xml:space="preserve"> </w:t>
      </w:r>
      <w:proofErr w:type="spellStart"/>
      <w:r w:rsidRPr="00AF0D0B">
        <w:rPr>
          <w:i/>
          <w:iCs/>
        </w:rPr>
        <w:t>über</w:t>
      </w:r>
      <w:proofErr w:type="spellEnd"/>
      <w:r w:rsidRPr="00AF0D0B">
        <w:rPr>
          <w:i/>
          <w:iCs/>
        </w:rPr>
        <w:t xml:space="preserve"> </w:t>
      </w:r>
      <w:proofErr w:type="spellStart"/>
      <w:r w:rsidRPr="00AF0D0B">
        <w:rPr>
          <w:i/>
          <w:iCs/>
        </w:rPr>
        <w:t>sämmtliche</w:t>
      </w:r>
      <w:proofErr w:type="spellEnd"/>
      <w:r w:rsidRPr="00AF0D0B">
        <w:rPr>
          <w:i/>
          <w:iCs/>
        </w:rPr>
        <w:t xml:space="preserve"> </w:t>
      </w:r>
      <w:proofErr w:type="spellStart"/>
      <w:r w:rsidRPr="00AF0D0B">
        <w:rPr>
          <w:i/>
          <w:iCs/>
        </w:rPr>
        <w:t>Schriften</w:t>
      </w:r>
      <w:proofErr w:type="spellEnd"/>
      <w:r w:rsidRPr="00AF0D0B">
        <w:rPr>
          <w:i/>
          <w:iCs/>
        </w:rPr>
        <w:t xml:space="preserve"> des </w:t>
      </w:r>
      <w:proofErr w:type="spellStart"/>
      <w:r w:rsidRPr="00AF0D0B">
        <w:rPr>
          <w:i/>
          <w:iCs/>
        </w:rPr>
        <w:t>Neuen</w:t>
      </w:r>
      <w:proofErr w:type="spellEnd"/>
      <w:r w:rsidRPr="00AF0D0B">
        <w:rPr>
          <w:i/>
          <w:iCs/>
        </w:rPr>
        <w:t xml:space="preserve"> Testaments </w:t>
      </w:r>
      <w:proofErr w:type="spellStart"/>
      <w:r w:rsidRPr="00AF0D0B">
        <w:rPr>
          <w:i/>
          <w:iCs/>
        </w:rPr>
        <w:t>zunächst</w:t>
      </w:r>
      <w:proofErr w:type="spellEnd"/>
      <w:r w:rsidRPr="00AF0D0B">
        <w:rPr>
          <w:i/>
          <w:iCs/>
        </w:rPr>
        <w:t xml:space="preserve"> für Prediger und </w:t>
      </w:r>
      <w:proofErr w:type="spellStart"/>
      <w:r w:rsidRPr="00AF0D0B">
        <w:rPr>
          <w:i/>
          <w:iCs/>
        </w:rPr>
        <w:t>Studirende</w:t>
      </w:r>
      <w:proofErr w:type="spellEnd"/>
      <w:r>
        <w:t xml:space="preserve">. </w:t>
      </w:r>
      <w:r>
        <w:t>Volume 2</w:t>
      </w:r>
      <w:r>
        <w:t xml:space="preserve">. A.W. </w:t>
      </w:r>
      <w:proofErr w:type="spellStart"/>
      <w:r>
        <w:t>Unzer</w:t>
      </w:r>
      <w:proofErr w:type="spellEnd"/>
      <w:r>
        <w:t>, 1837.</w:t>
      </w:r>
    </w:p>
  </w:footnote>
  <w:footnote w:id="324">
    <w:p w14:paraId="0D68CD16" w14:textId="11EF8A68" w:rsidR="00210409" w:rsidRDefault="00210409">
      <w:pPr>
        <w:pStyle w:val="FootnoteText"/>
      </w:pPr>
      <w:r>
        <w:rPr>
          <w:rStyle w:val="FootnoteReference"/>
        </w:rPr>
        <w:footnoteRef/>
      </w:r>
      <w:r>
        <w:t xml:space="preserve"> </w:t>
      </w:r>
      <w:r w:rsidR="009874A0">
        <w:t xml:space="preserve">JW: </w:t>
      </w:r>
      <w:r>
        <w:t xml:space="preserve">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5">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6">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7">
    <w:p w14:paraId="0D68CD19" w14:textId="7E8CB1D7" w:rsidR="00210409" w:rsidRDefault="00210409">
      <w:pPr>
        <w:pStyle w:val="FootnoteText"/>
      </w:pPr>
      <w:r>
        <w:rPr>
          <w:rStyle w:val="FootnoteReference"/>
        </w:rPr>
        <w:footnoteRef/>
      </w:r>
      <w:r>
        <w:t xml:space="preserve"> </w:t>
      </w:r>
      <w:r w:rsidR="009874A0">
        <w:t xml:space="preserve">JW: Greek: </w:t>
      </w:r>
      <w:proofErr w:type="spellStart"/>
      <w:r w:rsidR="009874A0" w:rsidRPr="009874A0">
        <w:t>Πάντ</w:t>
      </w:r>
      <w:proofErr w:type="spellEnd"/>
      <w:r w:rsidR="009874A0" w:rsidRPr="009874A0">
        <w:t xml:space="preserve">α </w:t>
      </w:r>
      <w:proofErr w:type="spellStart"/>
      <w:r w:rsidR="009874A0" w:rsidRPr="009874A0">
        <w:t>ἐν</w:t>
      </w:r>
      <w:proofErr w:type="spellEnd"/>
      <w:r w:rsidR="009874A0" w:rsidRPr="009874A0">
        <w:t xml:space="preserve"> 'π</w:t>
      </w:r>
      <w:proofErr w:type="spellStart"/>
      <w:r w:rsidR="009874A0" w:rsidRPr="009874A0">
        <w:t>ᾶσιν</w:t>
      </w:r>
      <w:proofErr w:type="spellEnd"/>
      <w:r w:rsidR="009874A0" w:rsidRPr="009874A0">
        <w:t xml:space="preserve"> </w:t>
      </w:r>
      <w:r>
        <w:t>(“all things in all men.”)</w:t>
      </w:r>
    </w:p>
  </w:footnote>
  <w:footnote w:id="328">
    <w:p w14:paraId="0D68CD1A" w14:textId="74B737F5" w:rsidR="00210409" w:rsidRDefault="00210409">
      <w:pPr>
        <w:pStyle w:val="FootnoteText"/>
      </w:pPr>
      <w:r>
        <w:rPr>
          <w:rStyle w:val="FootnoteReference"/>
        </w:rPr>
        <w:footnoteRef/>
      </w:r>
      <w:r>
        <w:t xml:space="preserve"> </w:t>
      </w:r>
      <w:r w:rsidR="009874A0">
        <w:t>JW. p</w:t>
      </w:r>
      <w:r>
        <w:t xml:space="preserve">. 154. </w:t>
      </w:r>
      <w:proofErr w:type="spellStart"/>
      <w:r>
        <w:t>Oehler’s</w:t>
      </w:r>
      <w:proofErr w:type="spellEnd"/>
      <w:r>
        <w:t xml:space="preserve"> ed. Life and Resurrection.</w:t>
      </w:r>
    </w:p>
  </w:footnote>
  <w:footnote w:id="329">
    <w:p w14:paraId="0D68CD1B" w14:textId="30821813" w:rsidR="00210409" w:rsidRDefault="00210409">
      <w:pPr>
        <w:pStyle w:val="FootnoteText"/>
      </w:pPr>
      <w:r>
        <w:rPr>
          <w:rStyle w:val="FootnoteReference"/>
        </w:rPr>
        <w:footnoteRef/>
      </w:r>
      <w:r>
        <w:t xml:space="preserve"> </w:t>
      </w:r>
      <w:r w:rsidR="009874A0">
        <w:t xml:space="preserve">JW: </w:t>
      </w:r>
      <w:r>
        <w:t xml:space="preserve">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30">
    <w:p w14:paraId="0D68CD1C" w14:textId="515F6F69" w:rsidR="00210409" w:rsidRDefault="00210409">
      <w:pPr>
        <w:pStyle w:val="FootnoteText"/>
      </w:pPr>
      <w:r>
        <w:rPr>
          <w:rStyle w:val="FootnoteReference"/>
        </w:rPr>
        <w:footnoteRef/>
      </w:r>
      <w:r>
        <w:t xml:space="preserve"> </w:t>
      </w:r>
      <w:r w:rsidR="009874A0">
        <w:t xml:space="preserve">JW: </w:t>
      </w:r>
      <w:r>
        <w:t xml:space="preserve">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1">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2">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3">
    <w:p w14:paraId="0D68CD1F" w14:textId="46B6BB39" w:rsidR="00210409" w:rsidRDefault="00210409">
      <w:pPr>
        <w:pStyle w:val="FootnoteText"/>
      </w:pPr>
      <w:r>
        <w:rPr>
          <w:rStyle w:val="FootnoteReference"/>
        </w:rPr>
        <w:footnoteRef/>
      </w:r>
      <w:r>
        <w:t xml:space="preserve"> </w:t>
      </w:r>
      <w:r w:rsidR="009874A0">
        <w:t xml:space="preserve">JW: </w:t>
      </w:r>
      <w:r>
        <w:t xml:space="preserve">Ep. XLVI, Classis I, ad </w:t>
      </w:r>
      <w:proofErr w:type="spellStart"/>
      <w:r>
        <w:t>virginem</w:t>
      </w:r>
      <w:proofErr w:type="spellEnd"/>
      <w:r>
        <w:t>.</w:t>
      </w:r>
    </w:p>
  </w:footnote>
  <w:footnote w:id="334">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5">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6">
    <w:p w14:paraId="0D68CD22" w14:textId="784FA512" w:rsidR="00210409" w:rsidRDefault="00210409">
      <w:pPr>
        <w:pStyle w:val="FootnoteText"/>
      </w:pPr>
      <w:r>
        <w:rPr>
          <w:rStyle w:val="FootnoteReference"/>
        </w:rPr>
        <w:footnoteRef/>
      </w:r>
      <w:r>
        <w:t xml:space="preserve"> </w:t>
      </w:r>
      <w:r w:rsidR="009874A0">
        <w:t xml:space="preserve">JW: </w:t>
      </w:r>
      <w:r>
        <w:t xml:space="preserve">Life and Resurrection and Letter to the Monk </w:t>
      </w:r>
      <w:proofErr w:type="spellStart"/>
      <w:r>
        <w:t>Olympius</w:t>
      </w:r>
      <w:proofErr w:type="spellEnd"/>
      <w:r>
        <w:t>.</w:t>
      </w:r>
    </w:p>
  </w:footnote>
  <w:footnote w:id="337">
    <w:p w14:paraId="0D68CD23" w14:textId="27F775BE" w:rsidR="00210409" w:rsidRDefault="00210409">
      <w:pPr>
        <w:pStyle w:val="FootnoteText"/>
      </w:pPr>
      <w:r>
        <w:rPr>
          <w:rStyle w:val="FootnoteReference"/>
        </w:rPr>
        <w:footnoteRef/>
      </w:r>
      <w:r>
        <w:t xml:space="preserve"> </w:t>
      </w:r>
      <w:r w:rsidR="009874A0">
        <w:t xml:space="preserve">JW: </w:t>
      </w:r>
      <w:r>
        <w:t xml:space="preserve">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8">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w:t>
      </w:r>
      <w:proofErr w:type="spellStart"/>
      <w:r w:rsidR="00843C6F" w:rsidRPr="00843C6F">
        <w:t>οκ</w:t>
      </w:r>
      <w:proofErr w:type="spellEnd"/>
      <w:r w:rsidR="00843C6F" w:rsidRPr="00843C6F">
        <w:t>ατάστασις</w:t>
      </w:r>
      <w:r w:rsidR="00843C6F">
        <w:t>.</w:t>
      </w:r>
    </w:p>
  </w:footnote>
  <w:footnote w:id="339">
    <w:p w14:paraId="0D68CD25" w14:textId="716EF666" w:rsidR="00210409" w:rsidRDefault="00210409">
      <w:pPr>
        <w:pStyle w:val="FootnoteText"/>
      </w:pPr>
      <w:r>
        <w:rPr>
          <w:rStyle w:val="FootnoteReference"/>
        </w:rPr>
        <w:footnoteRef/>
      </w:r>
      <w:r>
        <w:t xml:space="preserve"> </w:t>
      </w:r>
      <w:r w:rsidR="00843C6F">
        <w:t xml:space="preserve">JW: Greek: </w:t>
      </w:r>
      <w:proofErr w:type="spellStart"/>
      <w:r w:rsidR="00843C6F" w:rsidRPr="00843C6F">
        <w:t>κεκολ</w:t>
      </w:r>
      <w:proofErr w:type="spellEnd"/>
      <w:r w:rsidR="00843C6F" w:rsidRPr="00843C6F">
        <w:t>ασμένων</w:t>
      </w:r>
      <w:r w:rsidR="00843C6F">
        <w:t>.</w:t>
      </w:r>
    </w:p>
  </w:footnote>
  <w:footnote w:id="340">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θάρσει</w:t>
      </w:r>
      <w:proofErr w:type="spellEnd"/>
      <w:r w:rsidR="00843C6F">
        <w:t>.</w:t>
      </w:r>
    </w:p>
  </w:footnote>
  <w:footnote w:id="341">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θάρσεως</w:t>
      </w:r>
      <w:proofErr w:type="spellEnd"/>
      <w:r w:rsidR="00843C6F">
        <w:t>.</w:t>
      </w:r>
    </w:p>
  </w:footnote>
  <w:footnote w:id="342">
    <w:p w14:paraId="0D68CD28" w14:textId="0D4F0CE1" w:rsidR="00210409" w:rsidRDefault="00210409">
      <w:pPr>
        <w:pStyle w:val="FootnoteText"/>
      </w:pPr>
      <w:r>
        <w:rPr>
          <w:rStyle w:val="FootnoteReference"/>
        </w:rPr>
        <w:footnoteRef/>
      </w:r>
      <w:r>
        <w:t xml:space="preserve"> </w:t>
      </w:r>
      <w:r w:rsidR="00843C6F">
        <w:t xml:space="preserve">JW: </w:t>
      </w:r>
      <w:proofErr w:type="spellStart"/>
      <w:r>
        <w:t>Photius</w:t>
      </w:r>
      <w:proofErr w:type="spellEnd"/>
      <w:r>
        <w:t>, Cod., pg. 233.</w:t>
      </w:r>
    </w:p>
  </w:footnote>
  <w:footnote w:id="343">
    <w:p w14:paraId="0D68CD29" w14:textId="0C30BCEA" w:rsidR="00210409" w:rsidRDefault="00210409">
      <w:pPr>
        <w:pStyle w:val="FootnoteText"/>
      </w:pPr>
      <w:r>
        <w:rPr>
          <w:rStyle w:val="FootnoteReference"/>
        </w:rPr>
        <w:footnoteRef/>
      </w:r>
      <w:r>
        <w:t xml:space="preserve"> </w:t>
      </w:r>
      <w:r w:rsidR="00843C6F">
        <w:t xml:space="preserve">JW: </w:t>
      </w:r>
      <w:r>
        <w:t xml:space="preserve">De </w:t>
      </w:r>
      <w:proofErr w:type="spellStart"/>
      <w:r>
        <w:t>Usu</w:t>
      </w:r>
      <w:proofErr w:type="spellEnd"/>
      <w:r>
        <w:t xml:space="preserve"> </w:t>
      </w:r>
      <w:proofErr w:type="spellStart"/>
      <w:r>
        <w:t>Patrum</w:t>
      </w:r>
      <w:proofErr w:type="spellEnd"/>
      <w:r>
        <w:t>, lib. II, cap. 4.</w:t>
      </w:r>
    </w:p>
  </w:footnote>
  <w:footnote w:id="344">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5">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6">
    <w:p w14:paraId="0D68CD2C" w14:textId="4D605B69" w:rsidR="00210409" w:rsidRDefault="00210409">
      <w:pPr>
        <w:pStyle w:val="FootnoteText"/>
      </w:pPr>
      <w:r>
        <w:rPr>
          <w:rStyle w:val="FootnoteReference"/>
        </w:rPr>
        <w:footnoteRef/>
      </w:r>
      <w:r>
        <w:t xml:space="preserve"> </w:t>
      </w:r>
      <w:r w:rsidR="00843C6F">
        <w:t xml:space="preserve">JW: </w:t>
      </w:r>
      <w:proofErr w:type="spellStart"/>
      <w:r>
        <w:t>Orat</w:t>
      </w:r>
      <w:proofErr w:type="spellEnd"/>
      <w:r>
        <w:t xml:space="preserve">. </w:t>
      </w:r>
      <w:proofErr w:type="spellStart"/>
      <w:r>
        <w:t>Catech</w:t>
      </w:r>
      <w:proofErr w:type="spellEnd"/>
      <w:r>
        <w:t>.</w:t>
      </w:r>
      <w:r w:rsidR="00843C6F">
        <w:t xml:space="preserve"> Greek: </w:t>
      </w:r>
      <w:proofErr w:type="spellStart"/>
      <w:r w:rsidR="00843C6F" w:rsidRPr="00843C6F">
        <w:t>Εἰ</w:t>
      </w:r>
      <w:proofErr w:type="spellEnd"/>
      <w:r w:rsidR="00843C6F" w:rsidRPr="00843C6F">
        <w:t xml:space="preserve"> </w:t>
      </w:r>
      <w:proofErr w:type="spellStart"/>
      <w:r w:rsidR="00843C6F" w:rsidRPr="00843C6F">
        <w:t>δὲ</w:t>
      </w:r>
      <w:proofErr w:type="spellEnd"/>
      <w:r w:rsidR="00843C6F" w:rsidRPr="00843C6F">
        <w:t xml:space="preserve"> </w:t>
      </w:r>
      <w:proofErr w:type="spellStart"/>
      <w:r w:rsidR="00843C6F" w:rsidRPr="00843C6F">
        <w:t>ἀθερά</w:t>
      </w:r>
      <w:proofErr w:type="spellEnd"/>
      <w:r w:rsidR="00843C6F" w:rsidRPr="00843C6F">
        <w:t xml:space="preserve">πευτος </w:t>
      </w:r>
      <w:proofErr w:type="spellStart"/>
      <w:r w:rsidR="00843C6F" w:rsidRPr="00843C6F">
        <w:t>μένει</w:t>
      </w:r>
      <w:proofErr w:type="spellEnd"/>
      <w:r w:rsidR="00843C6F" w:rsidRPr="00843C6F">
        <w:t xml:space="preserve"> </w:t>
      </w:r>
      <w:proofErr w:type="spellStart"/>
      <w:r w:rsidR="00843C6F" w:rsidRPr="00843C6F">
        <w:t>ἐν</w:t>
      </w:r>
      <w:proofErr w:type="spellEnd"/>
      <w:r w:rsidR="00843C6F" w:rsidRPr="00843C6F">
        <w:t xml:space="preserve"> </w:t>
      </w:r>
      <w:proofErr w:type="spellStart"/>
      <w:r w:rsidR="00843C6F" w:rsidRPr="00843C6F">
        <w:t>τῷ</w:t>
      </w:r>
      <w:proofErr w:type="spellEnd"/>
      <w:r w:rsidR="00843C6F" w:rsidRPr="00843C6F">
        <w:t xml:space="preserve"> </w:t>
      </w:r>
      <w:proofErr w:type="spellStart"/>
      <w:r w:rsidR="00843C6F" w:rsidRPr="00843C6F">
        <w:t>μετὰ</w:t>
      </w:r>
      <w:proofErr w:type="spellEnd"/>
      <w:r w:rsidR="00843C6F" w:rsidRPr="00843C6F">
        <w:t xml:space="preserve"> τα</w:t>
      </w:r>
      <w:proofErr w:type="spellStart"/>
      <w:r w:rsidR="00843C6F" w:rsidRPr="00843C6F">
        <w:t>ῦτ</w:t>
      </w:r>
      <w:proofErr w:type="spellEnd"/>
      <w:r w:rsidR="00843C6F" w:rsidRPr="00843C6F">
        <w:t>α β</w:t>
      </w:r>
      <w:proofErr w:type="spellStart"/>
      <w:r w:rsidR="00843C6F" w:rsidRPr="00843C6F">
        <w:t>ιῳ</w:t>
      </w:r>
      <w:proofErr w:type="spellEnd"/>
      <w:r w:rsidR="00843C6F" w:rsidRPr="00843C6F">
        <w:t xml:space="preserve"> τα</w:t>
      </w:r>
      <w:proofErr w:type="spellStart"/>
      <w:r w:rsidR="00843C6F" w:rsidRPr="00843C6F">
        <w:t>μιεύετ</w:t>
      </w:r>
      <w:proofErr w:type="spellEnd"/>
      <w:r w:rsidR="00843C6F" w:rsidRPr="00843C6F">
        <w:t xml:space="preserve">αι ἡ </w:t>
      </w:r>
      <w:proofErr w:type="spellStart"/>
      <w:r w:rsidR="00843C6F" w:rsidRPr="00843C6F">
        <w:t>θερ</w:t>
      </w:r>
      <w:proofErr w:type="spellEnd"/>
      <w:r w:rsidR="00843C6F" w:rsidRPr="00843C6F">
        <w:t>απεία</w:t>
      </w:r>
      <w:r w:rsidR="00843C6F">
        <w:t>.</w:t>
      </w:r>
    </w:p>
  </w:footnote>
  <w:footnote w:id="347">
    <w:p w14:paraId="0D68CD2D" w14:textId="75D92B58" w:rsidR="00210409" w:rsidRDefault="00210409">
      <w:pPr>
        <w:pStyle w:val="FootnoteText"/>
      </w:pPr>
      <w:r>
        <w:rPr>
          <w:rStyle w:val="FootnoteReference"/>
        </w:rPr>
        <w:footnoteRef/>
      </w:r>
      <w:r>
        <w:t xml:space="preserve"> </w:t>
      </w:r>
      <w:r w:rsidR="00843C6F">
        <w:t xml:space="preserve">JW: </w:t>
      </w:r>
      <w:proofErr w:type="spellStart"/>
      <w:r>
        <w:t>Allin</w:t>
      </w:r>
      <w:proofErr w:type="spellEnd"/>
      <w:r>
        <w:t>, Universalism Asserted, pg. 189.</w:t>
      </w:r>
    </w:p>
  </w:footnote>
  <w:footnote w:id="348">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49">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50">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1">
    <w:p w14:paraId="0D68CD31" w14:textId="77777777" w:rsidR="00210409" w:rsidRDefault="00210409">
      <w:pPr>
        <w:pStyle w:val="FootnoteText"/>
      </w:pPr>
      <w:r>
        <w:rPr>
          <w:rStyle w:val="FootnoteReference"/>
        </w:rPr>
        <w:footnoteRef/>
      </w:r>
      <w:r>
        <w:t xml:space="preserve"> On Psalm 37.</w:t>
      </w:r>
    </w:p>
  </w:footnote>
  <w:footnote w:id="352">
    <w:p w14:paraId="0D68CD32" w14:textId="77777777" w:rsidR="00210409" w:rsidRDefault="00210409">
      <w:pPr>
        <w:pStyle w:val="FootnoteText"/>
      </w:pPr>
      <w:r>
        <w:rPr>
          <w:rStyle w:val="FootnoteReference"/>
        </w:rPr>
        <w:footnoteRef/>
      </w:r>
      <w:r>
        <w:t xml:space="preserve"> Epis. Lib. 1.</w:t>
      </w:r>
    </w:p>
  </w:footnote>
  <w:footnote w:id="353">
    <w:p w14:paraId="0D68CD33" w14:textId="77777777" w:rsidR="00210409" w:rsidRDefault="00210409">
      <w:pPr>
        <w:pStyle w:val="FootnoteText"/>
      </w:pPr>
      <w:r>
        <w:rPr>
          <w:rStyle w:val="FootnoteReference"/>
        </w:rPr>
        <w:footnoteRef/>
      </w:r>
      <w:r>
        <w:t xml:space="preserve"> De Fide.</w:t>
      </w:r>
    </w:p>
  </w:footnote>
  <w:footnote w:id="354">
    <w:p w14:paraId="0D68CD34" w14:textId="77777777" w:rsidR="00210409" w:rsidRDefault="00210409">
      <w:pPr>
        <w:pStyle w:val="FootnoteText"/>
      </w:pPr>
      <w:r>
        <w:rPr>
          <w:rStyle w:val="FootnoteReference"/>
        </w:rPr>
        <w:footnoteRef/>
      </w:r>
      <w:r>
        <w:t xml:space="preserve"> On Psalm 62.</w:t>
      </w:r>
    </w:p>
  </w:footnote>
  <w:footnote w:id="355">
    <w:p w14:paraId="0D68CD35" w14:textId="77777777" w:rsidR="00210409" w:rsidRDefault="00210409">
      <w:pPr>
        <w:pStyle w:val="FootnoteText"/>
      </w:pPr>
      <w:r>
        <w:rPr>
          <w:rStyle w:val="FootnoteReference"/>
        </w:rPr>
        <w:footnoteRef/>
      </w:r>
      <w:r>
        <w:t xml:space="preserve"> On Luke 15:3.</w:t>
      </w:r>
    </w:p>
  </w:footnote>
  <w:footnote w:id="356">
    <w:p w14:paraId="0D68CD36" w14:textId="77777777" w:rsidR="00210409" w:rsidRDefault="00210409">
      <w:pPr>
        <w:pStyle w:val="FootnoteText"/>
      </w:pPr>
      <w:r>
        <w:rPr>
          <w:rStyle w:val="FootnoteReference"/>
        </w:rPr>
        <w:footnoteRef/>
      </w:r>
      <w:r>
        <w:t xml:space="preserve"> Blessing of Death, Chapter 7.</w:t>
      </w:r>
    </w:p>
  </w:footnote>
  <w:footnote w:id="357">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8">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9">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60">
    <w:p w14:paraId="0D68CD3A" w14:textId="77777777" w:rsidR="00210409" w:rsidRDefault="00210409">
      <w:pPr>
        <w:pStyle w:val="FootnoteText"/>
      </w:pPr>
      <w:r>
        <w:rPr>
          <w:rStyle w:val="FootnoteReference"/>
        </w:rPr>
        <w:footnoteRef/>
      </w:r>
      <w:r>
        <w:t xml:space="preserve"> Adv. Man., Ch. iv.</w:t>
      </w:r>
    </w:p>
  </w:footnote>
  <w:footnote w:id="361">
    <w:p w14:paraId="0D68CD3B" w14:textId="77777777" w:rsidR="00210409" w:rsidRDefault="00210409">
      <w:pPr>
        <w:pStyle w:val="FootnoteText"/>
      </w:pPr>
      <w:r>
        <w:rPr>
          <w:rStyle w:val="FootnoteReference"/>
        </w:rPr>
        <w:footnoteRef/>
      </w:r>
      <w:r>
        <w:t xml:space="preserve"> Not. et Frag., xix.</w:t>
      </w:r>
    </w:p>
  </w:footnote>
  <w:footnote w:id="362">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3">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4">
    <w:p w14:paraId="0D68CD3E" w14:textId="77777777" w:rsidR="00210409" w:rsidRDefault="00210409">
      <w:pPr>
        <w:pStyle w:val="FootnoteText"/>
      </w:pPr>
      <w:r>
        <w:rPr>
          <w:rStyle w:val="FootnoteReference"/>
        </w:rPr>
        <w:footnoteRef/>
      </w:r>
      <w:r>
        <w:t xml:space="preserve"> Hist. Christ Ch., ii:628. Hist. Christ. Dogmas, ii:877.</w:t>
      </w:r>
    </w:p>
  </w:footnote>
  <w:footnote w:id="365">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6">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7">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8">
    <w:p w14:paraId="0D68CD42" w14:textId="77777777" w:rsidR="00210409" w:rsidRDefault="00210409">
      <w:pPr>
        <w:pStyle w:val="FootnoteText"/>
      </w:pPr>
      <w:r>
        <w:rPr>
          <w:rStyle w:val="FootnoteReference"/>
        </w:rPr>
        <w:footnoteRef/>
      </w:r>
      <w:r>
        <w:t xml:space="preserve"> Origen. II, p. 160.</w:t>
      </w:r>
    </w:p>
  </w:footnote>
  <w:footnote w:id="369">
    <w:p w14:paraId="0D68CD43" w14:textId="77777777" w:rsidR="00210409" w:rsidRDefault="00210409">
      <w:pPr>
        <w:pStyle w:val="FootnoteText"/>
      </w:pPr>
      <w:r>
        <w:rPr>
          <w:rStyle w:val="FootnoteReference"/>
        </w:rPr>
        <w:footnoteRef/>
      </w:r>
      <w:r>
        <w:t xml:space="preserve"> Anc. Hist. Univ., pg. 265.</w:t>
      </w:r>
    </w:p>
  </w:footnote>
  <w:footnote w:id="370">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1">
    <w:p w14:paraId="0D68CD45" w14:textId="77777777" w:rsidR="00210409" w:rsidRDefault="00210409">
      <w:pPr>
        <w:pStyle w:val="FootnoteText"/>
      </w:pPr>
      <w:r>
        <w:rPr>
          <w:rStyle w:val="FootnoteReference"/>
        </w:rPr>
        <w:footnoteRef/>
      </w:r>
      <w:r>
        <w:t xml:space="preserve"> Robertson’s Hist. Christ. Ch. I, pg. 455.</w:t>
      </w:r>
    </w:p>
  </w:footnote>
  <w:footnote w:id="372">
    <w:p w14:paraId="0D68CD46" w14:textId="77777777" w:rsidR="00210409" w:rsidRDefault="00210409">
      <w:pPr>
        <w:pStyle w:val="FootnoteText"/>
      </w:pPr>
      <w:r>
        <w:rPr>
          <w:rStyle w:val="FootnoteReference"/>
        </w:rPr>
        <w:footnoteRef/>
      </w:r>
      <w:r>
        <w:t xml:space="preserve"> What is of Faith, pg. 231.</w:t>
      </w:r>
    </w:p>
  </w:footnote>
  <w:footnote w:id="373">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4">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5">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6">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7">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8">
    <w:p w14:paraId="0D68CD4C" w14:textId="77777777" w:rsidR="00210409" w:rsidRDefault="00210409">
      <w:pPr>
        <w:pStyle w:val="FootnoteText"/>
      </w:pPr>
      <w:r>
        <w:rPr>
          <w:rStyle w:val="FootnoteReference"/>
        </w:rPr>
        <w:footnoteRef/>
      </w:r>
      <w:r>
        <w:t xml:space="preserve"> Commentary on Amos.</w:t>
      </w:r>
    </w:p>
  </w:footnote>
  <w:footnote w:id="379">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80">
    <w:p w14:paraId="0D68CD4E" w14:textId="77777777" w:rsidR="00210409" w:rsidRDefault="00210409">
      <w:pPr>
        <w:pStyle w:val="FootnoteText"/>
      </w:pPr>
      <w:r>
        <w:rPr>
          <w:rStyle w:val="FootnoteReference"/>
        </w:rPr>
        <w:footnoteRef/>
      </w:r>
      <w:r>
        <w:t xml:space="preserve"> He calls Origen “that immortal intellect.”</w:t>
      </w:r>
    </w:p>
  </w:footnote>
  <w:footnote w:id="381">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2">
    <w:p w14:paraId="0D68CD50" w14:textId="77777777" w:rsidR="00210409" w:rsidRDefault="00210409">
      <w:pPr>
        <w:pStyle w:val="FootnoteText"/>
      </w:pPr>
      <w:r>
        <w:rPr>
          <w:rStyle w:val="FootnoteReference"/>
        </w:rPr>
        <w:footnoteRef/>
      </w:r>
      <w:r>
        <w:t xml:space="preserve"> Homily IX on I Cor. 3:12-18.</w:t>
      </w:r>
    </w:p>
  </w:footnote>
  <w:footnote w:id="383">
    <w:p w14:paraId="0D68CD51" w14:textId="77777777" w:rsidR="00210409" w:rsidRDefault="00210409">
      <w:pPr>
        <w:pStyle w:val="FootnoteText"/>
      </w:pPr>
      <w:r>
        <w:rPr>
          <w:rStyle w:val="FootnoteReference"/>
        </w:rPr>
        <w:footnoteRef/>
      </w:r>
      <w:r>
        <w:t xml:space="preserve"> Homily XI on I Cor. 4:3.</w:t>
      </w:r>
    </w:p>
  </w:footnote>
  <w:footnote w:id="384">
    <w:p w14:paraId="0D68CD52" w14:textId="77777777" w:rsidR="00210409" w:rsidRDefault="00210409">
      <w:pPr>
        <w:pStyle w:val="FootnoteText"/>
      </w:pPr>
      <w:r>
        <w:rPr>
          <w:rStyle w:val="FootnoteReference"/>
        </w:rPr>
        <w:footnoteRef/>
      </w:r>
      <w:r>
        <w:t xml:space="preserve"> Sermon xxxiv; on Psalm 148; Sermon xxx.</w:t>
      </w:r>
    </w:p>
  </w:footnote>
  <w:footnote w:id="385">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6">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7">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8">
    <w:p w14:paraId="0D68CD56" w14:textId="77777777" w:rsidR="00210409" w:rsidRDefault="00210409">
      <w:pPr>
        <w:pStyle w:val="FootnoteText"/>
      </w:pPr>
      <w:r>
        <w:rPr>
          <w:rStyle w:val="FootnoteReference"/>
        </w:rPr>
        <w:footnoteRef/>
      </w:r>
      <w:r>
        <w:t xml:space="preserve"> Allen, Cont. Christ. Thought.</w:t>
      </w:r>
    </w:p>
  </w:footnote>
  <w:footnote w:id="389">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90">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1">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2">
    <w:p w14:paraId="0D68CD5A" w14:textId="77777777" w:rsidR="00210409" w:rsidRPr="00AF07A4" w:rsidRDefault="00210409">
      <w:pPr>
        <w:pStyle w:val="FootnoteText"/>
      </w:pPr>
      <w:r>
        <w:rPr>
          <w:rStyle w:val="FootnoteReference"/>
        </w:rPr>
        <w:footnoteRef/>
      </w:r>
      <w:r>
        <w:t xml:space="preserve"> See Preface to Confessions.</w:t>
      </w:r>
    </w:p>
  </w:footnote>
  <w:footnote w:id="393">
    <w:p w14:paraId="0D68CD5B" w14:textId="77777777" w:rsidR="00210409" w:rsidRDefault="00210409">
      <w:pPr>
        <w:pStyle w:val="FootnoteText"/>
      </w:pPr>
      <w:r>
        <w:rPr>
          <w:rStyle w:val="FootnoteReference"/>
        </w:rPr>
        <w:footnoteRef/>
      </w:r>
      <w:r>
        <w:t xml:space="preserve"> Latin Christ. I.</w:t>
      </w:r>
    </w:p>
  </w:footnote>
  <w:footnote w:id="394">
    <w:p w14:paraId="0D68CD5C" w14:textId="77777777" w:rsidR="00210409" w:rsidRDefault="00210409">
      <w:pPr>
        <w:pStyle w:val="FootnoteText"/>
      </w:pPr>
      <w:r>
        <w:rPr>
          <w:rStyle w:val="FootnoteReference"/>
        </w:rPr>
        <w:footnoteRef/>
      </w:r>
      <w:r>
        <w:t xml:space="preserve"> Allen, Cont. Christ. Thought, pg. 156.</w:t>
      </w:r>
    </w:p>
  </w:footnote>
  <w:footnote w:id="395">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6">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7">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8">
    <w:p w14:paraId="0D68CD5F" w14:textId="77777777" w:rsidR="00210409" w:rsidRDefault="00210409">
      <w:pPr>
        <w:pStyle w:val="FootnoteText"/>
      </w:pPr>
      <w:r>
        <w:rPr>
          <w:rStyle w:val="FootnoteReference"/>
        </w:rPr>
        <w:footnoteRef/>
      </w:r>
      <w:r>
        <w:t xml:space="preserve"> Latin Christianity, I, 127.</w:t>
      </w:r>
    </w:p>
  </w:footnote>
  <w:footnote w:id="399">
    <w:p w14:paraId="0D68CD60" w14:textId="77777777" w:rsidR="00210409" w:rsidRDefault="00210409">
      <w:pPr>
        <w:pStyle w:val="FootnoteText"/>
      </w:pPr>
      <w:r>
        <w:rPr>
          <w:rStyle w:val="FootnoteReference"/>
        </w:rPr>
        <w:footnoteRef/>
      </w:r>
      <w:r>
        <w:t xml:space="preserve"> Farrar’s Lives of the Fathers.</w:t>
      </w:r>
    </w:p>
  </w:footnote>
  <w:footnote w:id="400">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1">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2">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3">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4">
    <w:p w14:paraId="0D68CD65" w14:textId="77777777" w:rsidR="00210409" w:rsidRDefault="00210409">
      <w:pPr>
        <w:pStyle w:val="FootnoteText"/>
      </w:pPr>
      <w:r>
        <w:rPr>
          <w:rStyle w:val="FootnoteReference"/>
        </w:rPr>
        <w:footnoteRef/>
      </w:r>
      <w:r>
        <w:t xml:space="preserve"> See pg. 284 in original.</w:t>
      </w:r>
    </w:p>
  </w:footnote>
  <w:footnote w:id="405">
    <w:p w14:paraId="0D68CD66" w14:textId="77777777" w:rsidR="00210409" w:rsidRDefault="00210409">
      <w:pPr>
        <w:pStyle w:val="FootnoteText"/>
      </w:pPr>
      <w:r>
        <w:rPr>
          <w:rStyle w:val="FootnoteReference"/>
        </w:rPr>
        <w:footnoteRef/>
      </w:r>
      <w:r>
        <w:t xml:space="preserve"> Landon, pp. 177-8.</w:t>
      </w:r>
    </w:p>
  </w:footnote>
  <w:footnote w:id="406">
    <w:p w14:paraId="0D68CD67" w14:textId="77777777" w:rsidR="00210409" w:rsidRDefault="00210409">
      <w:pPr>
        <w:pStyle w:val="FootnoteText"/>
      </w:pPr>
      <w:r>
        <w:rPr>
          <w:rStyle w:val="FootnoteReference"/>
        </w:rPr>
        <w:footnoteRef/>
      </w:r>
      <w:r>
        <w:t xml:space="preserve"> Landon, Manual of Councils, London, 1846, pg. 174.</w:t>
      </w:r>
    </w:p>
  </w:footnote>
  <w:footnote w:id="407">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8">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9">
    <w:p w14:paraId="0D68CD6A" w14:textId="77777777" w:rsidR="00210409" w:rsidRDefault="00210409">
      <w:pPr>
        <w:pStyle w:val="FootnoteText"/>
      </w:pPr>
      <w:r>
        <w:rPr>
          <w:rStyle w:val="FootnoteReference"/>
        </w:rPr>
        <w:footnoteRef/>
      </w:r>
      <w:r>
        <w:t xml:space="preserve"> See pg. 288 in original.</w:t>
      </w:r>
    </w:p>
  </w:footnote>
  <w:footnote w:id="410">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1">
    <w:p w14:paraId="0D68CD6C" w14:textId="77777777" w:rsidR="00210409" w:rsidRDefault="00210409">
      <w:pPr>
        <w:pStyle w:val="FootnoteText"/>
      </w:pPr>
      <w:r>
        <w:rPr>
          <w:rStyle w:val="FootnoteReference"/>
        </w:rPr>
        <w:footnoteRef/>
      </w:r>
      <w:r>
        <w:t xml:space="preserve"> Latin Christ. I, pg. 227.</w:t>
      </w:r>
    </w:p>
  </w:footnote>
  <w:footnote w:id="412">
    <w:p w14:paraId="0D68CD6D" w14:textId="77777777" w:rsidR="00210409" w:rsidRDefault="00210409">
      <w:pPr>
        <w:pStyle w:val="FootnoteText"/>
      </w:pPr>
      <w:r>
        <w:rPr>
          <w:rStyle w:val="FootnoteReference"/>
        </w:rPr>
        <w:footnoteRef/>
      </w:r>
      <w:r>
        <w:t xml:space="preserve"> Outlines Hist. Dog., pp. 204, 208, 320, 323.</w:t>
      </w:r>
    </w:p>
  </w:footnote>
  <w:footnote w:id="413">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4">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5">
    <w:p w14:paraId="0D68CD70" w14:textId="77777777" w:rsidR="00210409" w:rsidRDefault="00210409">
      <w:pPr>
        <w:pStyle w:val="FootnoteText"/>
      </w:pPr>
      <w:r>
        <w:rPr>
          <w:rStyle w:val="FootnoteReference"/>
        </w:rPr>
        <w:footnoteRef/>
      </w:r>
      <w:r>
        <w:t xml:space="preserve"> Alexandria and her Schools.</w:t>
      </w:r>
    </w:p>
  </w:footnote>
  <w:footnote w:id="416">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7">
    <w:p w14:paraId="0D68CD72" w14:textId="77777777" w:rsidR="00210409" w:rsidRDefault="00210409">
      <w:pPr>
        <w:pStyle w:val="FootnoteText"/>
      </w:pPr>
      <w:r>
        <w:rPr>
          <w:rStyle w:val="FootnoteReference"/>
        </w:rPr>
        <w:footnoteRef/>
      </w:r>
      <w:r>
        <w:t xml:space="preserve"> Rev. S. Crane, D.D., in The Universalist.</w:t>
      </w:r>
    </w:p>
  </w:footnote>
  <w:footnote w:id="418">
    <w:p w14:paraId="0D68CD73" w14:textId="77777777" w:rsidR="00210409" w:rsidRDefault="00210409">
      <w:pPr>
        <w:pStyle w:val="FootnoteText"/>
      </w:pPr>
      <w:r>
        <w:rPr>
          <w:rStyle w:val="FootnoteReference"/>
        </w:rPr>
        <w:footnoteRef/>
      </w:r>
      <w:r>
        <w:t xml:space="preserve"> Grimm’s Michael Angelo.</w:t>
      </w:r>
    </w:p>
  </w:footnote>
  <w:footnote w:id="419">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20">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1">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A220E"/>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190</Pages>
  <Words>71797</Words>
  <Characters>409243</Characters>
  <Application>Microsoft Office Word</Application>
  <DocSecurity>0</DocSecurity>
  <Lines>3410</Lines>
  <Paragraphs>960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53</cp:revision>
  <cp:lastPrinted>2022-11-05T15:35:00Z</cp:lastPrinted>
  <dcterms:created xsi:type="dcterms:W3CDTF">2021-12-30T21:50:00Z</dcterms:created>
  <dcterms:modified xsi:type="dcterms:W3CDTF">2022-11-05T23:02:00Z</dcterms:modified>
</cp:coreProperties>
</file>