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77710"/>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0D9FA6E0" w14:textId="5BBA5788" w:rsidR="00A16B9C"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77710" w:history="1">
            <w:r w:rsidR="00A16B9C" w:rsidRPr="00C554E8">
              <w:rPr>
                <w:rStyle w:val="Hyperlink"/>
                <w:rFonts w:ascii="Bookman Old Style" w:hAnsi="Bookman Old Style"/>
                <w:noProof/>
              </w:rPr>
              <w:t>Table of Contents</w:t>
            </w:r>
            <w:r w:rsidR="00A16B9C">
              <w:rPr>
                <w:noProof/>
                <w:webHidden/>
              </w:rPr>
              <w:tab/>
            </w:r>
            <w:r w:rsidR="00A16B9C">
              <w:rPr>
                <w:noProof/>
                <w:webHidden/>
              </w:rPr>
              <w:fldChar w:fldCharType="begin"/>
            </w:r>
            <w:r w:rsidR="00A16B9C">
              <w:rPr>
                <w:noProof/>
                <w:webHidden/>
              </w:rPr>
              <w:instrText xml:space="preserve"> PAGEREF _Toc118377710 \h </w:instrText>
            </w:r>
            <w:r w:rsidR="00A16B9C">
              <w:rPr>
                <w:noProof/>
                <w:webHidden/>
              </w:rPr>
            </w:r>
            <w:r w:rsidR="00A16B9C">
              <w:rPr>
                <w:noProof/>
                <w:webHidden/>
              </w:rPr>
              <w:fldChar w:fldCharType="separate"/>
            </w:r>
            <w:r w:rsidR="00A16B9C">
              <w:rPr>
                <w:noProof/>
                <w:webHidden/>
              </w:rPr>
              <w:t>2</w:t>
            </w:r>
            <w:r w:rsidR="00A16B9C">
              <w:rPr>
                <w:noProof/>
                <w:webHidden/>
              </w:rPr>
              <w:fldChar w:fldCharType="end"/>
            </w:r>
          </w:hyperlink>
        </w:p>
        <w:p w14:paraId="40D19433" w14:textId="7C89F5D0" w:rsidR="00A16B9C" w:rsidRDefault="00A16B9C">
          <w:pPr>
            <w:pStyle w:val="TOC1"/>
            <w:tabs>
              <w:tab w:val="right" w:leader="dot" w:pos="9350"/>
            </w:tabs>
            <w:rPr>
              <w:rFonts w:eastAsiaTheme="minorEastAsia"/>
              <w:noProof/>
            </w:rPr>
          </w:pPr>
          <w:hyperlink w:anchor="_Toc118377711" w:history="1">
            <w:r w:rsidRPr="00C554E8">
              <w:rPr>
                <w:rStyle w:val="Hyperlink"/>
                <w:rFonts w:ascii="Bookman Old Style" w:hAnsi="Bookman Old Style"/>
                <w:noProof/>
              </w:rPr>
              <w:t>Dedication.</w:t>
            </w:r>
            <w:r>
              <w:rPr>
                <w:noProof/>
                <w:webHidden/>
              </w:rPr>
              <w:tab/>
            </w:r>
            <w:r>
              <w:rPr>
                <w:noProof/>
                <w:webHidden/>
              </w:rPr>
              <w:fldChar w:fldCharType="begin"/>
            </w:r>
            <w:r>
              <w:rPr>
                <w:noProof/>
                <w:webHidden/>
              </w:rPr>
              <w:instrText xml:space="preserve"> PAGEREF _Toc118377711 \h </w:instrText>
            </w:r>
            <w:r>
              <w:rPr>
                <w:noProof/>
                <w:webHidden/>
              </w:rPr>
            </w:r>
            <w:r>
              <w:rPr>
                <w:noProof/>
                <w:webHidden/>
              </w:rPr>
              <w:fldChar w:fldCharType="separate"/>
            </w:r>
            <w:r>
              <w:rPr>
                <w:noProof/>
                <w:webHidden/>
              </w:rPr>
              <w:t>6</w:t>
            </w:r>
            <w:r>
              <w:rPr>
                <w:noProof/>
                <w:webHidden/>
              </w:rPr>
              <w:fldChar w:fldCharType="end"/>
            </w:r>
          </w:hyperlink>
        </w:p>
        <w:p w14:paraId="432F448A" w14:textId="1136E1D0" w:rsidR="00A16B9C" w:rsidRDefault="00A16B9C">
          <w:pPr>
            <w:pStyle w:val="TOC1"/>
            <w:tabs>
              <w:tab w:val="right" w:leader="dot" w:pos="9350"/>
            </w:tabs>
            <w:rPr>
              <w:rFonts w:eastAsiaTheme="minorEastAsia"/>
              <w:noProof/>
            </w:rPr>
          </w:pPr>
          <w:hyperlink w:anchor="_Toc118377712" w:history="1">
            <w:r w:rsidRPr="00C554E8">
              <w:rPr>
                <w:rStyle w:val="Hyperlink"/>
                <w:rFonts w:ascii="Bookman Old Style" w:hAnsi="Bookman Old Style"/>
                <w:noProof/>
              </w:rPr>
              <w:t>Foreword (2021).</w:t>
            </w:r>
            <w:r>
              <w:rPr>
                <w:noProof/>
                <w:webHidden/>
              </w:rPr>
              <w:tab/>
            </w:r>
            <w:r>
              <w:rPr>
                <w:noProof/>
                <w:webHidden/>
              </w:rPr>
              <w:fldChar w:fldCharType="begin"/>
            </w:r>
            <w:r>
              <w:rPr>
                <w:noProof/>
                <w:webHidden/>
              </w:rPr>
              <w:instrText xml:space="preserve"> PAGEREF _Toc118377712 \h </w:instrText>
            </w:r>
            <w:r>
              <w:rPr>
                <w:noProof/>
                <w:webHidden/>
              </w:rPr>
            </w:r>
            <w:r>
              <w:rPr>
                <w:noProof/>
                <w:webHidden/>
              </w:rPr>
              <w:fldChar w:fldCharType="separate"/>
            </w:r>
            <w:r>
              <w:rPr>
                <w:noProof/>
                <w:webHidden/>
              </w:rPr>
              <w:t>7</w:t>
            </w:r>
            <w:r>
              <w:rPr>
                <w:noProof/>
                <w:webHidden/>
              </w:rPr>
              <w:fldChar w:fldCharType="end"/>
            </w:r>
          </w:hyperlink>
        </w:p>
        <w:p w14:paraId="07653E13" w14:textId="484289FB" w:rsidR="00A16B9C" w:rsidRDefault="00A16B9C">
          <w:pPr>
            <w:pStyle w:val="TOC1"/>
            <w:tabs>
              <w:tab w:val="right" w:leader="dot" w:pos="9350"/>
            </w:tabs>
            <w:rPr>
              <w:rFonts w:eastAsiaTheme="minorEastAsia"/>
              <w:noProof/>
            </w:rPr>
          </w:pPr>
          <w:hyperlink w:anchor="_Toc118377713" w:history="1">
            <w:r w:rsidRPr="00C554E8">
              <w:rPr>
                <w:rStyle w:val="Hyperlink"/>
                <w:rFonts w:ascii="Bookman Old Style" w:hAnsi="Bookman Old Style"/>
                <w:noProof/>
              </w:rPr>
              <w:t>Conventions</w:t>
            </w:r>
            <w:r>
              <w:rPr>
                <w:noProof/>
                <w:webHidden/>
              </w:rPr>
              <w:tab/>
            </w:r>
            <w:r>
              <w:rPr>
                <w:noProof/>
                <w:webHidden/>
              </w:rPr>
              <w:fldChar w:fldCharType="begin"/>
            </w:r>
            <w:r>
              <w:rPr>
                <w:noProof/>
                <w:webHidden/>
              </w:rPr>
              <w:instrText xml:space="preserve"> PAGEREF _Toc118377713 \h </w:instrText>
            </w:r>
            <w:r>
              <w:rPr>
                <w:noProof/>
                <w:webHidden/>
              </w:rPr>
            </w:r>
            <w:r>
              <w:rPr>
                <w:noProof/>
                <w:webHidden/>
              </w:rPr>
              <w:fldChar w:fldCharType="separate"/>
            </w:r>
            <w:r>
              <w:rPr>
                <w:noProof/>
                <w:webHidden/>
              </w:rPr>
              <w:t>9</w:t>
            </w:r>
            <w:r>
              <w:rPr>
                <w:noProof/>
                <w:webHidden/>
              </w:rPr>
              <w:fldChar w:fldCharType="end"/>
            </w:r>
          </w:hyperlink>
        </w:p>
        <w:p w14:paraId="520B0D82" w14:textId="11C6F40D" w:rsidR="00A16B9C" w:rsidRDefault="00A16B9C">
          <w:pPr>
            <w:pStyle w:val="TOC1"/>
            <w:tabs>
              <w:tab w:val="right" w:leader="dot" w:pos="9350"/>
            </w:tabs>
            <w:rPr>
              <w:rFonts w:eastAsiaTheme="minorEastAsia"/>
              <w:noProof/>
            </w:rPr>
          </w:pPr>
          <w:hyperlink w:anchor="_Toc118377714" w:history="1">
            <w:r w:rsidRPr="00C554E8">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_Toc118377714 \h </w:instrText>
            </w:r>
            <w:r>
              <w:rPr>
                <w:noProof/>
                <w:webHidden/>
              </w:rPr>
            </w:r>
            <w:r>
              <w:rPr>
                <w:noProof/>
                <w:webHidden/>
              </w:rPr>
              <w:fldChar w:fldCharType="separate"/>
            </w:r>
            <w:r>
              <w:rPr>
                <w:noProof/>
                <w:webHidden/>
              </w:rPr>
              <w:t>10</w:t>
            </w:r>
            <w:r>
              <w:rPr>
                <w:noProof/>
                <w:webHidden/>
              </w:rPr>
              <w:fldChar w:fldCharType="end"/>
            </w:r>
          </w:hyperlink>
        </w:p>
        <w:p w14:paraId="0D120D52" w14:textId="13D6233A" w:rsidR="00A16B9C" w:rsidRDefault="00A16B9C">
          <w:pPr>
            <w:pStyle w:val="TOC1"/>
            <w:tabs>
              <w:tab w:val="right" w:leader="dot" w:pos="9350"/>
            </w:tabs>
            <w:rPr>
              <w:rFonts w:eastAsiaTheme="minorEastAsia"/>
              <w:noProof/>
            </w:rPr>
          </w:pPr>
          <w:hyperlink w:anchor="_Toc118377715" w:history="1">
            <w:r w:rsidRPr="00C554E8">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_Toc118377715 \h </w:instrText>
            </w:r>
            <w:r>
              <w:rPr>
                <w:noProof/>
                <w:webHidden/>
              </w:rPr>
            </w:r>
            <w:r>
              <w:rPr>
                <w:noProof/>
                <w:webHidden/>
              </w:rPr>
              <w:fldChar w:fldCharType="separate"/>
            </w:r>
            <w:r>
              <w:rPr>
                <w:noProof/>
                <w:webHidden/>
              </w:rPr>
              <w:t>11</w:t>
            </w:r>
            <w:r>
              <w:rPr>
                <w:noProof/>
                <w:webHidden/>
              </w:rPr>
              <w:fldChar w:fldCharType="end"/>
            </w:r>
          </w:hyperlink>
        </w:p>
        <w:p w14:paraId="0895B525" w14:textId="4F33B78B" w:rsidR="00A16B9C" w:rsidRDefault="00A16B9C">
          <w:pPr>
            <w:pStyle w:val="TOC1"/>
            <w:tabs>
              <w:tab w:val="left" w:pos="440"/>
              <w:tab w:val="right" w:leader="dot" w:pos="9350"/>
            </w:tabs>
            <w:rPr>
              <w:rFonts w:eastAsiaTheme="minorEastAsia"/>
              <w:noProof/>
            </w:rPr>
          </w:pPr>
          <w:hyperlink w:anchor="_Toc118377716" w:history="1">
            <w:r w:rsidRPr="00C554E8">
              <w:rPr>
                <w:rStyle w:val="Hyperlink"/>
                <w:rFonts w:ascii="Bookman Old Style" w:hAnsi="Bookman Old Style"/>
                <w:noProof/>
              </w:rPr>
              <w:t>1.</w:t>
            </w:r>
            <w:r>
              <w:rPr>
                <w:rFonts w:eastAsiaTheme="minorEastAsia"/>
                <w:noProof/>
              </w:rPr>
              <w:tab/>
            </w:r>
            <w:r w:rsidRPr="00C554E8">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_Toc118377716 \h </w:instrText>
            </w:r>
            <w:r>
              <w:rPr>
                <w:noProof/>
                <w:webHidden/>
              </w:rPr>
            </w:r>
            <w:r>
              <w:rPr>
                <w:noProof/>
                <w:webHidden/>
              </w:rPr>
              <w:fldChar w:fldCharType="separate"/>
            </w:r>
            <w:r>
              <w:rPr>
                <w:noProof/>
                <w:webHidden/>
              </w:rPr>
              <w:t>14</w:t>
            </w:r>
            <w:r>
              <w:rPr>
                <w:noProof/>
                <w:webHidden/>
              </w:rPr>
              <w:fldChar w:fldCharType="end"/>
            </w:r>
          </w:hyperlink>
        </w:p>
        <w:p w14:paraId="72530250" w14:textId="759F2254" w:rsidR="00A16B9C" w:rsidRDefault="00A16B9C">
          <w:pPr>
            <w:pStyle w:val="TOC2"/>
            <w:tabs>
              <w:tab w:val="right" w:leader="dot" w:pos="9350"/>
            </w:tabs>
            <w:rPr>
              <w:rFonts w:eastAsiaTheme="minorEastAsia"/>
              <w:noProof/>
            </w:rPr>
          </w:pPr>
          <w:hyperlink w:anchor="_Toc118377717" w:history="1">
            <w:r w:rsidRPr="00C554E8">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_Toc118377717 \h </w:instrText>
            </w:r>
            <w:r>
              <w:rPr>
                <w:noProof/>
                <w:webHidden/>
              </w:rPr>
            </w:r>
            <w:r>
              <w:rPr>
                <w:noProof/>
                <w:webHidden/>
              </w:rPr>
              <w:fldChar w:fldCharType="separate"/>
            </w:r>
            <w:r>
              <w:rPr>
                <w:noProof/>
                <w:webHidden/>
              </w:rPr>
              <w:t>14</w:t>
            </w:r>
            <w:r>
              <w:rPr>
                <w:noProof/>
                <w:webHidden/>
              </w:rPr>
              <w:fldChar w:fldCharType="end"/>
            </w:r>
          </w:hyperlink>
        </w:p>
        <w:p w14:paraId="758CA7E7" w14:textId="17D03F0E" w:rsidR="00A16B9C" w:rsidRDefault="00A16B9C">
          <w:pPr>
            <w:pStyle w:val="TOC2"/>
            <w:tabs>
              <w:tab w:val="right" w:leader="dot" w:pos="9350"/>
            </w:tabs>
            <w:rPr>
              <w:rFonts w:eastAsiaTheme="minorEastAsia"/>
              <w:noProof/>
            </w:rPr>
          </w:pPr>
          <w:hyperlink w:anchor="_Toc118377718" w:history="1">
            <w:r w:rsidRPr="00C554E8">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_Toc118377718 \h </w:instrText>
            </w:r>
            <w:r>
              <w:rPr>
                <w:noProof/>
                <w:webHidden/>
              </w:rPr>
            </w:r>
            <w:r>
              <w:rPr>
                <w:noProof/>
                <w:webHidden/>
              </w:rPr>
              <w:fldChar w:fldCharType="separate"/>
            </w:r>
            <w:r>
              <w:rPr>
                <w:noProof/>
                <w:webHidden/>
              </w:rPr>
              <w:t>16</w:t>
            </w:r>
            <w:r>
              <w:rPr>
                <w:noProof/>
                <w:webHidden/>
              </w:rPr>
              <w:fldChar w:fldCharType="end"/>
            </w:r>
          </w:hyperlink>
        </w:p>
        <w:p w14:paraId="3012380A" w14:textId="5A6949D2" w:rsidR="00A16B9C" w:rsidRDefault="00A16B9C">
          <w:pPr>
            <w:pStyle w:val="TOC2"/>
            <w:tabs>
              <w:tab w:val="right" w:leader="dot" w:pos="9350"/>
            </w:tabs>
            <w:rPr>
              <w:rFonts w:eastAsiaTheme="minorEastAsia"/>
              <w:noProof/>
            </w:rPr>
          </w:pPr>
          <w:hyperlink w:anchor="_Toc118377719" w:history="1">
            <w:r w:rsidRPr="00C554E8">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_Toc118377719 \h </w:instrText>
            </w:r>
            <w:r>
              <w:rPr>
                <w:noProof/>
                <w:webHidden/>
              </w:rPr>
            </w:r>
            <w:r>
              <w:rPr>
                <w:noProof/>
                <w:webHidden/>
              </w:rPr>
              <w:fldChar w:fldCharType="separate"/>
            </w:r>
            <w:r>
              <w:rPr>
                <w:noProof/>
                <w:webHidden/>
              </w:rPr>
              <w:t>18</w:t>
            </w:r>
            <w:r>
              <w:rPr>
                <w:noProof/>
                <w:webHidden/>
              </w:rPr>
              <w:fldChar w:fldCharType="end"/>
            </w:r>
          </w:hyperlink>
        </w:p>
        <w:p w14:paraId="45FC997F" w14:textId="46C00E1D" w:rsidR="00A16B9C" w:rsidRDefault="00A16B9C">
          <w:pPr>
            <w:pStyle w:val="TOC1"/>
            <w:tabs>
              <w:tab w:val="right" w:leader="dot" w:pos="9350"/>
            </w:tabs>
            <w:rPr>
              <w:rFonts w:eastAsiaTheme="minorEastAsia"/>
              <w:noProof/>
            </w:rPr>
          </w:pPr>
          <w:hyperlink w:anchor="_Toc118377720" w:history="1">
            <w:r w:rsidRPr="00C554E8">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_Toc118377720 \h </w:instrText>
            </w:r>
            <w:r>
              <w:rPr>
                <w:noProof/>
                <w:webHidden/>
              </w:rPr>
            </w:r>
            <w:r>
              <w:rPr>
                <w:noProof/>
                <w:webHidden/>
              </w:rPr>
              <w:fldChar w:fldCharType="separate"/>
            </w:r>
            <w:r>
              <w:rPr>
                <w:noProof/>
                <w:webHidden/>
              </w:rPr>
              <w:t>21</w:t>
            </w:r>
            <w:r>
              <w:rPr>
                <w:noProof/>
                <w:webHidden/>
              </w:rPr>
              <w:fldChar w:fldCharType="end"/>
            </w:r>
          </w:hyperlink>
        </w:p>
        <w:p w14:paraId="06996A04" w14:textId="52184BD9" w:rsidR="00A16B9C" w:rsidRDefault="00A16B9C">
          <w:pPr>
            <w:pStyle w:val="TOC2"/>
            <w:tabs>
              <w:tab w:val="right" w:leader="dot" w:pos="9350"/>
            </w:tabs>
            <w:rPr>
              <w:rFonts w:eastAsiaTheme="minorEastAsia"/>
              <w:noProof/>
            </w:rPr>
          </w:pPr>
          <w:hyperlink w:anchor="_Toc118377721" w:history="1">
            <w:r w:rsidRPr="00C554E8">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_Toc118377721 \h </w:instrText>
            </w:r>
            <w:r>
              <w:rPr>
                <w:noProof/>
                <w:webHidden/>
              </w:rPr>
            </w:r>
            <w:r>
              <w:rPr>
                <w:noProof/>
                <w:webHidden/>
              </w:rPr>
              <w:fldChar w:fldCharType="separate"/>
            </w:r>
            <w:r>
              <w:rPr>
                <w:noProof/>
                <w:webHidden/>
              </w:rPr>
              <w:t>25</w:t>
            </w:r>
            <w:r>
              <w:rPr>
                <w:noProof/>
                <w:webHidden/>
              </w:rPr>
              <w:fldChar w:fldCharType="end"/>
            </w:r>
          </w:hyperlink>
        </w:p>
        <w:p w14:paraId="4684DCDE" w14:textId="5092A9D8" w:rsidR="00A16B9C" w:rsidRDefault="00A16B9C">
          <w:pPr>
            <w:pStyle w:val="TOC2"/>
            <w:tabs>
              <w:tab w:val="right" w:leader="dot" w:pos="9350"/>
            </w:tabs>
            <w:rPr>
              <w:rFonts w:eastAsiaTheme="minorEastAsia"/>
              <w:noProof/>
            </w:rPr>
          </w:pPr>
          <w:hyperlink w:anchor="_Toc118377722" w:history="1">
            <w:r w:rsidRPr="00C554E8">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_Toc118377722 \h </w:instrText>
            </w:r>
            <w:r>
              <w:rPr>
                <w:noProof/>
                <w:webHidden/>
              </w:rPr>
            </w:r>
            <w:r>
              <w:rPr>
                <w:noProof/>
                <w:webHidden/>
              </w:rPr>
              <w:fldChar w:fldCharType="separate"/>
            </w:r>
            <w:r>
              <w:rPr>
                <w:noProof/>
                <w:webHidden/>
              </w:rPr>
              <w:t>26</w:t>
            </w:r>
            <w:r>
              <w:rPr>
                <w:noProof/>
                <w:webHidden/>
              </w:rPr>
              <w:fldChar w:fldCharType="end"/>
            </w:r>
          </w:hyperlink>
        </w:p>
        <w:p w14:paraId="7219FA13" w14:textId="0E41EE7A" w:rsidR="00A16B9C" w:rsidRDefault="00A16B9C">
          <w:pPr>
            <w:pStyle w:val="TOC1"/>
            <w:tabs>
              <w:tab w:val="right" w:leader="dot" w:pos="9350"/>
            </w:tabs>
            <w:rPr>
              <w:rFonts w:eastAsiaTheme="minorEastAsia"/>
              <w:noProof/>
            </w:rPr>
          </w:pPr>
          <w:hyperlink w:anchor="_Toc118377723" w:history="1">
            <w:r w:rsidRPr="00C554E8">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_Toc118377723 \h </w:instrText>
            </w:r>
            <w:r>
              <w:rPr>
                <w:noProof/>
                <w:webHidden/>
              </w:rPr>
            </w:r>
            <w:r>
              <w:rPr>
                <w:noProof/>
                <w:webHidden/>
              </w:rPr>
              <w:fldChar w:fldCharType="separate"/>
            </w:r>
            <w:r>
              <w:rPr>
                <w:noProof/>
                <w:webHidden/>
              </w:rPr>
              <w:t>30</w:t>
            </w:r>
            <w:r>
              <w:rPr>
                <w:noProof/>
                <w:webHidden/>
              </w:rPr>
              <w:fldChar w:fldCharType="end"/>
            </w:r>
          </w:hyperlink>
        </w:p>
        <w:p w14:paraId="699BAB67" w14:textId="6CC38ED0" w:rsidR="00A16B9C" w:rsidRDefault="00A16B9C">
          <w:pPr>
            <w:pStyle w:val="TOC2"/>
            <w:tabs>
              <w:tab w:val="right" w:leader="dot" w:pos="9350"/>
            </w:tabs>
            <w:rPr>
              <w:rFonts w:eastAsiaTheme="minorEastAsia"/>
              <w:noProof/>
            </w:rPr>
          </w:pPr>
          <w:hyperlink w:anchor="_Toc118377724" w:history="1">
            <w:r w:rsidRPr="00C554E8">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_Toc118377724 \h </w:instrText>
            </w:r>
            <w:r>
              <w:rPr>
                <w:noProof/>
                <w:webHidden/>
              </w:rPr>
            </w:r>
            <w:r>
              <w:rPr>
                <w:noProof/>
                <w:webHidden/>
              </w:rPr>
              <w:fldChar w:fldCharType="separate"/>
            </w:r>
            <w:r>
              <w:rPr>
                <w:noProof/>
                <w:webHidden/>
              </w:rPr>
              <w:t>31</w:t>
            </w:r>
            <w:r>
              <w:rPr>
                <w:noProof/>
                <w:webHidden/>
              </w:rPr>
              <w:fldChar w:fldCharType="end"/>
            </w:r>
          </w:hyperlink>
        </w:p>
        <w:p w14:paraId="140B7C0B" w14:textId="00804A81" w:rsidR="00A16B9C" w:rsidRDefault="00A16B9C">
          <w:pPr>
            <w:pStyle w:val="TOC2"/>
            <w:tabs>
              <w:tab w:val="right" w:leader="dot" w:pos="9350"/>
            </w:tabs>
            <w:rPr>
              <w:rFonts w:eastAsiaTheme="minorEastAsia"/>
              <w:noProof/>
            </w:rPr>
          </w:pPr>
          <w:hyperlink w:anchor="_Toc118377725" w:history="1">
            <w:r w:rsidRPr="00C554E8">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_Toc118377725 \h </w:instrText>
            </w:r>
            <w:r>
              <w:rPr>
                <w:noProof/>
                <w:webHidden/>
              </w:rPr>
            </w:r>
            <w:r>
              <w:rPr>
                <w:noProof/>
                <w:webHidden/>
              </w:rPr>
              <w:fldChar w:fldCharType="separate"/>
            </w:r>
            <w:r>
              <w:rPr>
                <w:noProof/>
                <w:webHidden/>
              </w:rPr>
              <w:t>33</w:t>
            </w:r>
            <w:r>
              <w:rPr>
                <w:noProof/>
                <w:webHidden/>
              </w:rPr>
              <w:fldChar w:fldCharType="end"/>
            </w:r>
          </w:hyperlink>
        </w:p>
        <w:p w14:paraId="17A25B82" w14:textId="3BB384EB" w:rsidR="00A16B9C" w:rsidRDefault="00A16B9C">
          <w:pPr>
            <w:pStyle w:val="TOC1"/>
            <w:tabs>
              <w:tab w:val="right" w:leader="dot" w:pos="9350"/>
            </w:tabs>
            <w:rPr>
              <w:rFonts w:eastAsiaTheme="minorEastAsia"/>
              <w:noProof/>
            </w:rPr>
          </w:pPr>
          <w:hyperlink w:anchor="_Toc118377726" w:history="1">
            <w:r w:rsidRPr="00C554E8">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_Toc118377726 \h </w:instrText>
            </w:r>
            <w:r>
              <w:rPr>
                <w:noProof/>
                <w:webHidden/>
              </w:rPr>
            </w:r>
            <w:r>
              <w:rPr>
                <w:noProof/>
                <w:webHidden/>
              </w:rPr>
              <w:fldChar w:fldCharType="separate"/>
            </w:r>
            <w:r>
              <w:rPr>
                <w:noProof/>
                <w:webHidden/>
              </w:rPr>
              <w:t>39</w:t>
            </w:r>
            <w:r>
              <w:rPr>
                <w:noProof/>
                <w:webHidden/>
              </w:rPr>
              <w:fldChar w:fldCharType="end"/>
            </w:r>
          </w:hyperlink>
        </w:p>
        <w:p w14:paraId="4A9D55D4" w14:textId="1349FB7B" w:rsidR="00A16B9C" w:rsidRDefault="00A16B9C">
          <w:pPr>
            <w:pStyle w:val="TOC2"/>
            <w:tabs>
              <w:tab w:val="right" w:leader="dot" w:pos="9350"/>
            </w:tabs>
            <w:rPr>
              <w:rFonts w:eastAsiaTheme="minorEastAsia"/>
              <w:noProof/>
            </w:rPr>
          </w:pPr>
          <w:hyperlink w:anchor="_Toc118377727" w:history="1">
            <w:r w:rsidRPr="00C554E8">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_Toc118377727 \h </w:instrText>
            </w:r>
            <w:r>
              <w:rPr>
                <w:noProof/>
                <w:webHidden/>
              </w:rPr>
            </w:r>
            <w:r>
              <w:rPr>
                <w:noProof/>
                <w:webHidden/>
              </w:rPr>
              <w:fldChar w:fldCharType="separate"/>
            </w:r>
            <w:r>
              <w:rPr>
                <w:noProof/>
                <w:webHidden/>
              </w:rPr>
              <w:t>39</w:t>
            </w:r>
            <w:r>
              <w:rPr>
                <w:noProof/>
                <w:webHidden/>
              </w:rPr>
              <w:fldChar w:fldCharType="end"/>
            </w:r>
          </w:hyperlink>
        </w:p>
        <w:p w14:paraId="10F28A6C" w14:textId="6BFC8725" w:rsidR="00A16B9C" w:rsidRDefault="00A16B9C">
          <w:pPr>
            <w:pStyle w:val="TOC2"/>
            <w:tabs>
              <w:tab w:val="right" w:leader="dot" w:pos="9350"/>
            </w:tabs>
            <w:rPr>
              <w:rFonts w:eastAsiaTheme="minorEastAsia"/>
              <w:noProof/>
            </w:rPr>
          </w:pPr>
          <w:hyperlink w:anchor="_Toc118377728" w:history="1">
            <w:r w:rsidRPr="00C554E8">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_Toc118377728 \h </w:instrText>
            </w:r>
            <w:r>
              <w:rPr>
                <w:noProof/>
                <w:webHidden/>
              </w:rPr>
            </w:r>
            <w:r>
              <w:rPr>
                <w:noProof/>
                <w:webHidden/>
              </w:rPr>
              <w:fldChar w:fldCharType="separate"/>
            </w:r>
            <w:r>
              <w:rPr>
                <w:noProof/>
                <w:webHidden/>
              </w:rPr>
              <w:t>40</w:t>
            </w:r>
            <w:r>
              <w:rPr>
                <w:noProof/>
                <w:webHidden/>
              </w:rPr>
              <w:fldChar w:fldCharType="end"/>
            </w:r>
          </w:hyperlink>
        </w:p>
        <w:p w14:paraId="43B513FF" w14:textId="1B9B862F" w:rsidR="00A16B9C" w:rsidRDefault="00A16B9C">
          <w:pPr>
            <w:pStyle w:val="TOC1"/>
            <w:tabs>
              <w:tab w:val="right" w:leader="dot" w:pos="9350"/>
            </w:tabs>
            <w:rPr>
              <w:rFonts w:eastAsiaTheme="minorEastAsia"/>
              <w:noProof/>
            </w:rPr>
          </w:pPr>
          <w:hyperlink w:anchor="_Toc118377729" w:history="1">
            <w:r w:rsidRPr="00C554E8">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_Toc118377729 \h </w:instrText>
            </w:r>
            <w:r>
              <w:rPr>
                <w:noProof/>
                <w:webHidden/>
              </w:rPr>
            </w:r>
            <w:r>
              <w:rPr>
                <w:noProof/>
                <w:webHidden/>
              </w:rPr>
              <w:fldChar w:fldCharType="separate"/>
            </w:r>
            <w:r>
              <w:rPr>
                <w:noProof/>
                <w:webHidden/>
              </w:rPr>
              <w:t>43</w:t>
            </w:r>
            <w:r>
              <w:rPr>
                <w:noProof/>
                <w:webHidden/>
              </w:rPr>
              <w:fldChar w:fldCharType="end"/>
            </w:r>
          </w:hyperlink>
        </w:p>
        <w:p w14:paraId="14CCF169" w14:textId="717CB45C" w:rsidR="00A16B9C" w:rsidRDefault="00A16B9C">
          <w:pPr>
            <w:pStyle w:val="TOC2"/>
            <w:tabs>
              <w:tab w:val="right" w:leader="dot" w:pos="9350"/>
            </w:tabs>
            <w:rPr>
              <w:rFonts w:eastAsiaTheme="minorEastAsia"/>
              <w:noProof/>
            </w:rPr>
          </w:pPr>
          <w:hyperlink w:anchor="_Toc118377730" w:history="1">
            <w:r w:rsidRPr="00C554E8">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_Toc118377730 \h </w:instrText>
            </w:r>
            <w:r>
              <w:rPr>
                <w:noProof/>
                <w:webHidden/>
              </w:rPr>
            </w:r>
            <w:r>
              <w:rPr>
                <w:noProof/>
                <w:webHidden/>
              </w:rPr>
              <w:fldChar w:fldCharType="separate"/>
            </w:r>
            <w:r>
              <w:rPr>
                <w:noProof/>
                <w:webHidden/>
              </w:rPr>
              <w:t>45</w:t>
            </w:r>
            <w:r>
              <w:rPr>
                <w:noProof/>
                <w:webHidden/>
              </w:rPr>
              <w:fldChar w:fldCharType="end"/>
            </w:r>
          </w:hyperlink>
        </w:p>
        <w:p w14:paraId="1555FF78" w14:textId="7D4B4517" w:rsidR="00A16B9C" w:rsidRDefault="00A16B9C">
          <w:pPr>
            <w:pStyle w:val="TOC2"/>
            <w:tabs>
              <w:tab w:val="right" w:leader="dot" w:pos="9350"/>
            </w:tabs>
            <w:rPr>
              <w:rFonts w:eastAsiaTheme="minorEastAsia"/>
              <w:noProof/>
            </w:rPr>
          </w:pPr>
          <w:hyperlink w:anchor="_Toc118377731" w:history="1">
            <w:r w:rsidRPr="00C554E8">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_Toc118377731 \h </w:instrText>
            </w:r>
            <w:r>
              <w:rPr>
                <w:noProof/>
                <w:webHidden/>
              </w:rPr>
            </w:r>
            <w:r>
              <w:rPr>
                <w:noProof/>
                <w:webHidden/>
              </w:rPr>
              <w:fldChar w:fldCharType="separate"/>
            </w:r>
            <w:r>
              <w:rPr>
                <w:noProof/>
                <w:webHidden/>
              </w:rPr>
              <w:t>46</w:t>
            </w:r>
            <w:r>
              <w:rPr>
                <w:noProof/>
                <w:webHidden/>
              </w:rPr>
              <w:fldChar w:fldCharType="end"/>
            </w:r>
          </w:hyperlink>
        </w:p>
        <w:p w14:paraId="1F366C86" w14:textId="42C05B4E" w:rsidR="00A16B9C" w:rsidRDefault="00A16B9C">
          <w:pPr>
            <w:pStyle w:val="TOC1"/>
            <w:tabs>
              <w:tab w:val="right" w:leader="dot" w:pos="9350"/>
            </w:tabs>
            <w:rPr>
              <w:rFonts w:eastAsiaTheme="minorEastAsia"/>
              <w:noProof/>
            </w:rPr>
          </w:pPr>
          <w:hyperlink w:anchor="_Toc118377732" w:history="1">
            <w:r w:rsidRPr="00C554E8">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_Toc118377732 \h </w:instrText>
            </w:r>
            <w:r>
              <w:rPr>
                <w:noProof/>
                <w:webHidden/>
              </w:rPr>
            </w:r>
            <w:r>
              <w:rPr>
                <w:noProof/>
                <w:webHidden/>
              </w:rPr>
              <w:fldChar w:fldCharType="separate"/>
            </w:r>
            <w:r>
              <w:rPr>
                <w:noProof/>
                <w:webHidden/>
              </w:rPr>
              <w:t>48</w:t>
            </w:r>
            <w:r>
              <w:rPr>
                <w:noProof/>
                <w:webHidden/>
              </w:rPr>
              <w:fldChar w:fldCharType="end"/>
            </w:r>
          </w:hyperlink>
        </w:p>
        <w:p w14:paraId="05EE0090" w14:textId="0D887E95" w:rsidR="00A16B9C" w:rsidRDefault="00A16B9C">
          <w:pPr>
            <w:pStyle w:val="TOC2"/>
            <w:tabs>
              <w:tab w:val="right" w:leader="dot" w:pos="9350"/>
            </w:tabs>
            <w:rPr>
              <w:rFonts w:eastAsiaTheme="minorEastAsia"/>
              <w:noProof/>
            </w:rPr>
          </w:pPr>
          <w:hyperlink w:anchor="_Toc118377733" w:history="1">
            <w:r w:rsidRPr="00C554E8">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_Toc118377733 \h </w:instrText>
            </w:r>
            <w:r>
              <w:rPr>
                <w:noProof/>
                <w:webHidden/>
              </w:rPr>
            </w:r>
            <w:r>
              <w:rPr>
                <w:noProof/>
                <w:webHidden/>
              </w:rPr>
              <w:fldChar w:fldCharType="separate"/>
            </w:r>
            <w:r>
              <w:rPr>
                <w:noProof/>
                <w:webHidden/>
              </w:rPr>
              <w:t>48</w:t>
            </w:r>
            <w:r>
              <w:rPr>
                <w:noProof/>
                <w:webHidden/>
              </w:rPr>
              <w:fldChar w:fldCharType="end"/>
            </w:r>
          </w:hyperlink>
        </w:p>
        <w:p w14:paraId="16984A6A" w14:textId="15E15B69" w:rsidR="00A16B9C" w:rsidRDefault="00A16B9C">
          <w:pPr>
            <w:pStyle w:val="TOC2"/>
            <w:tabs>
              <w:tab w:val="right" w:leader="dot" w:pos="9350"/>
            </w:tabs>
            <w:rPr>
              <w:rFonts w:eastAsiaTheme="minorEastAsia"/>
              <w:noProof/>
            </w:rPr>
          </w:pPr>
          <w:hyperlink w:anchor="_Toc118377734" w:history="1">
            <w:r w:rsidRPr="00C554E8">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_Toc118377734 \h </w:instrText>
            </w:r>
            <w:r>
              <w:rPr>
                <w:noProof/>
                <w:webHidden/>
              </w:rPr>
            </w:r>
            <w:r>
              <w:rPr>
                <w:noProof/>
                <w:webHidden/>
              </w:rPr>
              <w:fldChar w:fldCharType="separate"/>
            </w:r>
            <w:r>
              <w:rPr>
                <w:noProof/>
                <w:webHidden/>
              </w:rPr>
              <w:t>49</w:t>
            </w:r>
            <w:r>
              <w:rPr>
                <w:noProof/>
                <w:webHidden/>
              </w:rPr>
              <w:fldChar w:fldCharType="end"/>
            </w:r>
          </w:hyperlink>
        </w:p>
        <w:p w14:paraId="6B6B7D87" w14:textId="522529D0" w:rsidR="00A16B9C" w:rsidRDefault="00A16B9C">
          <w:pPr>
            <w:pStyle w:val="TOC2"/>
            <w:tabs>
              <w:tab w:val="right" w:leader="dot" w:pos="9350"/>
            </w:tabs>
            <w:rPr>
              <w:rFonts w:eastAsiaTheme="minorEastAsia"/>
              <w:noProof/>
            </w:rPr>
          </w:pPr>
          <w:hyperlink w:anchor="_Toc118377735" w:history="1">
            <w:r w:rsidRPr="00C554E8">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_Toc118377735 \h </w:instrText>
            </w:r>
            <w:r>
              <w:rPr>
                <w:noProof/>
                <w:webHidden/>
              </w:rPr>
            </w:r>
            <w:r>
              <w:rPr>
                <w:noProof/>
                <w:webHidden/>
              </w:rPr>
              <w:fldChar w:fldCharType="separate"/>
            </w:r>
            <w:r>
              <w:rPr>
                <w:noProof/>
                <w:webHidden/>
              </w:rPr>
              <w:t>50</w:t>
            </w:r>
            <w:r>
              <w:rPr>
                <w:noProof/>
                <w:webHidden/>
              </w:rPr>
              <w:fldChar w:fldCharType="end"/>
            </w:r>
          </w:hyperlink>
        </w:p>
        <w:p w14:paraId="15BB86A7" w14:textId="1805D773" w:rsidR="00A16B9C" w:rsidRDefault="00A16B9C">
          <w:pPr>
            <w:pStyle w:val="TOC2"/>
            <w:tabs>
              <w:tab w:val="right" w:leader="dot" w:pos="9350"/>
            </w:tabs>
            <w:rPr>
              <w:rFonts w:eastAsiaTheme="minorEastAsia"/>
              <w:noProof/>
            </w:rPr>
          </w:pPr>
          <w:hyperlink w:anchor="_Toc118377736" w:history="1">
            <w:r w:rsidRPr="00C554E8">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_Toc118377736 \h </w:instrText>
            </w:r>
            <w:r>
              <w:rPr>
                <w:noProof/>
                <w:webHidden/>
              </w:rPr>
            </w:r>
            <w:r>
              <w:rPr>
                <w:noProof/>
                <w:webHidden/>
              </w:rPr>
              <w:fldChar w:fldCharType="separate"/>
            </w:r>
            <w:r>
              <w:rPr>
                <w:noProof/>
                <w:webHidden/>
              </w:rPr>
              <w:t>50</w:t>
            </w:r>
            <w:r>
              <w:rPr>
                <w:noProof/>
                <w:webHidden/>
              </w:rPr>
              <w:fldChar w:fldCharType="end"/>
            </w:r>
          </w:hyperlink>
        </w:p>
        <w:p w14:paraId="562969A4" w14:textId="4F462D05" w:rsidR="00A16B9C" w:rsidRDefault="00A16B9C">
          <w:pPr>
            <w:pStyle w:val="TOC2"/>
            <w:tabs>
              <w:tab w:val="right" w:leader="dot" w:pos="9350"/>
            </w:tabs>
            <w:rPr>
              <w:rFonts w:eastAsiaTheme="minorEastAsia"/>
              <w:noProof/>
            </w:rPr>
          </w:pPr>
          <w:hyperlink w:anchor="_Toc118377737" w:history="1">
            <w:r w:rsidRPr="00C554E8">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_Toc118377737 \h </w:instrText>
            </w:r>
            <w:r>
              <w:rPr>
                <w:noProof/>
                <w:webHidden/>
              </w:rPr>
            </w:r>
            <w:r>
              <w:rPr>
                <w:noProof/>
                <w:webHidden/>
              </w:rPr>
              <w:fldChar w:fldCharType="separate"/>
            </w:r>
            <w:r>
              <w:rPr>
                <w:noProof/>
                <w:webHidden/>
              </w:rPr>
              <w:t>50</w:t>
            </w:r>
            <w:r>
              <w:rPr>
                <w:noProof/>
                <w:webHidden/>
              </w:rPr>
              <w:fldChar w:fldCharType="end"/>
            </w:r>
          </w:hyperlink>
        </w:p>
        <w:p w14:paraId="0DC6A288" w14:textId="14CFEC47" w:rsidR="00A16B9C" w:rsidRDefault="00A16B9C">
          <w:pPr>
            <w:pStyle w:val="TOC2"/>
            <w:tabs>
              <w:tab w:val="right" w:leader="dot" w:pos="9350"/>
            </w:tabs>
            <w:rPr>
              <w:rFonts w:eastAsiaTheme="minorEastAsia"/>
              <w:noProof/>
            </w:rPr>
          </w:pPr>
          <w:hyperlink w:anchor="_Toc118377738" w:history="1">
            <w:r w:rsidRPr="00C554E8">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_Toc118377738 \h </w:instrText>
            </w:r>
            <w:r>
              <w:rPr>
                <w:noProof/>
                <w:webHidden/>
              </w:rPr>
            </w:r>
            <w:r>
              <w:rPr>
                <w:noProof/>
                <w:webHidden/>
              </w:rPr>
              <w:fldChar w:fldCharType="separate"/>
            </w:r>
            <w:r>
              <w:rPr>
                <w:noProof/>
                <w:webHidden/>
              </w:rPr>
              <w:t>51</w:t>
            </w:r>
            <w:r>
              <w:rPr>
                <w:noProof/>
                <w:webHidden/>
              </w:rPr>
              <w:fldChar w:fldCharType="end"/>
            </w:r>
          </w:hyperlink>
        </w:p>
        <w:p w14:paraId="1855E8BE" w14:textId="617B2981" w:rsidR="00A16B9C" w:rsidRDefault="00A16B9C">
          <w:pPr>
            <w:pStyle w:val="TOC2"/>
            <w:tabs>
              <w:tab w:val="right" w:leader="dot" w:pos="9350"/>
            </w:tabs>
            <w:rPr>
              <w:rFonts w:eastAsiaTheme="minorEastAsia"/>
              <w:noProof/>
            </w:rPr>
          </w:pPr>
          <w:hyperlink w:anchor="_Toc118377739" w:history="1">
            <w:r w:rsidRPr="00C554E8">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_Toc118377739 \h </w:instrText>
            </w:r>
            <w:r>
              <w:rPr>
                <w:noProof/>
                <w:webHidden/>
              </w:rPr>
            </w:r>
            <w:r>
              <w:rPr>
                <w:noProof/>
                <w:webHidden/>
              </w:rPr>
              <w:fldChar w:fldCharType="separate"/>
            </w:r>
            <w:r>
              <w:rPr>
                <w:noProof/>
                <w:webHidden/>
              </w:rPr>
              <w:t>52</w:t>
            </w:r>
            <w:r>
              <w:rPr>
                <w:noProof/>
                <w:webHidden/>
              </w:rPr>
              <w:fldChar w:fldCharType="end"/>
            </w:r>
          </w:hyperlink>
        </w:p>
        <w:p w14:paraId="32CE7061" w14:textId="0392806F" w:rsidR="00A16B9C" w:rsidRDefault="00A16B9C">
          <w:pPr>
            <w:pStyle w:val="TOC3"/>
            <w:tabs>
              <w:tab w:val="right" w:leader="dot" w:pos="9350"/>
            </w:tabs>
            <w:rPr>
              <w:rFonts w:eastAsiaTheme="minorEastAsia"/>
              <w:noProof/>
            </w:rPr>
          </w:pPr>
          <w:hyperlink w:anchor="_Toc118377740" w:history="1">
            <w:r w:rsidRPr="00C554E8">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_Toc118377740 \h </w:instrText>
            </w:r>
            <w:r>
              <w:rPr>
                <w:noProof/>
                <w:webHidden/>
              </w:rPr>
            </w:r>
            <w:r>
              <w:rPr>
                <w:noProof/>
                <w:webHidden/>
              </w:rPr>
              <w:fldChar w:fldCharType="separate"/>
            </w:r>
            <w:r>
              <w:rPr>
                <w:noProof/>
                <w:webHidden/>
              </w:rPr>
              <w:t>53</w:t>
            </w:r>
            <w:r>
              <w:rPr>
                <w:noProof/>
                <w:webHidden/>
              </w:rPr>
              <w:fldChar w:fldCharType="end"/>
            </w:r>
          </w:hyperlink>
        </w:p>
        <w:p w14:paraId="34BA0B49" w14:textId="2E080ADF" w:rsidR="00A16B9C" w:rsidRDefault="00A16B9C">
          <w:pPr>
            <w:pStyle w:val="TOC2"/>
            <w:tabs>
              <w:tab w:val="right" w:leader="dot" w:pos="9350"/>
            </w:tabs>
            <w:rPr>
              <w:rFonts w:eastAsiaTheme="minorEastAsia"/>
              <w:noProof/>
            </w:rPr>
          </w:pPr>
          <w:hyperlink w:anchor="_Toc118377741" w:history="1">
            <w:r w:rsidRPr="00C554E8">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_Toc118377741 \h </w:instrText>
            </w:r>
            <w:r>
              <w:rPr>
                <w:noProof/>
                <w:webHidden/>
              </w:rPr>
            </w:r>
            <w:r>
              <w:rPr>
                <w:noProof/>
                <w:webHidden/>
              </w:rPr>
              <w:fldChar w:fldCharType="separate"/>
            </w:r>
            <w:r>
              <w:rPr>
                <w:noProof/>
                <w:webHidden/>
              </w:rPr>
              <w:t>54</w:t>
            </w:r>
            <w:r>
              <w:rPr>
                <w:noProof/>
                <w:webHidden/>
              </w:rPr>
              <w:fldChar w:fldCharType="end"/>
            </w:r>
          </w:hyperlink>
        </w:p>
        <w:p w14:paraId="604FC563" w14:textId="7EB19636" w:rsidR="00A16B9C" w:rsidRDefault="00A16B9C">
          <w:pPr>
            <w:pStyle w:val="TOC2"/>
            <w:tabs>
              <w:tab w:val="right" w:leader="dot" w:pos="9350"/>
            </w:tabs>
            <w:rPr>
              <w:rFonts w:eastAsiaTheme="minorEastAsia"/>
              <w:noProof/>
            </w:rPr>
          </w:pPr>
          <w:hyperlink w:anchor="_Toc118377742" w:history="1">
            <w:r w:rsidRPr="00C554E8">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_Toc118377742 \h </w:instrText>
            </w:r>
            <w:r>
              <w:rPr>
                <w:noProof/>
                <w:webHidden/>
              </w:rPr>
            </w:r>
            <w:r>
              <w:rPr>
                <w:noProof/>
                <w:webHidden/>
              </w:rPr>
              <w:fldChar w:fldCharType="separate"/>
            </w:r>
            <w:r>
              <w:rPr>
                <w:noProof/>
                <w:webHidden/>
              </w:rPr>
              <w:t>56</w:t>
            </w:r>
            <w:r>
              <w:rPr>
                <w:noProof/>
                <w:webHidden/>
              </w:rPr>
              <w:fldChar w:fldCharType="end"/>
            </w:r>
          </w:hyperlink>
        </w:p>
        <w:p w14:paraId="6F5446F2" w14:textId="5296A2B9" w:rsidR="00A16B9C" w:rsidRDefault="00A16B9C">
          <w:pPr>
            <w:pStyle w:val="TOC2"/>
            <w:tabs>
              <w:tab w:val="right" w:leader="dot" w:pos="9350"/>
            </w:tabs>
            <w:rPr>
              <w:rFonts w:eastAsiaTheme="minorEastAsia"/>
              <w:noProof/>
            </w:rPr>
          </w:pPr>
          <w:hyperlink w:anchor="_Toc118377743" w:history="1">
            <w:r w:rsidRPr="00C554E8">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_Toc118377743 \h </w:instrText>
            </w:r>
            <w:r>
              <w:rPr>
                <w:noProof/>
                <w:webHidden/>
              </w:rPr>
            </w:r>
            <w:r>
              <w:rPr>
                <w:noProof/>
                <w:webHidden/>
              </w:rPr>
              <w:fldChar w:fldCharType="separate"/>
            </w:r>
            <w:r>
              <w:rPr>
                <w:noProof/>
                <w:webHidden/>
              </w:rPr>
              <w:t>56</w:t>
            </w:r>
            <w:r>
              <w:rPr>
                <w:noProof/>
                <w:webHidden/>
              </w:rPr>
              <w:fldChar w:fldCharType="end"/>
            </w:r>
          </w:hyperlink>
        </w:p>
        <w:p w14:paraId="0F32A5E8" w14:textId="5307739A" w:rsidR="00A16B9C" w:rsidRDefault="00A16B9C">
          <w:pPr>
            <w:pStyle w:val="TOC2"/>
            <w:tabs>
              <w:tab w:val="right" w:leader="dot" w:pos="9350"/>
            </w:tabs>
            <w:rPr>
              <w:rFonts w:eastAsiaTheme="minorEastAsia"/>
              <w:noProof/>
            </w:rPr>
          </w:pPr>
          <w:hyperlink w:anchor="_Toc118377744" w:history="1">
            <w:r w:rsidRPr="00C554E8">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_Toc118377744 \h </w:instrText>
            </w:r>
            <w:r>
              <w:rPr>
                <w:noProof/>
                <w:webHidden/>
              </w:rPr>
            </w:r>
            <w:r>
              <w:rPr>
                <w:noProof/>
                <w:webHidden/>
              </w:rPr>
              <w:fldChar w:fldCharType="separate"/>
            </w:r>
            <w:r>
              <w:rPr>
                <w:noProof/>
                <w:webHidden/>
              </w:rPr>
              <w:t>57</w:t>
            </w:r>
            <w:r>
              <w:rPr>
                <w:noProof/>
                <w:webHidden/>
              </w:rPr>
              <w:fldChar w:fldCharType="end"/>
            </w:r>
          </w:hyperlink>
        </w:p>
        <w:p w14:paraId="25136FA7" w14:textId="4EEE23A6" w:rsidR="00A16B9C" w:rsidRDefault="00A16B9C">
          <w:pPr>
            <w:pStyle w:val="TOC2"/>
            <w:tabs>
              <w:tab w:val="right" w:leader="dot" w:pos="9350"/>
            </w:tabs>
            <w:rPr>
              <w:rFonts w:eastAsiaTheme="minorEastAsia"/>
              <w:noProof/>
            </w:rPr>
          </w:pPr>
          <w:hyperlink w:anchor="_Toc118377745" w:history="1">
            <w:r w:rsidRPr="00C554E8">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_Toc118377745 \h </w:instrText>
            </w:r>
            <w:r>
              <w:rPr>
                <w:noProof/>
                <w:webHidden/>
              </w:rPr>
            </w:r>
            <w:r>
              <w:rPr>
                <w:noProof/>
                <w:webHidden/>
              </w:rPr>
              <w:fldChar w:fldCharType="separate"/>
            </w:r>
            <w:r>
              <w:rPr>
                <w:noProof/>
                <w:webHidden/>
              </w:rPr>
              <w:t>57</w:t>
            </w:r>
            <w:r>
              <w:rPr>
                <w:noProof/>
                <w:webHidden/>
              </w:rPr>
              <w:fldChar w:fldCharType="end"/>
            </w:r>
          </w:hyperlink>
        </w:p>
        <w:p w14:paraId="75AF203F" w14:textId="19F00EA7" w:rsidR="00A16B9C" w:rsidRDefault="00A16B9C">
          <w:pPr>
            <w:pStyle w:val="TOC2"/>
            <w:tabs>
              <w:tab w:val="right" w:leader="dot" w:pos="9350"/>
            </w:tabs>
            <w:rPr>
              <w:rFonts w:eastAsiaTheme="minorEastAsia"/>
              <w:noProof/>
            </w:rPr>
          </w:pPr>
          <w:hyperlink w:anchor="_Toc118377746" w:history="1">
            <w:r w:rsidRPr="00C554E8">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_Toc118377746 \h </w:instrText>
            </w:r>
            <w:r>
              <w:rPr>
                <w:noProof/>
                <w:webHidden/>
              </w:rPr>
            </w:r>
            <w:r>
              <w:rPr>
                <w:noProof/>
                <w:webHidden/>
              </w:rPr>
              <w:fldChar w:fldCharType="separate"/>
            </w:r>
            <w:r>
              <w:rPr>
                <w:noProof/>
                <w:webHidden/>
              </w:rPr>
              <w:t>57</w:t>
            </w:r>
            <w:r>
              <w:rPr>
                <w:noProof/>
                <w:webHidden/>
              </w:rPr>
              <w:fldChar w:fldCharType="end"/>
            </w:r>
          </w:hyperlink>
        </w:p>
        <w:p w14:paraId="5A751522" w14:textId="1C37955F" w:rsidR="00A16B9C" w:rsidRDefault="00A16B9C">
          <w:pPr>
            <w:pStyle w:val="TOC1"/>
            <w:tabs>
              <w:tab w:val="right" w:leader="dot" w:pos="9350"/>
            </w:tabs>
            <w:rPr>
              <w:rFonts w:eastAsiaTheme="minorEastAsia"/>
              <w:noProof/>
            </w:rPr>
          </w:pPr>
          <w:hyperlink w:anchor="_Toc118377747" w:history="1">
            <w:r w:rsidRPr="00C554E8">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_Toc118377747 \h </w:instrText>
            </w:r>
            <w:r>
              <w:rPr>
                <w:noProof/>
                <w:webHidden/>
              </w:rPr>
            </w:r>
            <w:r>
              <w:rPr>
                <w:noProof/>
                <w:webHidden/>
              </w:rPr>
              <w:fldChar w:fldCharType="separate"/>
            </w:r>
            <w:r>
              <w:rPr>
                <w:noProof/>
                <w:webHidden/>
              </w:rPr>
              <w:t>58</w:t>
            </w:r>
            <w:r>
              <w:rPr>
                <w:noProof/>
                <w:webHidden/>
              </w:rPr>
              <w:fldChar w:fldCharType="end"/>
            </w:r>
          </w:hyperlink>
        </w:p>
        <w:p w14:paraId="58B8AA1E" w14:textId="097C3BA9" w:rsidR="00A16B9C" w:rsidRDefault="00A16B9C">
          <w:pPr>
            <w:pStyle w:val="TOC2"/>
            <w:tabs>
              <w:tab w:val="right" w:leader="dot" w:pos="9350"/>
            </w:tabs>
            <w:rPr>
              <w:rFonts w:eastAsiaTheme="minorEastAsia"/>
              <w:noProof/>
            </w:rPr>
          </w:pPr>
          <w:hyperlink w:anchor="_Toc118377748" w:history="1">
            <w:r w:rsidRPr="00C554E8">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_Toc118377748 \h </w:instrText>
            </w:r>
            <w:r>
              <w:rPr>
                <w:noProof/>
                <w:webHidden/>
              </w:rPr>
            </w:r>
            <w:r>
              <w:rPr>
                <w:noProof/>
                <w:webHidden/>
              </w:rPr>
              <w:fldChar w:fldCharType="separate"/>
            </w:r>
            <w:r>
              <w:rPr>
                <w:noProof/>
                <w:webHidden/>
              </w:rPr>
              <w:t>58</w:t>
            </w:r>
            <w:r>
              <w:rPr>
                <w:noProof/>
                <w:webHidden/>
              </w:rPr>
              <w:fldChar w:fldCharType="end"/>
            </w:r>
          </w:hyperlink>
        </w:p>
        <w:p w14:paraId="3F6328E6" w14:textId="213732A0" w:rsidR="00A16B9C" w:rsidRDefault="00A16B9C">
          <w:pPr>
            <w:pStyle w:val="TOC2"/>
            <w:tabs>
              <w:tab w:val="right" w:leader="dot" w:pos="9350"/>
            </w:tabs>
            <w:rPr>
              <w:rFonts w:eastAsiaTheme="minorEastAsia"/>
              <w:noProof/>
            </w:rPr>
          </w:pPr>
          <w:hyperlink w:anchor="_Toc118377749" w:history="1">
            <w:r w:rsidRPr="00C554E8">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_Toc118377749 \h </w:instrText>
            </w:r>
            <w:r>
              <w:rPr>
                <w:noProof/>
                <w:webHidden/>
              </w:rPr>
            </w:r>
            <w:r>
              <w:rPr>
                <w:noProof/>
                <w:webHidden/>
              </w:rPr>
              <w:fldChar w:fldCharType="separate"/>
            </w:r>
            <w:r>
              <w:rPr>
                <w:noProof/>
                <w:webHidden/>
              </w:rPr>
              <w:t>58</w:t>
            </w:r>
            <w:r>
              <w:rPr>
                <w:noProof/>
                <w:webHidden/>
              </w:rPr>
              <w:fldChar w:fldCharType="end"/>
            </w:r>
          </w:hyperlink>
        </w:p>
        <w:p w14:paraId="5A24DDE3" w14:textId="3BFBBB0A" w:rsidR="00A16B9C" w:rsidRDefault="00A16B9C">
          <w:pPr>
            <w:pStyle w:val="TOC2"/>
            <w:tabs>
              <w:tab w:val="right" w:leader="dot" w:pos="9350"/>
            </w:tabs>
            <w:rPr>
              <w:rFonts w:eastAsiaTheme="minorEastAsia"/>
              <w:noProof/>
            </w:rPr>
          </w:pPr>
          <w:hyperlink w:anchor="_Toc118377750" w:history="1">
            <w:r w:rsidRPr="00C554E8">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_Toc118377750 \h </w:instrText>
            </w:r>
            <w:r>
              <w:rPr>
                <w:noProof/>
                <w:webHidden/>
              </w:rPr>
            </w:r>
            <w:r>
              <w:rPr>
                <w:noProof/>
                <w:webHidden/>
              </w:rPr>
              <w:fldChar w:fldCharType="separate"/>
            </w:r>
            <w:r>
              <w:rPr>
                <w:noProof/>
                <w:webHidden/>
              </w:rPr>
              <w:t>59</w:t>
            </w:r>
            <w:r>
              <w:rPr>
                <w:noProof/>
                <w:webHidden/>
              </w:rPr>
              <w:fldChar w:fldCharType="end"/>
            </w:r>
          </w:hyperlink>
        </w:p>
        <w:p w14:paraId="5361419A" w14:textId="453E9101" w:rsidR="00A16B9C" w:rsidRDefault="00A16B9C">
          <w:pPr>
            <w:pStyle w:val="TOC2"/>
            <w:tabs>
              <w:tab w:val="right" w:leader="dot" w:pos="9350"/>
            </w:tabs>
            <w:rPr>
              <w:rFonts w:eastAsiaTheme="minorEastAsia"/>
              <w:noProof/>
            </w:rPr>
          </w:pPr>
          <w:hyperlink w:anchor="_Toc118377751" w:history="1">
            <w:r w:rsidRPr="00C554E8">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_Toc118377751 \h </w:instrText>
            </w:r>
            <w:r>
              <w:rPr>
                <w:noProof/>
                <w:webHidden/>
              </w:rPr>
            </w:r>
            <w:r>
              <w:rPr>
                <w:noProof/>
                <w:webHidden/>
              </w:rPr>
              <w:fldChar w:fldCharType="separate"/>
            </w:r>
            <w:r>
              <w:rPr>
                <w:noProof/>
                <w:webHidden/>
              </w:rPr>
              <w:t>59</w:t>
            </w:r>
            <w:r>
              <w:rPr>
                <w:noProof/>
                <w:webHidden/>
              </w:rPr>
              <w:fldChar w:fldCharType="end"/>
            </w:r>
          </w:hyperlink>
        </w:p>
        <w:p w14:paraId="551E9F9D" w14:textId="63DFBA49" w:rsidR="00A16B9C" w:rsidRDefault="00A16B9C">
          <w:pPr>
            <w:pStyle w:val="TOC1"/>
            <w:tabs>
              <w:tab w:val="right" w:leader="dot" w:pos="9350"/>
            </w:tabs>
            <w:rPr>
              <w:rFonts w:eastAsiaTheme="minorEastAsia"/>
              <w:noProof/>
            </w:rPr>
          </w:pPr>
          <w:hyperlink w:anchor="_Toc118377752" w:history="1">
            <w:r w:rsidRPr="00C554E8">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_Toc118377752 \h </w:instrText>
            </w:r>
            <w:r>
              <w:rPr>
                <w:noProof/>
                <w:webHidden/>
              </w:rPr>
            </w:r>
            <w:r>
              <w:rPr>
                <w:noProof/>
                <w:webHidden/>
              </w:rPr>
              <w:fldChar w:fldCharType="separate"/>
            </w:r>
            <w:r>
              <w:rPr>
                <w:noProof/>
                <w:webHidden/>
              </w:rPr>
              <w:t>61</w:t>
            </w:r>
            <w:r>
              <w:rPr>
                <w:noProof/>
                <w:webHidden/>
              </w:rPr>
              <w:fldChar w:fldCharType="end"/>
            </w:r>
          </w:hyperlink>
        </w:p>
        <w:p w14:paraId="12DE2EBE" w14:textId="33B311F7" w:rsidR="00A16B9C" w:rsidRDefault="00A16B9C">
          <w:pPr>
            <w:pStyle w:val="TOC1"/>
            <w:tabs>
              <w:tab w:val="right" w:leader="dot" w:pos="9350"/>
            </w:tabs>
            <w:rPr>
              <w:rFonts w:eastAsiaTheme="minorEastAsia"/>
              <w:noProof/>
            </w:rPr>
          </w:pPr>
          <w:hyperlink w:anchor="_Toc118377753" w:history="1">
            <w:r w:rsidRPr="00C554E8">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_Toc118377753 \h </w:instrText>
            </w:r>
            <w:r>
              <w:rPr>
                <w:noProof/>
                <w:webHidden/>
              </w:rPr>
            </w:r>
            <w:r>
              <w:rPr>
                <w:noProof/>
                <w:webHidden/>
              </w:rPr>
              <w:fldChar w:fldCharType="separate"/>
            </w:r>
            <w:r>
              <w:rPr>
                <w:noProof/>
                <w:webHidden/>
              </w:rPr>
              <w:t>65</w:t>
            </w:r>
            <w:r>
              <w:rPr>
                <w:noProof/>
                <w:webHidden/>
              </w:rPr>
              <w:fldChar w:fldCharType="end"/>
            </w:r>
          </w:hyperlink>
        </w:p>
        <w:p w14:paraId="70B3E74B" w14:textId="3A8096C2" w:rsidR="00A16B9C" w:rsidRDefault="00A16B9C">
          <w:pPr>
            <w:pStyle w:val="TOC2"/>
            <w:tabs>
              <w:tab w:val="right" w:leader="dot" w:pos="9350"/>
            </w:tabs>
            <w:rPr>
              <w:rFonts w:eastAsiaTheme="minorEastAsia"/>
              <w:noProof/>
            </w:rPr>
          </w:pPr>
          <w:hyperlink w:anchor="_Toc118377754" w:history="1">
            <w:r w:rsidRPr="00C554E8">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_Toc118377754 \h </w:instrText>
            </w:r>
            <w:r>
              <w:rPr>
                <w:noProof/>
                <w:webHidden/>
              </w:rPr>
            </w:r>
            <w:r>
              <w:rPr>
                <w:noProof/>
                <w:webHidden/>
              </w:rPr>
              <w:fldChar w:fldCharType="separate"/>
            </w:r>
            <w:r>
              <w:rPr>
                <w:noProof/>
                <w:webHidden/>
              </w:rPr>
              <w:t>65</w:t>
            </w:r>
            <w:r>
              <w:rPr>
                <w:noProof/>
                <w:webHidden/>
              </w:rPr>
              <w:fldChar w:fldCharType="end"/>
            </w:r>
          </w:hyperlink>
        </w:p>
        <w:p w14:paraId="40BD11E5" w14:textId="369E262F" w:rsidR="00A16B9C" w:rsidRDefault="00A16B9C">
          <w:pPr>
            <w:pStyle w:val="TOC2"/>
            <w:tabs>
              <w:tab w:val="right" w:leader="dot" w:pos="9350"/>
            </w:tabs>
            <w:rPr>
              <w:rFonts w:eastAsiaTheme="minorEastAsia"/>
              <w:noProof/>
            </w:rPr>
          </w:pPr>
          <w:hyperlink w:anchor="_Toc118377755" w:history="1">
            <w:r w:rsidRPr="00C554E8">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_Toc118377755 \h </w:instrText>
            </w:r>
            <w:r>
              <w:rPr>
                <w:noProof/>
                <w:webHidden/>
              </w:rPr>
            </w:r>
            <w:r>
              <w:rPr>
                <w:noProof/>
                <w:webHidden/>
              </w:rPr>
              <w:fldChar w:fldCharType="separate"/>
            </w:r>
            <w:r>
              <w:rPr>
                <w:noProof/>
                <w:webHidden/>
              </w:rPr>
              <w:t>65</w:t>
            </w:r>
            <w:r>
              <w:rPr>
                <w:noProof/>
                <w:webHidden/>
              </w:rPr>
              <w:fldChar w:fldCharType="end"/>
            </w:r>
          </w:hyperlink>
        </w:p>
        <w:p w14:paraId="30645C87" w14:textId="3537F2A1" w:rsidR="00A16B9C" w:rsidRDefault="00A16B9C">
          <w:pPr>
            <w:pStyle w:val="TOC2"/>
            <w:tabs>
              <w:tab w:val="right" w:leader="dot" w:pos="9350"/>
            </w:tabs>
            <w:rPr>
              <w:rFonts w:eastAsiaTheme="minorEastAsia"/>
              <w:noProof/>
            </w:rPr>
          </w:pPr>
          <w:hyperlink w:anchor="_Toc118377756" w:history="1">
            <w:r w:rsidRPr="00C554E8">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_Toc118377756 \h </w:instrText>
            </w:r>
            <w:r>
              <w:rPr>
                <w:noProof/>
                <w:webHidden/>
              </w:rPr>
            </w:r>
            <w:r>
              <w:rPr>
                <w:noProof/>
                <w:webHidden/>
              </w:rPr>
              <w:fldChar w:fldCharType="separate"/>
            </w:r>
            <w:r>
              <w:rPr>
                <w:noProof/>
                <w:webHidden/>
              </w:rPr>
              <w:t>68</w:t>
            </w:r>
            <w:r>
              <w:rPr>
                <w:noProof/>
                <w:webHidden/>
              </w:rPr>
              <w:fldChar w:fldCharType="end"/>
            </w:r>
          </w:hyperlink>
        </w:p>
        <w:p w14:paraId="153E74D2" w14:textId="7B37B2CD" w:rsidR="00A16B9C" w:rsidRDefault="00A16B9C">
          <w:pPr>
            <w:pStyle w:val="TOC1"/>
            <w:tabs>
              <w:tab w:val="right" w:leader="dot" w:pos="9350"/>
            </w:tabs>
            <w:rPr>
              <w:rFonts w:eastAsiaTheme="minorEastAsia"/>
              <w:noProof/>
            </w:rPr>
          </w:pPr>
          <w:hyperlink w:anchor="_Toc118377757" w:history="1">
            <w:r w:rsidRPr="00C554E8">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_Toc118377757 \h </w:instrText>
            </w:r>
            <w:r>
              <w:rPr>
                <w:noProof/>
                <w:webHidden/>
              </w:rPr>
            </w:r>
            <w:r>
              <w:rPr>
                <w:noProof/>
                <w:webHidden/>
              </w:rPr>
              <w:fldChar w:fldCharType="separate"/>
            </w:r>
            <w:r>
              <w:rPr>
                <w:noProof/>
                <w:webHidden/>
              </w:rPr>
              <w:t>78</w:t>
            </w:r>
            <w:r>
              <w:rPr>
                <w:noProof/>
                <w:webHidden/>
              </w:rPr>
              <w:fldChar w:fldCharType="end"/>
            </w:r>
          </w:hyperlink>
        </w:p>
        <w:p w14:paraId="18146499" w14:textId="28545E73" w:rsidR="00A16B9C" w:rsidRDefault="00A16B9C">
          <w:pPr>
            <w:pStyle w:val="TOC2"/>
            <w:tabs>
              <w:tab w:val="right" w:leader="dot" w:pos="9350"/>
            </w:tabs>
            <w:rPr>
              <w:rFonts w:eastAsiaTheme="minorEastAsia"/>
              <w:noProof/>
            </w:rPr>
          </w:pPr>
          <w:hyperlink w:anchor="_Toc118377758" w:history="1">
            <w:r w:rsidRPr="00C554E8">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_Toc118377758 \h </w:instrText>
            </w:r>
            <w:r>
              <w:rPr>
                <w:noProof/>
                <w:webHidden/>
              </w:rPr>
            </w:r>
            <w:r>
              <w:rPr>
                <w:noProof/>
                <w:webHidden/>
              </w:rPr>
              <w:fldChar w:fldCharType="separate"/>
            </w:r>
            <w:r>
              <w:rPr>
                <w:noProof/>
                <w:webHidden/>
              </w:rPr>
              <w:t>86</w:t>
            </w:r>
            <w:r>
              <w:rPr>
                <w:noProof/>
                <w:webHidden/>
              </w:rPr>
              <w:fldChar w:fldCharType="end"/>
            </w:r>
          </w:hyperlink>
        </w:p>
        <w:p w14:paraId="6163FFEC" w14:textId="6668A741" w:rsidR="00A16B9C" w:rsidRDefault="00A16B9C">
          <w:pPr>
            <w:pStyle w:val="TOC2"/>
            <w:tabs>
              <w:tab w:val="right" w:leader="dot" w:pos="9350"/>
            </w:tabs>
            <w:rPr>
              <w:rFonts w:eastAsiaTheme="minorEastAsia"/>
              <w:noProof/>
            </w:rPr>
          </w:pPr>
          <w:hyperlink w:anchor="_Toc118377759" w:history="1">
            <w:r w:rsidRPr="00C554E8">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_Toc118377759 \h </w:instrText>
            </w:r>
            <w:r>
              <w:rPr>
                <w:noProof/>
                <w:webHidden/>
              </w:rPr>
            </w:r>
            <w:r>
              <w:rPr>
                <w:noProof/>
                <w:webHidden/>
              </w:rPr>
              <w:fldChar w:fldCharType="separate"/>
            </w:r>
            <w:r>
              <w:rPr>
                <w:noProof/>
                <w:webHidden/>
              </w:rPr>
              <w:t>88</w:t>
            </w:r>
            <w:r>
              <w:rPr>
                <w:noProof/>
                <w:webHidden/>
              </w:rPr>
              <w:fldChar w:fldCharType="end"/>
            </w:r>
          </w:hyperlink>
        </w:p>
        <w:p w14:paraId="545DDF5E" w14:textId="395ECD89" w:rsidR="00A16B9C" w:rsidRDefault="00A16B9C">
          <w:pPr>
            <w:pStyle w:val="TOC2"/>
            <w:tabs>
              <w:tab w:val="right" w:leader="dot" w:pos="9350"/>
            </w:tabs>
            <w:rPr>
              <w:rFonts w:eastAsiaTheme="minorEastAsia"/>
              <w:noProof/>
            </w:rPr>
          </w:pPr>
          <w:hyperlink w:anchor="_Toc118377760" w:history="1">
            <w:r w:rsidRPr="00C554E8">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_Toc118377760 \h </w:instrText>
            </w:r>
            <w:r>
              <w:rPr>
                <w:noProof/>
                <w:webHidden/>
              </w:rPr>
            </w:r>
            <w:r>
              <w:rPr>
                <w:noProof/>
                <w:webHidden/>
              </w:rPr>
              <w:fldChar w:fldCharType="separate"/>
            </w:r>
            <w:r>
              <w:rPr>
                <w:noProof/>
                <w:webHidden/>
              </w:rPr>
              <w:t>92</w:t>
            </w:r>
            <w:r>
              <w:rPr>
                <w:noProof/>
                <w:webHidden/>
              </w:rPr>
              <w:fldChar w:fldCharType="end"/>
            </w:r>
          </w:hyperlink>
        </w:p>
        <w:p w14:paraId="304F02CC" w14:textId="265E861F" w:rsidR="00A16B9C" w:rsidRDefault="00A16B9C">
          <w:pPr>
            <w:pStyle w:val="TOC1"/>
            <w:tabs>
              <w:tab w:val="right" w:leader="dot" w:pos="9350"/>
            </w:tabs>
            <w:rPr>
              <w:rFonts w:eastAsiaTheme="minorEastAsia"/>
              <w:noProof/>
            </w:rPr>
          </w:pPr>
          <w:hyperlink w:anchor="_Toc118377761" w:history="1">
            <w:r w:rsidRPr="00C554E8">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_Toc118377761 \h </w:instrText>
            </w:r>
            <w:r>
              <w:rPr>
                <w:noProof/>
                <w:webHidden/>
              </w:rPr>
            </w:r>
            <w:r>
              <w:rPr>
                <w:noProof/>
                <w:webHidden/>
              </w:rPr>
              <w:fldChar w:fldCharType="separate"/>
            </w:r>
            <w:r>
              <w:rPr>
                <w:noProof/>
                <w:webHidden/>
              </w:rPr>
              <w:t>96</w:t>
            </w:r>
            <w:r>
              <w:rPr>
                <w:noProof/>
                <w:webHidden/>
              </w:rPr>
              <w:fldChar w:fldCharType="end"/>
            </w:r>
          </w:hyperlink>
        </w:p>
        <w:p w14:paraId="622B2A4B" w14:textId="66DE9F0E" w:rsidR="00A16B9C" w:rsidRDefault="00A16B9C">
          <w:pPr>
            <w:pStyle w:val="TOC2"/>
            <w:tabs>
              <w:tab w:val="right" w:leader="dot" w:pos="9350"/>
            </w:tabs>
            <w:rPr>
              <w:rFonts w:eastAsiaTheme="minorEastAsia"/>
              <w:noProof/>
            </w:rPr>
          </w:pPr>
          <w:hyperlink w:anchor="_Toc118377762" w:history="1">
            <w:r w:rsidRPr="00C554E8">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_Toc118377762 \h </w:instrText>
            </w:r>
            <w:r>
              <w:rPr>
                <w:noProof/>
                <w:webHidden/>
              </w:rPr>
            </w:r>
            <w:r>
              <w:rPr>
                <w:noProof/>
                <w:webHidden/>
              </w:rPr>
              <w:fldChar w:fldCharType="separate"/>
            </w:r>
            <w:r>
              <w:rPr>
                <w:noProof/>
                <w:webHidden/>
              </w:rPr>
              <w:t>97</w:t>
            </w:r>
            <w:r>
              <w:rPr>
                <w:noProof/>
                <w:webHidden/>
              </w:rPr>
              <w:fldChar w:fldCharType="end"/>
            </w:r>
          </w:hyperlink>
        </w:p>
        <w:p w14:paraId="2D026573" w14:textId="7EA5B1D3" w:rsidR="00A16B9C" w:rsidRDefault="00A16B9C">
          <w:pPr>
            <w:pStyle w:val="TOC2"/>
            <w:tabs>
              <w:tab w:val="right" w:leader="dot" w:pos="9350"/>
            </w:tabs>
            <w:rPr>
              <w:rFonts w:eastAsiaTheme="minorEastAsia"/>
              <w:noProof/>
            </w:rPr>
          </w:pPr>
          <w:hyperlink w:anchor="_Toc118377763" w:history="1">
            <w:r w:rsidRPr="00C554E8">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_Toc118377763 \h </w:instrText>
            </w:r>
            <w:r>
              <w:rPr>
                <w:noProof/>
                <w:webHidden/>
              </w:rPr>
            </w:r>
            <w:r>
              <w:rPr>
                <w:noProof/>
                <w:webHidden/>
              </w:rPr>
              <w:fldChar w:fldCharType="separate"/>
            </w:r>
            <w:r>
              <w:rPr>
                <w:noProof/>
                <w:webHidden/>
              </w:rPr>
              <w:t>99</w:t>
            </w:r>
            <w:r>
              <w:rPr>
                <w:noProof/>
                <w:webHidden/>
              </w:rPr>
              <w:fldChar w:fldCharType="end"/>
            </w:r>
          </w:hyperlink>
        </w:p>
        <w:p w14:paraId="4FFABD53" w14:textId="67A87DEF" w:rsidR="00A16B9C" w:rsidRDefault="00A16B9C">
          <w:pPr>
            <w:pStyle w:val="TOC1"/>
            <w:tabs>
              <w:tab w:val="right" w:leader="dot" w:pos="9350"/>
            </w:tabs>
            <w:rPr>
              <w:rFonts w:eastAsiaTheme="minorEastAsia"/>
              <w:noProof/>
            </w:rPr>
          </w:pPr>
          <w:hyperlink w:anchor="_Toc118377764" w:history="1">
            <w:r w:rsidRPr="00C554E8">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_Toc118377764 \h </w:instrText>
            </w:r>
            <w:r>
              <w:rPr>
                <w:noProof/>
                <w:webHidden/>
              </w:rPr>
            </w:r>
            <w:r>
              <w:rPr>
                <w:noProof/>
                <w:webHidden/>
              </w:rPr>
              <w:fldChar w:fldCharType="separate"/>
            </w:r>
            <w:r>
              <w:rPr>
                <w:noProof/>
                <w:webHidden/>
              </w:rPr>
              <w:t>104</w:t>
            </w:r>
            <w:r>
              <w:rPr>
                <w:noProof/>
                <w:webHidden/>
              </w:rPr>
              <w:fldChar w:fldCharType="end"/>
            </w:r>
          </w:hyperlink>
        </w:p>
        <w:p w14:paraId="613DFD1B" w14:textId="117EFA97" w:rsidR="00A16B9C" w:rsidRDefault="00A16B9C">
          <w:pPr>
            <w:pStyle w:val="TOC1"/>
            <w:tabs>
              <w:tab w:val="right" w:leader="dot" w:pos="9350"/>
            </w:tabs>
            <w:rPr>
              <w:rFonts w:eastAsiaTheme="minorEastAsia"/>
              <w:noProof/>
            </w:rPr>
          </w:pPr>
          <w:hyperlink w:anchor="_Toc118377765" w:history="1">
            <w:r w:rsidRPr="00C554E8">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_Toc118377765 \h </w:instrText>
            </w:r>
            <w:r>
              <w:rPr>
                <w:noProof/>
                <w:webHidden/>
              </w:rPr>
            </w:r>
            <w:r>
              <w:rPr>
                <w:noProof/>
                <w:webHidden/>
              </w:rPr>
              <w:fldChar w:fldCharType="separate"/>
            </w:r>
            <w:r>
              <w:rPr>
                <w:noProof/>
                <w:webHidden/>
              </w:rPr>
              <w:t>108</w:t>
            </w:r>
            <w:r>
              <w:rPr>
                <w:noProof/>
                <w:webHidden/>
              </w:rPr>
              <w:fldChar w:fldCharType="end"/>
            </w:r>
          </w:hyperlink>
        </w:p>
        <w:p w14:paraId="2223DA7D" w14:textId="087791AA" w:rsidR="00A16B9C" w:rsidRDefault="00A16B9C">
          <w:pPr>
            <w:pStyle w:val="TOC2"/>
            <w:tabs>
              <w:tab w:val="right" w:leader="dot" w:pos="9350"/>
            </w:tabs>
            <w:rPr>
              <w:rFonts w:eastAsiaTheme="minorEastAsia"/>
              <w:noProof/>
            </w:rPr>
          </w:pPr>
          <w:hyperlink w:anchor="_Toc118377766" w:history="1">
            <w:r w:rsidRPr="00C554E8">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_Toc118377766 \h </w:instrText>
            </w:r>
            <w:r>
              <w:rPr>
                <w:noProof/>
                <w:webHidden/>
              </w:rPr>
            </w:r>
            <w:r>
              <w:rPr>
                <w:noProof/>
                <w:webHidden/>
              </w:rPr>
              <w:fldChar w:fldCharType="separate"/>
            </w:r>
            <w:r>
              <w:rPr>
                <w:noProof/>
                <w:webHidden/>
              </w:rPr>
              <w:t>108</w:t>
            </w:r>
            <w:r>
              <w:rPr>
                <w:noProof/>
                <w:webHidden/>
              </w:rPr>
              <w:fldChar w:fldCharType="end"/>
            </w:r>
          </w:hyperlink>
        </w:p>
        <w:p w14:paraId="5481B38B" w14:textId="3B14EC52" w:rsidR="00A16B9C" w:rsidRDefault="00A16B9C">
          <w:pPr>
            <w:pStyle w:val="TOC2"/>
            <w:tabs>
              <w:tab w:val="right" w:leader="dot" w:pos="9350"/>
            </w:tabs>
            <w:rPr>
              <w:rFonts w:eastAsiaTheme="minorEastAsia"/>
              <w:noProof/>
            </w:rPr>
          </w:pPr>
          <w:hyperlink w:anchor="_Toc118377767" w:history="1">
            <w:r w:rsidRPr="00C554E8">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_Toc118377767 \h </w:instrText>
            </w:r>
            <w:r>
              <w:rPr>
                <w:noProof/>
                <w:webHidden/>
              </w:rPr>
            </w:r>
            <w:r>
              <w:rPr>
                <w:noProof/>
                <w:webHidden/>
              </w:rPr>
              <w:fldChar w:fldCharType="separate"/>
            </w:r>
            <w:r>
              <w:rPr>
                <w:noProof/>
                <w:webHidden/>
              </w:rPr>
              <w:t>109</w:t>
            </w:r>
            <w:r>
              <w:rPr>
                <w:noProof/>
                <w:webHidden/>
              </w:rPr>
              <w:fldChar w:fldCharType="end"/>
            </w:r>
          </w:hyperlink>
        </w:p>
        <w:p w14:paraId="0ED1B5F0" w14:textId="30CC74D4" w:rsidR="00A16B9C" w:rsidRDefault="00A16B9C">
          <w:pPr>
            <w:pStyle w:val="TOC2"/>
            <w:tabs>
              <w:tab w:val="right" w:leader="dot" w:pos="9350"/>
            </w:tabs>
            <w:rPr>
              <w:rFonts w:eastAsiaTheme="minorEastAsia"/>
              <w:noProof/>
            </w:rPr>
          </w:pPr>
          <w:hyperlink w:anchor="_Toc118377768" w:history="1">
            <w:r w:rsidRPr="00C554E8">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_Toc118377768 \h </w:instrText>
            </w:r>
            <w:r>
              <w:rPr>
                <w:noProof/>
                <w:webHidden/>
              </w:rPr>
            </w:r>
            <w:r>
              <w:rPr>
                <w:noProof/>
                <w:webHidden/>
              </w:rPr>
              <w:fldChar w:fldCharType="separate"/>
            </w:r>
            <w:r>
              <w:rPr>
                <w:noProof/>
                <w:webHidden/>
              </w:rPr>
              <w:t>109</w:t>
            </w:r>
            <w:r>
              <w:rPr>
                <w:noProof/>
                <w:webHidden/>
              </w:rPr>
              <w:fldChar w:fldCharType="end"/>
            </w:r>
          </w:hyperlink>
        </w:p>
        <w:p w14:paraId="1E3D74E2" w14:textId="5F753082" w:rsidR="00A16B9C" w:rsidRDefault="00A16B9C">
          <w:pPr>
            <w:pStyle w:val="TOC2"/>
            <w:tabs>
              <w:tab w:val="right" w:leader="dot" w:pos="9350"/>
            </w:tabs>
            <w:rPr>
              <w:rFonts w:eastAsiaTheme="minorEastAsia"/>
              <w:noProof/>
            </w:rPr>
          </w:pPr>
          <w:hyperlink w:anchor="_Toc118377769" w:history="1">
            <w:r w:rsidRPr="00C554E8">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_Toc118377769 \h </w:instrText>
            </w:r>
            <w:r>
              <w:rPr>
                <w:noProof/>
                <w:webHidden/>
              </w:rPr>
            </w:r>
            <w:r>
              <w:rPr>
                <w:noProof/>
                <w:webHidden/>
              </w:rPr>
              <w:fldChar w:fldCharType="separate"/>
            </w:r>
            <w:r>
              <w:rPr>
                <w:noProof/>
                <w:webHidden/>
              </w:rPr>
              <w:t>111</w:t>
            </w:r>
            <w:r>
              <w:rPr>
                <w:noProof/>
                <w:webHidden/>
              </w:rPr>
              <w:fldChar w:fldCharType="end"/>
            </w:r>
          </w:hyperlink>
        </w:p>
        <w:p w14:paraId="36B9BA86" w14:textId="693050A0" w:rsidR="00A16B9C" w:rsidRDefault="00A16B9C">
          <w:pPr>
            <w:pStyle w:val="TOC2"/>
            <w:tabs>
              <w:tab w:val="right" w:leader="dot" w:pos="9350"/>
            </w:tabs>
            <w:rPr>
              <w:rFonts w:eastAsiaTheme="minorEastAsia"/>
              <w:noProof/>
            </w:rPr>
          </w:pPr>
          <w:hyperlink w:anchor="_Toc118377770" w:history="1">
            <w:r w:rsidRPr="00C554E8">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_Toc118377770 \h </w:instrText>
            </w:r>
            <w:r>
              <w:rPr>
                <w:noProof/>
                <w:webHidden/>
              </w:rPr>
            </w:r>
            <w:r>
              <w:rPr>
                <w:noProof/>
                <w:webHidden/>
              </w:rPr>
              <w:fldChar w:fldCharType="separate"/>
            </w:r>
            <w:r>
              <w:rPr>
                <w:noProof/>
                <w:webHidden/>
              </w:rPr>
              <w:t>111</w:t>
            </w:r>
            <w:r>
              <w:rPr>
                <w:noProof/>
                <w:webHidden/>
              </w:rPr>
              <w:fldChar w:fldCharType="end"/>
            </w:r>
          </w:hyperlink>
        </w:p>
        <w:p w14:paraId="0E3577E8" w14:textId="4355DDBB" w:rsidR="00A16B9C" w:rsidRDefault="00A16B9C">
          <w:pPr>
            <w:pStyle w:val="TOC1"/>
            <w:tabs>
              <w:tab w:val="right" w:leader="dot" w:pos="9350"/>
            </w:tabs>
            <w:rPr>
              <w:rFonts w:eastAsiaTheme="minorEastAsia"/>
              <w:noProof/>
            </w:rPr>
          </w:pPr>
          <w:hyperlink w:anchor="_Toc118377771" w:history="1">
            <w:r w:rsidRPr="00C554E8">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_Toc118377771 \h </w:instrText>
            </w:r>
            <w:r>
              <w:rPr>
                <w:noProof/>
                <w:webHidden/>
              </w:rPr>
            </w:r>
            <w:r>
              <w:rPr>
                <w:noProof/>
                <w:webHidden/>
              </w:rPr>
              <w:fldChar w:fldCharType="separate"/>
            </w:r>
            <w:r>
              <w:rPr>
                <w:noProof/>
                <w:webHidden/>
              </w:rPr>
              <w:t>114</w:t>
            </w:r>
            <w:r>
              <w:rPr>
                <w:noProof/>
                <w:webHidden/>
              </w:rPr>
              <w:fldChar w:fldCharType="end"/>
            </w:r>
          </w:hyperlink>
        </w:p>
        <w:p w14:paraId="3445AEDD" w14:textId="571A5DCF" w:rsidR="00A16B9C" w:rsidRDefault="00A16B9C">
          <w:pPr>
            <w:pStyle w:val="TOC2"/>
            <w:tabs>
              <w:tab w:val="right" w:leader="dot" w:pos="9350"/>
            </w:tabs>
            <w:rPr>
              <w:rFonts w:eastAsiaTheme="minorEastAsia"/>
              <w:noProof/>
            </w:rPr>
          </w:pPr>
          <w:hyperlink w:anchor="_Toc118377772" w:history="1">
            <w:r w:rsidRPr="00C554E8">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_Toc118377772 \h </w:instrText>
            </w:r>
            <w:r>
              <w:rPr>
                <w:noProof/>
                <w:webHidden/>
              </w:rPr>
            </w:r>
            <w:r>
              <w:rPr>
                <w:noProof/>
                <w:webHidden/>
              </w:rPr>
              <w:fldChar w:fldCharType="separate"/>
            </w:r>
            <w:r>
              <w:rPr>
                <w:noProof/>
                <w:webHidden/>
              </w:rPr>
              <w:t>118</w:t>
            </w:r>
            <w:r>
              <w:rPr>
                <w:noProof/>
                <w:webHidden/>
              </w:rPr>
              <w:fldChar w:fldCharType="end"/>
            </w:r>
          </w:hyperlink>
        </w:p>
        <w:p w14:paraId="705214DF" w14:textId="27FC371C" w:rsidR="00A16B9C" w:rsidRDefault="00A16B9C">
          <w:pPr>
            <w:pStyle w:val="TOC1"/>
            <w:tabs>
              <w:tab w:val="right" w:leader="dot" w:pos="9350"/>
            </w:tabs>
            <w:rPr>
              <w:rFonts w:eastAsiaTheme="minorEastAsia"/>
              <w:noProof/>
            </w:rPr>
          </w:pPr>
          <w:hyperlink w:anchor="_Toc118377773" w:history="1">
            <w:r w:rsidRPr="00C554E8">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_Toc118377773 \h </w:instrText>
            </w:r>
            <w:r>
              <w:rPr>
                <w:noProof/>
                <w:webHidden/>
              </w:rPr>
            </w:r>
            <w:r>
              <w:rPr>
                <w:noProof/>
                <w:webHidden/>
              </w:rPr>
              <w:fldChar w:fldCharType="separate"/>
            </w:r>
            <w:r>
              <w:rPr>
                <w:noProof/>
                <w:webHidden/>
              </w:rPr>
              <w:t>120</w:t>
            </w:r>
            <w:r>
              <w:rPr>
                <w:noProof/>
                <w:webHidden/>
              </w:rPr>
              <w:fldChar w:fldCharType="end"/>
            </w:r>
          </w:hyperlink>
        </w:p>
        <w:p w14:paraId="17F79EE2" w14:textId="33FC520E" w:rsidR="00A16B9C" w:rsidRDefault="00A16B9C">
          <w:pPr>
            <w:pStyle w:val="TOC1"/>
            <w:tabs>
              <w:tab w:val="right" w:leader="dot" w:pos="9350"/>
            </w:tabs>
            <w:rPr>
              <w:rFonts w:eastAsiaTheme="minorEastAsia"/>
              <w:noProof/>
            </w:rPr>
          </w:pPr>
          <w:hyperlink w:anchor="_Toc118377774" w:history="1">
            <w:r w:rsidRPr="00C554E8">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_Toc118377774 \h </w:instrText>
            </w:r>
            <w:r>
              <w:rPr>
                <w:noProof/>
                <w:webHidden/>
              </w:rPr>
            </w:r>
            <w:r>
              <w:rPr>
                <w:noProof/>
                <w:webHidden/>
              </w:rPr>
              <w:fldChar w:fldCharType="separate"/>
            </w:r>
            <w:r>
              <w:rPr>
                <w:noProof/>
                <w:webHidden/>
              </w:rPr>
              <w:t>123</w:t>
            </w:r>
            <w:r>
              <w:rPr>
                <w:noProof/>
                <w:webHidden/>
              </w:rPr>
              <w:fldChar w:fldCharType="end"/>
            </w:r>
          </w:hyperlink>
        </w:p>
        <w:p w14:paraId="1196FEEC" w14:textId="45C5C70B" w:rsidR="00A16B9C" w:rsidRDefault="00A16B9C">
          <w:pPr>
            <w:pStyle w:val="TOC2"/>
            <w:tabs>
              <w:tab w:val="right" w:leader="dot" w:pos="9350"/>
            </w:tabs>
            <w:rPr>
              <w:rFonts w:eastAsiaTheme="minorEastAsia"/>
              <w:noProof/>
            </w:rPr>
          </w:pPr>
          <w:hyperlink w:anchor="_Toc118377775" w:history="1">
            <w:r w:rsidRPr="00C554E8">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_Toc118377775 \h </w:instrText>
            </w:r>
            <w:r>
              <w:rPr>
                <w:noProof/>
                <w:webHidden/>
              </w:rPr>
            </w:r>
            <w:r>
              <w:rPr>
                <w:noProof/>
                <w:webHidden/>
              </w:rPr>
              <w:fldChar w:fldCharType="separate"/>
            </w:r>
            <w:r>
              <w:rPr>
                <w:noProof/>
                <w:webHidden/>
              </w:rPr>
              <w:t>125</w:t>
            </w:r>
            <w:r>
              <w:rPr>
                <w:noProof/>
                <w:webHidden/>
              </w:rPr>
              <w:fldChar w:fldCharType="end"/>
            </w:r>
          </w:hyperlink>
        </w:p>
        <w:p w14:paraId="68BE6DC3" w14:textId="46194137" w:rsidR="00A16B9C" w:rsidRDefault="00A16B9C">
          <w:pPr>
            <w:pStyle w:val="TOC2"/>
            <w:tabs>
              <w:tab w:val="right" w:leader="dot" w:pos="9350"/>
            </w:tabs>
            <w:rPr>
              <w:rFonts w:eastAsiaTheme="minorEastAsia"/>
              <w:noProof/>
            </w:rPr>
          </w:pPr>
          <w:hyperlink w:anchor="_Toc118377776" w:history="1">
            <w:r w:rsidRPr="00C554E8">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_Toc118377776 \h </w:instrText>
            </w:r>
            <w:r>
              <w:rPr>
                <w:noProof/>
                <w:webHidden/>
              </w:rPr>
            </w:r>
            <w:r>
              <w:rPr>
                <w:noProof/>
                <w:webHidden/>
              </w:rPr>
              <w:fldChar w:fldCharType="separate"/>
            </w:r>
            <w:r>
              <w:rPr>
                <w:noProof/>
                <w:webHidden/>
              </w:rPr>
              <w:t>126</w:t>
            </w:r>
            <w:r>
              <w:rPr>
                <w:noProof/>
                <w:webHidden/>
              </w:rPr>
              <w:fldChar w:fldCharType="end"/>
            </w:r>
          </w:hyperlink>
        </w:p>
        <w:p w14:paraId="6C85BD5C" w14:textId="1604F049" w:rsidR="00A16B9C" w:rsidRDefault="00A16B9C">
          <w:pPr>
            <w:pStyle w:val="TOC1"/>
            <w:tabs>
              <w:tab w:val="right" w:leader="dot" w:pos="9350"/>
            </w:tabs>
            <w:rPr>
              <w:rFonts w:eastAsiaTheme="minorEastAsia"/>
              <w:noProof/>
            </w:rPr>
          </w:pPr>
          <w:hyperlink w:anchor="_Toc118377777" w:history="1">
            <w:r w:rsidRPr="00C554E8">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_Toc118377777 \h </w:instrText>
            </w:r>
            <w:r>
              <w:rPr>
                <w:noProof/>
                <w:webHidden/>
              </w:rPr>
            </w:r>
            <w:r>
              <w:rPr>
                <w:noProof/>
                <w:webHidden/>
              </w:rPr>
              <w:fldChar w:fldCharType="separate"/>
            </w:r>
            <w:r>
              <w:rPr>
                <w:noProof/>
                <w:webHidden/>
              </w:rPr>
              <w:t>128</w:t>
            </w:r>
            <w:r>
              <w:rPr>
                <w:noProof/>
                <w:webHidden/>
              </w:rPr>
              <w:fldChar w:fldCharType="end"/>
            </w:r>
          </w:hyperlink>
        </w:p>
        <w:p w14:paraId="61BE655C" w14:textId="7777789E" w:rsidR="00A16B9C" w:rsidRDefault="00A16B9C">
          <w:pPr>
            <w:pStyle w:val="TOC2"/>
            <w:tabs>
              <w:tab w:val="right" w:leader="dot" w:pos="9350"/>
            </w:tabs>
            <w:rPr>
              <w:rFonts w:eastAsiaTheme="minorEastAsia"/>
              <w:noProof/>
            </w:rPr>
          </w:pPr>
          <w:hyperlink w:anchor="_Toc118377778" w:history="1">
            <w:r w:rsidRPr="00C554E8">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_Toc118377778 \h </w:instrText>
            </w:r>
            <w:r>
              <w:rPr>
                <w:noProof/>
                <w:webHidden/>
              </w:rPr>
            </w:r>
            <w:r>
              <w:rPr>
                <w:noProof/>
                <w:webHidden/>
              </w:rPr>
              <w:fldChar w:fldCharType="separate"/>
            </w:r>
            <w:r>
              <w:rPr>
                <w:noProof/>
                <w:webHidden/>
              </w:rPr>
              <w:t>128</w:t>
            </w:r>
            <w:r>
              <w:rPr>
                <w:noProof/>
                <w:webHidden/>
              </w:rPr>
              <w:fldChar w:fldCharType="end"/>
            </w:r>
          </w:hyperlink>
        </w:p>
        <w:p w14:paraId="60436CD6" w14:textId="572D1D26" w:rsidR="00A16B9C" w:rsidRDefault="00A16B9C">
          <w:pPr>
            <w:pStyle w:val="TOC2"/>
            <w:tabs>
              <w:tab w:val="right" w:leader="dot" w:pos="9350"/>
            </w:tabs>
            <w:rPr>
              <w:rFonts w:eastAsiaTheme="minorEastAsia"/>
              <w:noProof/>
            </w:rPr>
          </w:pPr>
          <w:hyperlink w:anchor="_Toc118377779" w:history="1">
            <w:r w:rsidRPr="00C554E8">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_Toc118377779 \h </w:instrText>
            </w:r>
            <w:r>
              <w:rPr>
                <w:noProof/>
                <w:webHidden/>
              </w:rPr>
            </w:r>
            <w:r>
              <w:rPr>
                <w:noProof/>
                <w:webHidden/>
              </w:rPr>
              <w:fldChar w:fldCharType="separate"/>
            </w:r>
            <w:r>
              <w:rPr>
                <w:noProof/>
                <w:webHidden/>
              </w:rPr>
              <w:t>130</w:t>
            </w:r>
            <w:r>
              <w:rPr>
                <w:noProof/>
                <w:webHidden/>
              </w:rPr>
              <w:fldChar w:fldCharType="end"/>
            </w:r>
          </w:hyperlink>
        </w:p>
        <w:p w14:paraId="15B33599" w14:textId="24579CD6" w:rsidR="00A16B9C" w:rsidRDefault="00A16B9C">
          <w:pPr>
            <w:pStyle w:val="TOC2"/>
            <w:tabs>
              <w:tab w:val="right" w:leader="dot" w:pos="9350"/>
            </w:tabs>
            <w:rPr>
              <w:rFonts w:eastAsiaTheme="minorEastAsia"/>
              <w:noProof/>
            </w:rPr>
          </w:pPr>
          <w:hyperlink w:anchor="_Toc118377780" w:history="1">
            <w:r w:rsidRPr="00C554E8">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_Toc118377780 \h </w:instrText>
            </w:r>
            <w:r>
              <w:rPr>
                <w:noProof/>
                <w:webHidden/>
              </w:rPr>
            </w:r>
            <w:r>
              <w:rPr>
                <w:noProof/>
                <w:webHidden/>
              </w:rPr>
              <w:fldChar w:fldCharType="separate"/>
            </w:r>
            <w:r>
              <w:rPr>
                <w:noProof/>
                <w:webHidden/>
              </w:rPr>
              <w:t>132</w:t>
            </w:r>
            <w:r>
              <w:rPr>
                <w:noProof/>
                <w:webHidden/>
              </w:rPr>
              <w:fldChar w:fldCharType="end"/>
            </w:r>
          </w:hyperlink>
        </w:p>
        <w:p w14:paraId="171BD89F" w14:textId="70E13AB3" w:rsidR="00A16B9C" w:rsidRDefault="00A16B9C">
          <w:pPr>
            <w:pStyle w:val="TOC1"/>
            <w:tabs>
              <w:tab w:val="right" w:leader="dot" w:pos="9350"/>
            </w:tabs>
            <w:rPr>
              <w:rFonts w:eastAsiaTheme="minorEastAsia"/>
              <w:noProof/>
            </w:rPr>
          </w:pPr>
          <w:hyperlink w:anchor="_Toc118377781" w:history="1">
            <w:r w:rsidRPr="00C554E8">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_Toc118377781 \h </w:instrText>
            </w:r>
            <w:r>
              <w:rPr>
                <w:noProof/>
                <w:webHidden/>
              </w:rPr>
            </w:r>
            <w:r>
              <w:rPr>
                <w:noProof/>
                <w:webHidden/>
              </w:rPr>
              <w:fldChar w:fldCharType="separate"/>
            </w:r>
            <w:r>
              <w:rPr>
                <w:noProof/>
                <w:webHidden/>
              </w:rPr>
              <w:t>137</w:t>
            </w:r>
            <w:r>
              <w:rPr>
                <w:noProof/>
                <w:webHidden/>
              </w:rPr>
              <w:fldChar w:fldCharType="end"/>
            </w:r>
          </w:hyperlink>
        </w:p>
        <w:p w14:paraId="2251FB6B" w14:textId="3CCB0E53" w:rsidR="00A16B9C" w:rsidRDefault="00A16B9C">
          <w:pPr>
            <w:pStyle w:val="TOC2"/>
            <w:tabs>
              <w:tab w:val="right" w:leader="dot" w:pos="9350"/>
            </w:tabs>
            <w:rPr>
              <w:rFonts w:eastAsiaTheme="minorEastAsia"/>
              <w:noProof/>
            </w:rPr>
          </w:pPr>
          <w:hyperlink w:anchor="_Toc118377782" w:history="1">
            <w:r w:rsidRPr="00C554E8">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_Toc118377782 \h </w:instrText>
            </w:r>
            <w:r>
              <w:rPr>
                <w:noProof/>
                <w:webHidden/>
              </w:rPr>
            </w:r>
            <w:r>
              <w:rPr>
                <w:noProof/>
                <w:webHidden/>
              </w:rPr>
              <w:fldChar w:fldCharType="separate"/>
            </w:r>
            <w:r>
              <w:rPr>
                <w:noProof/>
                <w:webHidden/>
              </w:rPr>
              <w:t>137</w:t>
            </w:r>
            <w:r>
              <w:rPr>
                <w:noProof/>
                <w:webHidden/>
              </w:rPr>
              <w:fldChar w:fldCharType="end"/>
            </w:r>
          </w:hyperlink>
        </w:p>
        <w:p w14:paraId="3E26FF6E" w14:textId="1B284083" w:rsidR="00A16B9C" w:rsidRDefault="00A16B9C">
          <w:pPr>
            <w:pStyle w:val="TOC2"/>
            <w:tabs>
              <w:tab w:val="right" w:leader="dot" w:pos="9350"/>
            </w:tabs>
            <w:rPr>
              <w:rFonts w:eastAsiaTheme="minorEastAsia"/>
              <w:noProof/>
            </w:rPr>
          </w:pPr>
          <w:hyperlink w:anchor="_Toc118377783" w:history="1">
            <w:r w:rsidRPr="00C554E8">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_Toc118377783 \h </w:instrText>
            </w:r>
            <w:r>
              <w:rPr>
                <w:noProof/>
                <w:webHidden/>
              </w:rPr>
            </w:r>
            <w:r>
              <w:rPr>
                <w:noProof/>
                <w:webHidden/>
              </w:rPr>
              <w:fldChar w:fldCharType="separate"/>
            </w:r>
            <w:r>
              <w:rPr>
                <w:noProof/>
                <w:webHidden/>
              </w:rPr>
              <w:t>137</w:t>
            </w:r>
            <w:r>
              <w:rPr>
                <w:noProof/>
                <w:webHidden/>
              </w:rPr>
              <w:fldChar w:fldCharType="end"/>
            </w:r>
          </w:hyperlink>
        </w:p>
        <w:p w14:paraId="7921E457" w14:textId="6F54335A" w:rsidR="00A16B9C" w:rsidRDefault="00A16B9C">
          <w:pPr>
            <w:pStyle w:val="TOC2"/>
            <w:tabs>
              <w:tab w:val="right" w:leader="dot" w:pos="9350"/>
            </w:tabs>
            <w:rPr>
              <w:rFonts w:eastAsiaTheme="minorEastAsia"/>
              <w:noProof/>
            </w:rPr>
          </w:pPr>
          <w:hyperlink w:anchor="_Toc118377784" w:history="1">
            <w:r w:rsidRPr="00C554E8">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_Toc118377784 \h </w:instrText>
            </w:r>
            <w:r>
              <w:rPr>
                <w:noProof/>
                <w:webHidden/>
              </w:rPr>
            </w:r>
            <w:r>
              <w:rPr>
                <w:noProof/>
                <w:webHidden/>
              </w:rPr>
              <w:fldChar w:fldCharType="separate"/>
            </w:r>
            <w:r>
              <w:rPr>
                <w:noProof/>
                <w:webHidden/>
              </w:rPr>
              <w:t>137</w:t>
            </w:r>
            <w:r>
              <w:rPr>
                <w:noProof/>
                <w:webHidden/>
              </w:rPr>
              <w:fldChar w:fldCharType="end"/>
            </w:r>
          </w:hyperlink>
        </w:p>
        <w:p w14:paraId="2441E574" w14:textId="0297B879" w:rsidR="00A16B9C" w:rsidRDefault="00A16B9C">
          <w:pPr>
            <w:pStyle w:val="TOC2"/>
            <w:tabs>
              <w:tab w:val="right" w:leader="dot" w:pos="9350"/>
            </w:tabs>
            <w:rPr>
              <w:rFonts w:eastAsiaTheme="minorEastAsia"/>
              <w:noProof/>
            </w:rPr>
          </w:pPr>
          <w:hyperlink w:anchor="_Toc118377785" w:history="1">
            <w:r w:rsidRPr="00C554E8">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_Toc118377785 \h </w:instrText>
            </w:r>
            <w:r>
              <w:rPr>
                <w:noProof/>
                <w:webHidden/>
              </w:rPr>
            </w:r>
            <w:r>
              <w:rPr>
                <w:noProof/>
                <w:webHidden/>
              </w:rPr>
              <w:fldChar w:fldCharType="separate"/>
            </w:r>
            <w:r>
              <w:rPr>
                <w:noProof/>
                <w:webHidden/>
              </w:rPr>
              <w:t>139</w:t>
            </w:r>
            <w:r>
              <w:rPr>
                <w:noProof/>
                <w:webHidden/>
              </w:rPr>
              <w:fldChar w:fldCharType="end"/>
            </w:r>
          </w:hyperlink>
        </w:p>
        <w:p w14:paraId="0F0C52C2" w14:textId="160A8FD8" w:rsidR="00A16B9C" w:rsidRDefault="00A16B9C">
          <w:pPr>
            <w:pStyle w:val="TOC2"/>
            <w:tabs>
              <w:tab w:val="right" w:leader="dot" w:pos="9350"/>
            </w:tabs>
            <w:rPr>
              <w:rFonts w:eastAsiaTheme="minorEastAsia"/>
              <w:noProof/>
            </w:rPr>
          </w:pPr>
          <w:hyperlink w:anchor="_Toc118377786" w:history="1">
            <w:r w:rsidRPr="00C554E8">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_Toc118377786 \h </w:instrText>
            </w:r>
            <w:r>
              <w:rPr>
                <w:noProof/>
                <w:webHidden/>
              </w:rPr>
            </w:r>
            <w:r>
              <w:rPr>
                <w:noProof/>
                <w:webHidden/>
              </w:rPr>
              <w:fldChar w:fldCharType="separate"/>
            </w:r>
            <w:r>
              <w:rPr>
                <w:noProof/>
                <w:webHidden/>
              </w:rPr>
              <w:t>139</w:t>
            </w:r>
            <w:r>
              <w:rPr>
                <w:noProof/>
                <w:webHidden/>
              </w:rPr>
              <w:fldChar w:fldCharType="end"/>
            </w:r>
          </w:hyperlink>
        </w:p>
        <w:p w14:paraId="66CF981E" w14:textId="7F58B721" w:rsidR="00A16B9C" w:rsidRDefault="00A16B9C">
          <w:pPr>
            <w:pStyle w:val="TOC2"/>
            <w:tabs>
              <w:tab w:val="right" w:leader="dot" w:pos="9350"/>
            </w:tabs>
            <w:rPr>
              <w:rFonts w:eastAsiaTheme="minorEastAsia"/>
              <w:noProof/>
            </w:rPr>
          </w:pPr>
          <w:hyperlink w:anchor="_Toc118377787" w:history="1">
            <w:r w:rsidRPr="00C554E8">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_Toc118377787 \h </w:instrText>
            </w:r>
            <w:r>
              <w:rPr>
                <w:noProof/>
                <w:webHidden/>
              </w:rPr>
            </w:r>
            <w:r>
              <w:rPr>
                <w:noProof/>
                <w:webHidden/>
              </w:rPr>
              <w:fldChar w:fldCharType="separate"/>
            </w:r>
            <w:r>
              <w:rPr>
                <w:noProof/>
                <w:webHidden/>
              </w:rPr>
              <w:t>139</w:t>
            </w:r>
            <w:r>
              <w:rPr>
                <w:noProof/>
                <w:webHidden/>
              </w:rPr>
              <w:fldChar w:fldCharType="end"/>
            </w:r>
          </w:hyperlink>
        </w:p>
        <w:p w14:paraId="450BA737" w14:textId="3EA4B94F" w:rsidR="00A16B9C" w:rsidRDefault="00A16B9C">
          <w:pPr>
            <w:pStyle w:val="TOC2"/>
            <w:tabs>
              <w:tab w:val="right" w:leader="dot" w:pos="9350"/>
            </w:tabs>
            <w:rPr>
              <w:rFonts w:eastAsiaTheme="minorEastAsia"/>
              <w:noProof/>
            </w:rPr>
          </w:pPr>
          <w:hyperlink w:anchor="_Toc118377788" w:history="1">
            <w:r w:rsidRPr="00C554E8">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_Toc118377788 \h </w:instrText>
            </w:r>
            <w:r>
              <w:rPr>
                <w:noProof/>
                <w:webHidden/>
              </w:rPr>
            </w:r>
            <w:r>
              <w:rPr>
                <w:noProof/>
                <w:webHidden/>
              </w:rPr>
              <w:fldChar w:fldCharType="separate"/>
            </w:r>
            <w:r>
              <w:rPr>
                <w:noProof/>
                <w:webHidden/>
              </w:rPr>
              <w:t>139</w:t>
            </w:r>
            <w:r>
              <w:rPr>
                <w:noProof/>
                <w:webHidden/>
              </w:rPr>
              <w:fldChar w:fldCharType="end"/>
            </w:r>
          </w:hyperlink>
        </w:p>
        <w:p w14:paraId="6B1ACD88" w14:textId="598E87A9" w:rsidR="00A16B9C" w:rsidRDefault="00A16B9C">
          <w:pPr>
            <w:pStyle w:val="TOC2"/>
            <w:tabs>
              <w:tab w:val="right" w:leader="dot" w:pos="9350"/>
            </w:tabs>
            <w:rPr>
              <w:rFonts w:eastAsiaTheme="minorEastAsia"/>
              <w:noProof/>
            </w:rPr>
          </w:pPr>
          <w:hyperlink w:anchor="_Toc118377789" w:history="1">
            <w:r w:rsidRPr="00C554E8">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_Toc118377789 \h </w:instrText>
            </w:r>
            <w:r>
              <w:rPr>
                <w:noProof/>
                <w:webHidden/>
              </w:rPr>
            </w:r>
            <w:r>
              <w:rPr>
                <w:noProof/>
                <w:webHidden/>
              </w:rPr>
              <w:fldChar w:fldCharType="separate"/>
            </w:r>
            <w:r>
              <w:rPr>
                <w:noProof/>
                <w:webHidden/>
              </w:rPr>
              <w:t>140</w:t>
            </w:r>
            <w:r>
              <w:rPr>
                <w:noProof/>
                <w:webHidden/>
              </w:rPr>
              <w:fldChar w:fldCharType="end"/>
            </w:r>
          </w:hyperlink>
        </w:p>
        <w:p w14:paraId="7E4BD177" w14:textId="612B7203" w:rsidR="00A16B9C" w:rsidRDefault="00A16B9C">
          <w:pPr>
            <w:pStyle w:val="TOC2"/>
            <w:tabs>
              <w:tab w:val="right" w:leader="dot" w:pos="9350"/>
            </w:tabs>
            <w:rPr>
              <w:rFonts w:eastAsiaTheme="minorEastAsia"/>
              <w:noProof/>
            </w:rPr>
          </w:pPr>
          <w:hyperlink w:anchor="_Toc118377790" w:history="1">
            <w:r w:rsidRPr="00C554E8">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_Toc118377790 \h </w:instrText>
            </w:r>
            <w:r>
              <w:rPr>
                <w:noProof/>
                <w:webHidden/>
              </w:rPr>
            </w:r>
            <w:r>
              <w:rPr>
                <w:noProof/>
                <w:webHidden/>
              </w:rPr>
              <w:fldChar w:fldCharType="separate"/>
            </w:r>
            <w:r>
              <w:rPr>
                <w:noProof/>
                <w:webHidden/>
              </w:rPr>
              <w:t>141</w:t>
            </w:r>
            <w:r>
              <w:rPr>
                <w:noProof/>
                <w:webHidden/>
              </w:rPr>
              <w:fldChar w:fldCharType="end"/>
            </w:r>
          </w:hyperlink>
        </w:p>
        <w:p w14:paraId="3DAFB432" w14:textId="4A7FC8DE" w:rsidR="00A16B9C" w:rsidRDefault="00A16B9C">
          <w:pPr>
            <w:pStyle w:val="TOC2"/>
            <w:tabs>
              <w:tab w:val="right" w:leader="dot" w:pos="9350"/>
            </w:tabs>
            <w:rPr>
              <w:rFonts w:eastAsiaTheme="minorEastAsia"/>
              <w:noProof/>
            </w:rPr>
          </w:pPr>
          <w:hyperlink w:anchor="_Toc118377791" w:history="1">
            <w:r w:rsidRPr="00C554E8">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_Toc118377791 \h </w:instrText>
            </w:r>
            <w:r>
              <w:rPr>
                <w:noProof/>
                <w:webHidden/>
              </w:rPr>
            </w:r>
            <w:r>
              <w:rPr>
                <w:noProof/>
                <w:webHidden/>
              </w:rPr>
              <w:fldChar w:fldCharType="separate"/>
            </w:r>
            <w:r>
              <w:rPr>
                <w:noProof/>
                <w:webHidden/>
              </w:rPr>
              <w:t>142</w:t>
            </w:r>
            <w:r>
              <w:rPr>
                <w:noProof/>
                <w:webHidden/>
              </w:rPr>
              <w:fldChar w:fldCharType="end"/>
            </w:r>
          </w:hyperlink>
        </w:p>
        <w:p w14:paraId="18A0C6A5" w14:textId="535BEA85" w:rsidR="00A16B9C" w:rsidRDefault="00A16B9C">
          <w:pPr>
            <w:pStyle w:val="TOC2"/>
            <w:tabs>
              <w:tab w:val="right" w:leader="dot" w:pos="9350"/>
            </w:tabs>
            <w:rPr>
              <w:rFonts w:eastAsiaTheme="minorEastAsia"/>
              <w:noProof/>
            </w:rPr>
          </w:pPr>
          <w:hyperlink w:anchor="_Toc118377792" w:history="1">
            <w:r w:rsidRPr="00C554E8">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_Toc118377792 \h </w:instrText>
            </w:r>
            <w:r>
              <w:rPr>
                <w:noProof/>
                <w:webHidden/>
              </w:rPr>
            </w:r>
            <w:r>
              <w:rPr>
                <w:noProof/>
                <w:webHidden/>
              </w:rPr>
              <w:fldChar w:fldCharType="separate"/>
            </w:r>
            <w:r>
              <w:rPr>
                <w:noProof/>
                <w:webHidden/>
              </w:rPr>
              <w:t>142</w:t>
            </w:r>
            <w:r>
              <w:rPr>
                <w:noProof/>
                <w:webHidden/>
              </w:rPr>
              <w:fldChar w:fldCharType="end"/>
            </w:r>
          </w:hyperlink>
        </w:p>
        <w:p w14:paraId="6AF171AB" w14:textId="692ADFBB" w:rsidR="00A16B9C" w:rsidRDefault="00A16B9C">
          <w:pPr>
            <w:pStyle w:val="TOC2"/>
            <w:tabs>
              <w:tab w:val="right" w:leader="dot" w:pos="9350"/>
            </w:tabs>
            <w:rPr>
              <w:rFonts w:eastAsiaTheme="minorEastAsia"/>
              <w:noProof/>
            </w:rPr>
          </w:pPr>
          <w:hyperlink w:anchor="_Toc118377793" w:history="1">
            <w:r w:rsidRPr="00C554E8">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_Toc118377793 \h </w:instrText>
            </w:r>
            <w:r>
              <w:rPr>
                <w:noProof/>
                <w:webHidden/>
              </w:rPr>
            </w:r>
            <w:r>
              <w:rPr>
                <w:noProof/>
                <w:webHidden/>
              </w:rPr>
              <w:fldChar w:fldCharType="separate"/>
            </w:r>
            <w:r>
              <w:rPr>
                <w:noProof/>
                <w:webHidden/>
              </w:rPr>
              <w:t>142</w:t>
            </w:r>
            <w:r>
              <w:rPr>
                <w:noProof/>
                <w:webHidden/>
              </w:rPr>
              <w:fldChar w:fldCharType="end"/>
            </w:r>
          </w:hyperlink>
        </w:p>
        <w:p w14:paraId="4BA2A322" w14:textId="0EFBCA92" w:rsidR="00A16B9C" w:rsidRDefault="00A16B9C">
          <w:pPr>
            <w:pStyle w:val="TOC2"/>
            <w:tabs>
              <w:tab w:val="right" w:leader="dot" w:pos="9350"/>
            </w:tabs>
            <w:rPr>
              <w:rFonts w:eastAsiaTheme="minorEastAsia"/>
              <w:noProof/>
            </w:rPr>
          </w:pPr>
          <w:hyperlink w:anchor="_Toc118377794" w:history="1">
            <w:r w:rsidRPr="00C554E8">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_Toc118377794 \h </w:instrText>
            </w:r>
            <w:r>
              <w:rPr>
                <w:noProof/>
                <w:webHidden/>
              </w:rPr>
            </w:r>
            <w:r>
              <w:rPr>
                <w:noProof/>
                <w:webHidden/>
              </w:rPr>
              <w:fldChar w:fldCharType="separate"/>
            </w:r>
            <w:r>
              <w:rPr>
                <w:noProof/>
                <w:webHidden/>
              </w:rPr>
              <w:t>142</w:t>
            </w:r>
            <w:r>
              <w:rPr>
                <w:noProof/>
                <w:webHidden/>
              </w:rPr>
              <w:fldChar w:fldCharType="end"/>
            </w:r>
          </w:hyperlink>
        </w:p>
        <w:p w14:paraId="39592C7D" w14:textId="631424A5" w:rsidR="00A16B9C" w:rsidRDefault="00A16B9C">
          <w:pPr>
            <w:pStyle w:val="TOC2"/>
            <w:tabs>
              <w:tab w:val="right" w:leader="dot" w:pos="9350"/>
            </w:tabs>
            <w:rPr>
              <w:rFonts w:eastAsiaTheme="minorEastAsia"/>
              <w:noProof/>
            </w:rPr>
          </w:pPr>
          <w:hyperlink w:anchor="_Toc118377795" w:history="1">
            <w:r w:rsidRPr="00C554E8">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_Toc118377795 \h </w:instrText>
            </w:r>
            <w:r>
              <w:rPr>
                <w:noProof/>
                <w:webHidden/>
              </w:rPr>
            </w:r>
            <w:r>
              <w:rPr>
                <w:noProof/>
                <w:webHidden/>
              </w:rPr>
              <w:fldChar w:fldCharType="separate"/>
            </w:r>
            <w:r>
              <w:rPr>
                <w:noProof/>
                <w:webHidden/>
              </w:rPr>
              <w:t>142</w:t>
            </w:r>
            <w:r>
              <w:rPr>
                <w:noProof/>
                <w:webHidden/>
              </w:rPr>
              <w:fldChar w:fldCharType="end"/>
            </w:r>
          </w:hyperlink>
        </w:p>
        <w:p w14:paraId="2D0C88C9" w14:textId="34ED13D0" w:rsidR="00A16B9C" w:rsidRDefault="00A16B9C">
          <w:pPr>
            <w:pStyle w:val="TOC2"/>
            <w:tabs>
              <w:tab w:val="right" w:leader="dot" w:pos="9350"/>
            </w:tabs>
            <w:rPr>
              <w:rFonts w:eastAsiaTheme="minorEastAsia"/>
              <w:noProof/>
            </w:rPr>
          </w:pPr>
          <w:hyperlink w:anchor="_Toc118377796" w:history="1">
            <w:r w:rsidRPr="00C554E8">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_Toc118377796 \h </w:instrText>
            </w:r>
            <w:r>
              <w:rPr>
                <w:noProof/>
                <w:webHidden/>
              </w:rPr>
            </w:r>
            <w:r>
              <w:rPr>
                <w:noProof/>
                <w:webHidden/>
              </w:rPr>
              <w:fldChar w:fldCharType="separate"/>
            </w:r>
            <w:r>
              <w:rPr>
                <w:noProof/>
                <w:webHidden/>
              </w:rPr>
              <w:t>143</w:t>
            </w:r>
            <w:r>
              <w:rPr>
                <w:noProof/>
                <w:webHidden/>
              </w:rPr>
              <w:fldChar w:fldCharType="end"/>
            </w:r>
          </w:hyperlink>
        </w:p>
        <w:p w14:paraId="54E84489" w14:textId="63D2C639" w:rsidR="00A16B9C" w:rsidRDefault="00A16B9C">
          <w:pPr>
            <w:pStyle w:val="TOC3"/>
            <w:tabs>
              <w:tab w:val="right" w:leader="dot" w:pos="9350"/>
            </w:tabs>
            <w:rPr>
              <w:rFonts w:eastAsiaTheme="minorEastAsia"/>
              <w:noProof/>
            </w:rPr>
          </w:pPr>
          <w:hyperlink w:anchor="_Toc118377797" w:history="1">
            <w:r w:rsidRPr="00C554E8">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_Toc118377797 \h </w:instrText>
            </w:r>
            <w:r>
              <w:rPr>
                <w:noProof/>
                <w:webHidden/>
              </w:rPr>
            </w:r>
            <w:r>
              <w:rPr>
                <w:noProof/>
                <w:webHidden/>
              </w:rPr>
              <w:fldChar w:fldCharType="separate"/>
            </w:r>
            <w:r>
              <w:rPr>
                <w:noProof/>
                <w:webHidden/>
              </w:rPr>
              <w:t>143</w:t>
            </w:r>
            <w:r>
              <w:rPr>
                <w:noProof/>
                <w:webHidden/>
              </w:rPr>
              <w:fldChar w:fldCharType="end"/>
            </w:r>
          </w:hyperlink>
        </w:p>
        <w:p w14:paraId="6D9A1A7A" w14:textId="23BC0330" w:rsidR="00A16B9C" w:rsidRDefault="00A16B9C">
          <w:pPr>
            <w:pStyle w:val="TOC3"/>
            <w:tabs>
              <w:tab w:val="right" w:leader="dot" w:pos="9350"/>
            </w:tabs>
            <w:rPr>
              <w:rFonts w:eastAsiaTheme="minorEastAsia"/>
              <w:noProof/>
            </w:rPr>
          </w:pPr>
          <w:hyperlink w:anchor="_Toc118377798" w:history="1">
            <w:r w:rsidRPr="00C554E8">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_Toc118377798 \h </w:instrText>
            </w:r>
            <w:r>
              <w:rPr>
                <w:noProof/>
                <w:webHidden/>
              </w:rPr>
            </w:r>
            <w:r>
              <w:rPr>
                <w:noProof/>
                <w:webHidden/>
              </w:rPr>
              <w:fldChar w:fldCharType="separate"/>
            </w:r>
            <w:r>
              <w:rPr>
                <w:noProof/>
                <w:webHidden/>
              </w:rPr>
              <w:t>144</w:t>
            </w:r>
            <w:r>
              <w:rPr>
                <w:noProof/>
                <w:webHidden/>
              </w:rPr>
              <w:fldChar w:fldCharType="end"/>
            </w:r>
          </w:hyperlink>
        </w:p>
        <w:p w14:paraId="4BF6AAF0" w14:textId="31081881" w:rsidR="00A16B9C" w:rsidRDefault="00A16B9C">
          <w:pPr>
            <w:pStyle w:val="TOC3"/>
            <w:tabs>
              <w:tab w:val="right" w:leader="dot" w:pos="9350"/>
            </w:tabs>
            <w:rPr>
              <w:rFonts w:eastAsiaTheme="minorEastAsia"/>
              <w:noProof/>
            </w:rPr>
          </w:pPr>
          <w:hyperlink w:anchor="_Toc118377799" w:history="1">
            <w:r w:rsidRPr="00C554E8">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_Toc118377799 \h </w:instrText>
            </w:r>
            <w:r>
              <w:rPr>
                <w:noProof/>
                <w:webHidden/>
              </w:rPr>
            </w:r>
            <w:r>
              <w:rPr>
                <w:noProof/>
                <w:webHidden/>
              </w:rPr>
              <w:fldChar w:fldCharType="separate"/>
            </w:r>
            <w:r>
              <w:rPr>
                <w:noProof/>
                <w:webHidden/>
              </w:rPr>
              <w:t>144</w:t>
            </w:r>
            <w:r>
              <w:rPr>
                <w:noProof/>
                <w:webHidden/>
              </w:rPr>
              <w:fldChar w:fldCharType="end"/>
            </w:r>
          </w:hyperlink>
        </w:p>
        <w:p w14:paraId="51089353" w14:textId="7FE35304" w:rsidR="00A16B9C" w:rsidRDefault="00A16B9C">
          <w:pPr>
            <w:pStyle w:val="TOC3"/>
            <w:tabs>
              <w:tab w:val="right" w:leader="dot" w:pos="9350"/>
            </w:tabs>
            <w:rPr>
              <w:rFonts w:eastAsiaTheme="minorEastAsia"/>
              <w:noProof/>
            </w:rPr>
          </w:pPr>
          <w:hyperlink w:anchor="_Toc118377800" w:history="1">
            <w:r w:rsidRPr="00C554E8">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_Toc118377800 \h </w:instrText>
            </w:r>
            <w:r>
              <w:rPr>
                <w:noProof/>
                <w:webHidden/>
              </w:rPr>
            </w:r>
            <w:r>
              <w:rPr>
                <w:noProof/>
                <w:webHidden/>
              </w:rPr>
              <w:fldChar w:fldCharType="separate"/>
            </w:r>
            <w:r>
              <w:rPr>
                <w:noProof/>
                <w:webHidden/>
              </w:rPr>
              <w:t>144</w:t>
            </w:r>
            <w:r>
              <w:rPr>
                <w:noProof/>
                <w:webHidden/>
              </w:rPr>
              <w:fldChar w:fldCharType="end"/>
            </w:r>
          </w:hyperlink>
        </w:p>
        <w:p w14:paraId="5108C4B2" w14:textId="25A3ADCA" w:rsidR="00A16B9C" w:rsidRDefault="00A16B9C">
          <w:pPr>
            <w:pStyle w:val="TOC1"/>
            <w:tabs>
              <w:tab w:val="right" w:leader="dot" w:pos="9350"/>
            </w:tabs>
            <w:rPr>
              <w:rFonts w:eastAsiaTheme="minorEastAsia"/>
              <w:noProof/>
            </w:rPr>
          </w:pPr>
          <w:hyperlink w:anchor="_Toc118377801" w:history="1">
            <w:r w:rsidRPr="00C554E8">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_Toc118377801 \h </w:instrText>
            </w:r>
            <w:r>
              <w:rPr>
                <w:noProof/>
                <w:webHidden/>
              </w:rPr>
            </w:r>
            <w:r>
              <w:rPr>
                <w:noProof/>
                <w:webHidden/>
              </w:rPr>
              <w:fldChar w:fldCharType="separate"/>
            </w:r>
            <w:r>
              <w:rPr>
                <w:noProof/>
                <w:webHidden/>
              </w:rPr>
              <w:t>145</w:t>
            </w:r>
            <w:r>
              <w:rPr>
                <w:noProof/>
                <w:webHidden/>
              </w:rPr>
              <w:fldChar w:fldCharType="end"/>
            </w:r>
          </w:hyperlink>
        </w:p>
        <w:p w14:paraId="586ECFEE" w14:textId="72F322A4" w:rsidR="00A16B9C" w:rsidRDefault="00A16B9C">
          <w:pPr>
            <w:pStyle w:val="TOC2"/>
            <w:tabs>
              <w:tab w:val="right" w:leader="dot" w:pos="9350"/>
            </w:tabs>
            <w:rPr>
              <w:rFonts w:eastAsiaTheme="minorEastAsia"/>
              <w:noProof/>
            </w:rPr>
          </w:pPr>
          <w:hyperlink w:anchor="_Toc118377802" w:history="1">
            <w:r w:rsidRPr="00C554E8">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_Toc118377802 \h </w:instrText>
            </w:r>
            <w:r>
              <w:rPr>
                <w:noProof/>
                <w:webHidden/>
              </w:rPr>
            </w:r>
            <w:r>
              <w:rPr>
                <w:noProof/>
                <w:webHidden/>
              </w:rPr>
              <w:fldChar w:fldCharType="separate"/>
            </w:r>
            <w:r>
              <w:rPr>
                <w:noProof/>
                <w:webHidden/>
              </w:rPr>
              <w:t>146</w:t>
            </w:r>
            <w:r>
              <w:rPr>
                <w:noProof/>
                <w:webHidden/>
              </w:rPr>
              <w:fldChar w:fldCharType="end"/>
            </w:r>
          </w:hyperlink>
        </w:p>
        <w:p w14:paraId="2E2BD38D" w14:textId="6951B5D5" w:rsidR="00A16B9C" w:rsidRDefault="00A16B9C">
          <w:pPr>
            <w:pStyle w:val="TOC2"/>
            <w:tabs>
              <w:tab w:val="right" w:leader="dot" w:pos="9350"/>
            </w:tabs>
            <w:rPr>
              <w:rFonts w:eastAsiaTheme="minorEastAsia"/>
              <w:noProof/>
            </w:rPr>
          </w:pPr>
          <w:hyperlink w:anchor="_Toc118377803" w:history="1">
            <w:r w:rsidRPr="00C554E8">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_Toc118377803 \h </w:instrText>
            </w:r>
            <w:r>
              <w:rPr>
                <w:noProof/>
                <w:webHidden/>
              </w:rPr>
            </w:r>
            <w:r>
              <w:rPr>
                <w:noProof/>
                <w:webHidden/>
              </w:rPr>
              <w:fldChar w:fldCharType="separate"/>
            </w:r>
            <w:r>
              <w:rPr>
                <w:noProof/>
                <w:webHidden/>
              </w:rPr>
              <w:t>148</w:t>
            </w:r>
            <w:r>
              <w:rPr>
                <w:noProof/>
                <w:webHidden/>
              </w:rPr>
              <w:fldChar w:fldCharType="end"/>
            </w:r>
          </w:hyperlink>
        </w:p>
        <w:p w14:paraId="625F85E3" w14:textId="22B36D49" w:rsidR="00A16B9C" w:rsidRDefault="00A16B9C">
          <w:pPr>
            <w:pStyle w:val="TOC1"/>
            <w:tabs>
              <w:tab w:val="right" w:leader="dot" w:pos="9350"/>
            </w:tabs>
            <w:rPr>
              <w:rFonts w:eastAsiaTheme="minorEastAsia"/>
              <w:noProof/>
            </w:rPr>
          </w:pPr>
          <w:hyperlink w:anchor="_Toc118377804" w:history="1">
            <w:r w:rsidRPr="00C554E8">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_Toc118377804 \h </w:instrText>
            </w:r>
            <w:r>
              <w:rPr>
                <w:noProof/>
                <w:webHidden/>
              </w:rPr>
            </w:r>
            <w:r>
              <w:rPr>
                <w:noProof/>
                <w:webHidden/>
              </w:rPr>
              <w:fldChar w:fldCharType="separate"/>
            </w:r>
            <w:r>
              <w:rPr>
                <w:noProof/>
                <w:webHidden/>
              </w:rPr>
              <w:t>151</w:t>
            </w:r>
            <w:r>
              <w:rPr>
                <w:noProof/>
                <w:webHidden/>
              </w:rPr>
              <w:fldChar w:fldCharType="end"/>
            </w:r>
          </w:hyperlink>
        </w:p>
        <w:p w14:paraId="05A0421D" w14:textId="542A06AC" w:rsidR="00A16B9C" w:rsidRDefault="00A16B9C">
          <w:pPr>
            <w:pStyle w:val="TOC1"/>
            <w:tabs>
              <w:tab w:val="right" w:leader="dot" w:pos="9350"/>
            </w:tabs>
            <w:rPr>
              <w:rFonts w:eastAsiaTheme="minorEastAsia"/>
              <w:noProof/>
            </w:rPr>
          </w:pPr>
          <w:hyperlink w:anchor="_Toc118377805" w:history="1">
            <w:r w:rsidRPr="00C554E8">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_Toc118377805 \h </w:instrText>
            </w:r>
            <w:r>
              <w:rPr>
                <w:noProof/>
                <w:webHidden/>
              </w:rPr>
            </w:r>
            <w:r>
              <w:rPr>
                <w:noProof/>
                <w:webHidden/>
              </w:rPr>
              <w:fldChar w:fldCharType="separate"/>
            </w:r>
            <w:r>
              <w:rPr>
                <w:noProof/>
                <w:webHidden/>
              </w:rPr>
              <w:t>156</w:t>
            </w:r>
            <w:r>
              <w:rPr>
                <w:noProof/>
                <w:webHidden/>
              </w:rPr>
              <w:fldChar w:fldCharType="end"/>
            </w:r>
          </w:hyperlink>
        </w:p>
        <w:p w14:paraId="7015148B" w14:textId="0EF55ED2" w:rsidR="00A16B9C" w:rsidRDefault="00A16B9C">
          <w:pPr>
            <w:pStyle w:val="TOC2"/>
            <w:tabs>
              <w:tab w:val="right" w:leader="dot" w:pos="9350"/>
            </w:tabs>
            <w:rPr>
              <w:rFonts w:eastAsiaTheme="minorEastAsia"/>
              <w:noProof/>
            </w:rPr>
          </w:pPr>
          <w:hyperlink w:anchor="_Toc118377806" w:history="1">
            <w:r w:rsidRPr="00C554E8">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_Toc118377806 \h </w:instrText>
            </w:r>
            <w:r>
              <w:rPr>
                <w:noProof/>
                <w:webHidden/>
              </w:rPr>
            </w:r>
            <w:r>
              <w:rPr>
                <w:noProof/>
                <w:webHidden/>
              </w:rPr>
              <w:fldChar w:fldCharType="separate"/>
            </w:r>
            <w:r>
              <w:rPr>
                <w:noProof/>
                <w:webHidden/>
              </w:rPr>
              <w:t>159</w:t>
            </w:r>
            <w:r>
              <w:rPr>
                <w:noProof/>
                <w:webHidden/>
              </w:rPr>
              <w:fldChar w:fldCharType="end"/>
            </w:r>
          </w:hyperlink>
        </w:p>
        <w:p w14:paraId="73C219AB" w14:textId="3AD30095" w:rsidR="00A16B9C" w:rsidRDefault="00A16B9C">
          <w:pPr>
            <w:pStyle w:val="TOC1"/>
            <w:tabs>
              <w:tab w:val="right" w:leader="dot" w:pos="9350"/>
            </w:tabs>
            <w:rPr>
              <w:rFonts w:eastAsiaTheme="minorEastAsia"/>
              <w:noProof/>
            </w:rPr>
          </w:pPr>
          <w:hyperlink w:anchor="_Toc118377807" w:history="1">
            <w:r w:rsidRPr="00C554E8">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_Toc118377807 \h </w:instrText>
            </w:r>
            <w:r>
              <w:rPr>
                <w:noProof/>
                <w:webHidden/>
              </w:rPr>
            </w:r>
            <w:r>
              <w:rPr>
                <w:noProof/>
                <w:webHidden/>
              </w:rPr>
              <w:fldChar w:fldCharType="separate"/>
            </w:r>
            <w:r>
              <w:rPr>
                <w:noProof/>
                <w:webHidden/>
              </w:rPr>
              <w:t>163</w:t>
            </w:r>
            <w:r>
              <w:rPr>
                <w:noProof/>
                <w:webHidden/>
              </w:rPr>
              <w:fldChar w:fldCharType="end"/>
            </w:r>
          </w:hyperlink>
        </w:p>
        <w:p w14:paraId="785FBB04" w14:textId="7885470C" w:rsidR="00A16B9C" w:rsidRDefault="00A16B9C">
          <w:pPr>
            <w:pStyle w:val="TOC1"/>
            <w:tabs>
              <w:tab w:val="right" w:leader="dot" w:pos="9350"/>
            </w:tabs>
            <w:rPr>
              <w:rFonts w:eastAsiaTheme="minorEastAsia"/>
              <w:noProof/>
            </w:rPr>
          </w:pPr>
          <w:hyperlink w:anchor="_Toc118377808" w:history="1">
            <w:r w:rsidRPr="00C554E8">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_Toc118377808 \h </w:instrText>
            </w:r>
            <w:r>
              <w:rPr>
                <w:noProof/>
                <w:webHidden/>
              </w:rPr>
            </w:r>
            <w:r>
              <w:rPr>
                <w:noProof/>
                <w:webHidden/>
              </w:rPr>
              <w:fldChar w:fldCharType="separate"/>
            </w:r>
            <w:r>
              <w:rPr>
                <w:noProof/>
                <w:webHidden/>
              </w:rPr>
              <w:t>167</w:t>
            </w:r>
            <w:r>
              <w:rPr>
                <w:noProof/>
                <w:webHidden/>
              </w:rPr>
              <w:fldChar w:fldCharType="end"/>
            </w:r>
          </w:hyperlink>
        </w:p>
        <w:p w14:paraId="0B967913" w14:textId="3B6D8C04" w:rsidR="00A16B9C" w:rsidRDefault="00A16B9C">
          <w:pPr>
            <w:pStyle w:val="TOC1"/>
            <w:tabs>
              <w:tab w:val="right" w:leader="dot" w:pos="9350"/>
            </w:tabs>
            <w:rPr>
              <w:rFonts w:eastAsiaTheme="minorEastAsia"/>
              <w:noProof/>
            </w:rPr>
          </w:pPr>
          <w:hyperlink w:anchor="_Toc118377809" w:history="1">
            <w:r w:rsidRPr="00C554E8">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_Toc118377809 \h </w:instrText>
            </w:r>
            <w:r>
              <w:rPr>
                <w:noProof/>
                <w:webHidden/>
              </w:rPr>
            </w:r>
            <w:r>
              <w:rPr>
                <w:noProof/>
                <w:webHidden/>
              </w:rPr>
              <w:fldChar w:fldCharType="separate"/>
            </w:r>
            <w:r>
              <w:rPr>
                <w:noProof/>
                <w:webHidden/>
              </w:rPr>
              <w:t>171</w:t>
            </w:r>
            <w:r>
              <w:rPr>
                <w:noProof/>
                <w:webHidden/>
              </w:rPr>
              <w:fldChar w:fldCharType="end"/>
            </w:r>
          </w:hyperlink>
        </w:p>
        <w:p w14:paraId="26AF81AE" w14:textId="49DDB4F6" w:rsidR="00A16B9C" w:rsidRDefault="00A16B9C">
          <w:pPr>
            <w:pStyle w:val="TOC2"/>
            <w:tabs>
              <w:tab w:val="right" w:leader="dot" w:pos="9350"/>
            </w:tabs>
            <w:rPr>
              <w:rFonts w:eastAsiaTheme="minorEastAsia"/>
              <w:noProof/>
            </w:rPr>
          </w:pPr>
          <w:hyperlink w:anchor="_Toc118377810" w:history="1">
            <w:r w:rsidRPr="00C554E8">
              <w:rPr>
                <w:rStyle w:val="Hyperlink"/>
                <w:rFonts w:ascii="Bookman Old Style" w:hAnsi="Bookman Old Style"/>
                <w:noProof/>
              </w:rPr>
              <w:t>Augustine</w:t>
            </w:r>
            <w:r>
              <w:rPr>
                <w:noProof/>
                <w:webHidden/>
              </w:rPr>
              <w:tab/>
            </w:r>
            <w:r>
              <w:rPr>
                <w:noProof/>
                <w:webHidden/>
              </w:rPr>
              <w:fldChar w:fldCharType="begin"/>
            </w:r>
            <w:r>
              <w:rPr>
                <w:noProof/>
                <w:webHidden/>
              </w:rPr>
              <w:instrText xml:space="preserve"> PAGEREF _Toc118377810 \h </w:instrText>
            </w:r>
            <w:r>
              <w:rPr>
                <w:noProof/>
                <w:webHidden/>
              </w:rPr>
            </w:r>
            <w:r>
              <w:rPr>
                <w:noProof/>
                <w:webHidden/>
              </w:rPr>
              <w:fldChar w:fldCharType="separate"/>
            </w:r>
            <w:r>
              <w:rPr>
                <w:noProof/>
                <w:webHidden/>
              </w:rPr>
              <w:t>171</w:t>
            </w:r>
            <w:r>
              <w:rPr>
                <w:noProof/>
                <w:webHidden/>
              </w:rPr>
              <w:fldChar w:fldCharType="end"/>
            </w:r>
          </w:hyperlink>
        </w:p>
        <w:p w14:paraId="360EB765" w14:textId="720DD869" w:rsidR="00A16B9C" w:rsidRDefault="00A16B9C">
          <w:pPr>
            <w:pStyle w:val="TOC2"/>
            <w:tabs>
              <w:tab w:val="right" w:leader="dot" w:pos="9350"/>
            </w:tabs>
            <w:rPr>
              <w:rFonts w:eastAsiaTheme="minorEastAsia"/>
              <w:noProof/>
            </w:rPr>
          </w:pPr>
          <w:hyperlink w:anchor="_Toc118377811" w:history="1">
            <w:r w:rsidRPr="00C554E8">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_Toc118377811 \h </w:instrText>
            </w:r>
            <w:r>
              <w:rPr>
                <w:noProof/>
                <w:webHidden/>
              </w:rPr>
            </w:r>
            <w:r>
              <w:rPr>
                <w:noProof/>
                <w:webHidden/>
              </w:rPr>
              <w:fldChar w:fldCharType="separate"/>
            </w:r>
            <w:r>
              <w:rPr>
                <w:noProof/>
                <w:webHidden/>
              </w:rPr>
              <w:t>171</w:t>
            </w:r>
            <w:r>
              <w:rPr>
                <w:noProof/>
                <w:webHidden/>
              </w:rPr>
              <w:fldChar w:fldCharType="end"/>
            </w:r>
          </w:hyperlink>
        </w:p>
        <w:p w14:paraId="6D9E6698" w14:textId="77955C2F" w:rsidR="00A16B9C" w:rsidRDefault="00A16B9C">
          <w:pPr>
            <w:pStyle w:val="TOC2"/>
            <w:tabs>
              <w:tab w:val="right" w:leader="dot" w:pos="9350"/>
            </w:tabs>
            <w:rPr>
              <w:rFonts w:eastAsiaTheme="minorEastAsia"/>
              <w:noProof/>
            </w:rPr>
          </w:pPr>
          <w:hyperlink w:anchor="_Toc118377812" w:history="1">
            <w:r w:rsidRPr="00C554E8">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_Toc118377812 \h </w:instrText>
            </w:r>
            <w:r>
              <w:rPr>
                <w:noProof/>
                <w:webHidden/>
              </w:rPr>
            </w:r>
            <w:r>
              <w:rPr>
                <w:noProof/>
                <w:webHidden/>
              </w:rPr>
              <w:fldChar w:fldCharType="separate"/>
            </w:r>
            <w:r>
              <w:rPr>
                <w:noProof/>
                <w:webHidden/>
              </w:rPr>
              <w:t>171</w:t>
            </w:r>
            <w:r>
              <w:rPr>
                <w:noProof/>
                <w:webHidden/>
              </w:rPr>
              <w:fldChar w:fldCharType="end"/>
            </w:r>
          </w:hyperlink>
        </w:p>
        <w:p w14:paraId="70D2CB4E" w14:textId="0B6D4448" w:rsidR="00A16B9C" w:rsidRDefault="00A16B9C">
          <w:pPr>
            <w:pStyle w:val="TOC2"/>
            <w:tabs>
              <w:tab w:val="right" w:leader="dot" w:pos="9350"/>
            </w:tabs>
            <w:rPr>
              <w:rFonts w:eastAsiaTheme="minorEastAsia"/>
              <w:noProof/>
            </w:rPr>
          </w:pPr>
          <w:hyperlink w:anchor="_Toc118377813" w:history="1">
            <w:r w:rsidRPr="00C554E8">
              <w:rPr>
                <w:rStyle w:val="Hyperlink"/>
                <w:rFonts w:ascii="Bookman Old Style" w:hAnsi="Bookman Old Style"/>
                <w:noProof/>
              </w:rPr>
              <w:t>Bryennios, Philotheos</w:t>
            </w:r>
            <w:r>
              <w:rPr>
                <w:noProof/>
                <w:webHidden/>
              </w:rPr>
              <w:tab/>
            </w:r>
            <w:r>
              <w:rPr>
                <w:noProof/>
                <w:webHidden/>
              </w:rPr>
              <w:fldChar w:fldCharType="begin"/>
            </w:r>
            <w:r>
              <w:rPr>
                <w:noProof/>
                <w:webHidden/>
              </w:rPr>
              <w:instrText xml:space="preserve"> PAGEREF _Toc118377813 \h </w:instrText>
            </w:r>
            <w:r>
              <w:rPr>
                <w:noProof/>
                <w:webHidden/>
              </w:rPr>
            </w:r>
            <w:r>
              <w:rPr>
                <w:noProof/>
                <w:webHidden/>
              </w:rPr>
              <w:fldChar w:fldCharType="separate"/>
            </w:r>
            <w:r>
              <w:rPr>
                <w:noProof/>
                <w:webHidden/>
              </w:rPr>
              <w:t>171</w:t>
            </w:r>
            <w:r>
              <w:rPr>
                <w:noProof/>
                <w:webHidden/>
              </w:rPr>
              <w:fldChar w:fldCharType="end"/>
            </w:r>
          </w:hyperlink>
        </w:p>
        <w:p w14:paraId="61CE535D" w14:textId="77595717" w:rsidR="00A16B9C" w:rsidRDefault="00A16B9C">
          <w:pPr>
            <w:pStyle w:val="TOC2"/>
            <w:tabs>
              <w:tab w:val="right" w:leader="dot" w:pos="9350"/>
            </w:tabs>
            <w:rPr>
              <w:rFonts w:eastAsiaTheme="minorEastAsia"/>
              <w:noProof/>
            </w:rPr>
          </w:pPr>
          <w:hyperlink w:anchor="_Toc118377814" w:history="1">
            <w:r w:rsidRPr="00C554E8">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_Toc118377814 \h </w:instrText>
            </w:r>
            <w:r>
              <w:rPr>
                <w:noProof/>
                <w:webHidden/>
              </w:rPr>
            </w:r>
            <w:r>
              <w:rPr>
                <w:noProof/>
                <w:webHidden/>
              </w:rPr>
              <w:fldChar w:fldCharType="separate"/>
            </w:r>
            <w:r>
              <w:rPr>
                <w:noProof/>
                <w:webHidden/>
              </w:rPr>
              <w:t>171</w:t>
            </w:r>
            <w:r>
              <w:rPr>
                <w:noProof/>
                <w:webHidden/>
              </w:rPr>
              <w:fldChar w:fldCharType="end"/>
            </w:r>
          </w:hyperlink>
        </w:p>
        <w:p w14:paraId="43610382" w14:textId="1B416EDE" w:rsidR="00A16B9C" w:rsidRDefault="00A16B9C">
          <w:pPr>
            <w:pStyle w:val="TOC2"/>
            <w:tabs>
              <w:tab w:val="right" w:leader="dot" w:pos="9350"/>
            </w:tabs>
            <w:rPr>
              <w:rFonts w:eastAsiaTheme="minorEastAsia"/>
              <w:noProof/>
            </w:rPr>
          </w:pPr>
          <w:hyperlink w:anchor="_Toc118377815" w:history="1">
            <w:r w:rsidRPr="00C554E8">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_Toc118377815 \h </w:instrText>
            </w:r>
            <w:r>
              <w:rPr>
                <w:noProof/>
                <w:webHidden/>
              </w:rPr>
            </w:r>
            <w:r>
              <w:rPr>
                <w:noProof/>
                <w:webHidden/>
              </w:rPr>
              <w:fldChar w:fldCharType="separate"/>
            </w:r>
            <w:r>
              <w:rPr>
                <w:noProof/>
                <w:webHidden/>
              </w:rPr>
              <w:t>171</w:t>
            </w:r>
            <w:r>
              <w:rPr>
                <w:noProof/>
                <w:webHidden/>
              </w:rPr>
              <w:fldChar w:fldCharType="end"/>
            </w:r>
          </w:hyperlink>
        </w:p>
        <w:p w14:paraId="7BD05B34" w14:textId="7BB50CB0" w:rsidR="00A16B9C" w:rsidRDefault="00A16B9C">
          <w:pPr>
            <w:pStyle w:val="TOC2"/>
            <w:tabs>
              <w:tab w:val="right" w:leader="dot" w:pos="9350"/>
            </w:tabs>
            <w:rPr>
              <w:rFonts w:eastAsiaTheme="minorEastAsia"/>
              <w:noProof/>
            </w:rPr>
          </w:pPr>
          <w:hyperlink w:anchor="_Toc118377816" w:history="1">
            <w:r w:rsidRPr="00C554E8">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_Toc118377816 \h </w:instrText>
            </w:r>
            <w:r>
              <w:rPr>
                <w:noProof/>
                <w:webHidden/>
              </w:rPr>
            </w:r>
            <w:r>
              <w:rPr>
                <w:noProof/>
                <w:webHidden/>
              </w:rPr>
              <w:fldChar w:fldCharType="separate"/>
            </w:r>
            <w:r>
              <w:rPr>
                <w:noProof/>
                <w:webHidden/>
              </w:rPr>
              <w:t>172</w:t>
            </w:r>
            <w:r>
              <w:rPr>
                <w:noProof/>
                <w:webHidden/>
              </w:rPr>
              <w:fldChar w:fldCharType="end"/>
            </w:r>
          </w:hyperlink>
        </w:p>
        <w:p w14:paraId="0347D6F3" w14:textId="1F927F9C" w:rsidR="00A16B9C" w:rsidRDefault="00A16B9C">
          <w:pPr>
            <w:pStyle w:val="TOC2"/>
            <w:tabs>
              <w:tab w:val="right" w:leader="dot" w:pos="9350"/>
            </w:tabs>
            <w:rPr>
              <w:rFonts w:eastAsiaTheme="minorEastAsia"/>
              <w:noProof/>
            </w:rPr>
          </w:pPr>
          <w:hyperlink w:anchor="_Toc118377817" w:history="1">
            <w:r w:rsidRPr="00C554E8">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_Toc118377817 \h </w:instrText>
            </w:r>
            <w:r>
              <w:rPr>
                <w:noProof/>
                <w:webHidden/>
              </w:rPr>
            </w:r>
            <w:r>
              <w:rPr>
                <w:noProof/>
                <w:webHidden/>
              </w:rPr>
              <w:fldChar w:fldCharType="separate"/>
            </w:r>
            <w:r>
              <w:rPr>
                <w:noProof/>
                <w:webHidden/>
              </w:rPr>
              <w:t>172</w:t>
            </w:r>
            <w:r>
              <w:rPr>
                <w:noProof/>
                <w:webHidden/>
              </w:rPr>
              <w:fldChar w:fldCharType="end"/>
            </w:r>
          </w:hyperlink>
        </w:p>
        <w:p w14:paraId="760DE1E5" w14:textId="2ACB8273" w:rsidR="00A16B9C" w:rsidRDefault="00A16B9C">
          <w:pPr>
            <w:pStyle w:val="TOC2"/>
            <w:tabs>
              <w:tab w:val="right" w:leader="dot" w:pos="9350"/>
            </w:tabs>
            <w:rPr>
              <w:rFonts w:eastAsiaTheme="minorEastAsia"/>
              <w:noProof/>
            </w:rPr>
          </w:pPr>
          <w:hyperlink w:anchor="_Toc118377818" w:history="1">
            <w:r w:rsidRPr="00C554E8">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_Toc118377818 \h </w:instrText>
            </w:r>
            <w:r>
              <w:rPr>
                <w:noProof/>
                <w:webHidden/>
              </w:rPr>
            </w:r>
            <w:r>
              <w:rPr>
                <w:noProof/>
                <w:webHidden/>
              </w:rPr>
              <w:fldChar w:fldCharType="separate"/>
            </w:r>
            <w:r>
              <w:rPr>
                <w:noProof/>
                <w:webHidden/>
              </w:rPr>
              <w:t>172</w:t>
            </w:r>
            <w:r>
              <w:rPr>
                <w:noProof/>
                <w:webHidden/>
              </w:rPr>
              <w:fldChar w:fldCharType="end"/>
            </w:r>
          </w:hyperlink>
        </w:p>
        <w:p w14:paraId="0DA00230" w14:textId="0D05D68D" w:rsidR="00A16B9C" w:rsidRDefault="00A16B9C">
          <w:pPr>
            <w:pStyle w:val="TOC2"/>
            <w:tabs>
              <w:tab w:val="right" w:leader="dot" w:pos="9350"/>
            </w:tabs>
            <w:rPr>
              <w:rFonts w:eastAsiaTheme="minorEastAsia"/>
              <w:noProof/>
            </w:rPr>
          </w:pPr>
          <w:hyperlink w:anchor="_Toc118377819" w:history="1">
            <w:r w:rsidRPr="00C554E8">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_Toc118377819 \h </w:instrText>
            </w:r>
            <w:r>
              <w:rPr>
                <w:noProof/>
                <w:webHidden/>
              </w:rPr>
            </w:r>
            <w:r>
              <w:rPr>
                <w:noProof/>
                <w:webHidden/>
              </w:rPr>
              <w:fldChar w:fldCharType="separate"/>
            </w:r>
            <w:r>
              <w:rPr>
                <w:noProof/>
                <w:webHidden/>
              </w:rPr>
              <w:t>172</w:t>
            </w:r>
            <w:r>
              <w:rPr>
                <w:noProof/>
                <w:webHidden/>
              </w:rPr>
              <w:fldChar w:fldCharType="end"/>
            </w:r>
          </w:hyperlink>
        </w:p>
        <w:p w14:paraId="4E809685" w14:textId="7441F87F" w:rsidR="00A16B9C" w:rsidRDefault="00A16B9C">
          <w:pPr>
            <w:pStyle w:val="TOC2"/>
            <w:tabs>
              <w:tab w:val="right" w:leader="dot" w:pos="9350"/>
            </w:tabs>
            <w:rPr>
              <w:rFonts w:eastAsiaTheme="minorEastAsia"/>
              <w:noProof/>
            </w:rPr>
          </w:pPr>
          <w:hyperlink w:anchor="_Toc118377820" w:history="1">
            <w:r w:rsidRPr="00C554E8">
              <w:rPr>
                <w:rStyle w:val="Hyperlink"/>
                <w:rFonts w:ascii="Bookman Old Style" w:hAnsi="Bookman Old Style"/>
                <w:noProof/>
              </w:rPr>
              <w:t>Von Mosheim, Lorenz</w:t>
            </w:r>
            <w:r>
              <w:rPr>
                <w:noProof/>
                <w:webHidden/>
              </w:rPr>
              <w:tab/>
            </w:r>
            <w:r>
              <w:rPr>
                <w:noProof/>
                <w:webHidden/>
              </w:rPr>
              <w:fldChar w:fldCharType="begin"/>
            </w:r>
            <w:r>
              <w:rPr>
                <w:noProof/>
                <w:webHidden/>
              </w:rPr>
              <w:instrText xml:space="preserve"> PAGEREF _Toc118377820 \h </w:instrText>
            </w:r>
            <w:r>
              <w:rPr>
                <w:noProof/>
                <w:webHidden/>
              </w:rPr>
            </w:r>
            <w:r>
              <w:rPr>
                <w:noProof/>
                <w:webHidden/>
              </w:rPr>
              <w:fldChar w:fldCharType="separate"/>
            </w:r>
            <w:r>
              <w:rPr>
                <w:noProof/>
                <w:webHidden/>
              </w:rPr>
              <w:t>172</w:t>
            </w:r>
            <w:r>
              <w:rPr>
                <w:noProof/>
                <w:webHidden/>
              </w:rPr>
              <w:fldChar w:fldCharType="end"/>
            </w:r>
          </w:hyperlink>
        </w:p>
        <w:p w14:paraId="361B572A" w14:textId="5D8A9564" w:rsidR="00A16B9C" w:rsidRDefault="00A16B9C">
          <w:pPr>
            <w:pStyle w:val="TOC2"/>
            <w:tabs>
              <w:tab w:val="right" w:leader="dot" w:pos="9350"/>
            </w:tabs>
            <w:rPr>
              <w:rFonts w:eastAsiaTheme="minorEastAsia"/>
              <w:noProof/>
            </w:rPr>
          </w:pPr>
          <w:hyperlink w:anchor="_Toc118377821" w:history="1">
            <w:r w:rsidRPr="00C554E8">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_Toc118377821 \h </w:instrText>
            </w:r>
            <w:r>
              <w:rPr>
                <w:noProof/>
                <w:webHidden/>
              </w:rPr>
            </w:r>
            <w:r>
              <w:rPr>
                <w:noProof/>
                <w:webHidden/>
              </w:rPr>
              <w:fldChar w:fldCharType="separate"/>
            </w:r>
            <w:r>
              <w:rPr>
                <w:noProof/>
                <w:webHidden/>
              </w:rPr>
              <w:t>172</w:t>
            </w:r>
            <w:r>
              <w:rPr>
                <w:noProof/>
                <w:webHidden/>
              </w:rPr>
              <w:fldChar w:fldCharType="end"/>
            </w:r>
          </w:hyperlink>
        </w:p>
        <w:p w14:paraId="51EBC0D8" w14:textId="141BBE55" w:rsidR="00A16B9C" w:rsidRDefault="00A16B9C">
          <w:pPr>
            <w:pStyle w:val="TOC2"/>
            <w:tabs>
              <w:tab w:val="right" w:leader="dot" w:pos="9350"/>
            </w:tabs>
            <w:rPr>
              <w:rFonts w:eastAsiaTheme="minorEastAsia"/>
              <w:noProof/>
            </w:rPr>
          </w:pPr>
          <w:hyperlink w:anchor="_Toc118377822" w:history="1">
            <w:r w:rsidRPr="00C554E8">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_Toc118377822 \h </w:instrText>
            </w:r>
            <w:r>
              <w:rPr>
                <w:noProof/>
                <w:webHidden/>
              </w:rPr>
            </w:r>
            <w:r>
              <w:rPr>
                <w:noProof/>
                <w:webHidden/>
              </w:rPr>
              <w:fldChar w:fldCharType="separate"/>
            </w:r>
            <w:r>
              <w:rPr>
                <w:noProof/>
                <w:webHidden/>
              </w:rPr>
              <w:t>173</w:t>
            </w:r>
            <w:r>
              <w:rPr>
                <w:noProof/>
                <w:webHidden/>
              </w:rPr>
              <w:fldChar w:fldCharType="end"/>
            </w:r>
          </w:hyperlink>
        </w:p>
        <w:p w14:paraId="5C520F76" w14:textId="39B8ACBA" w:rsidR="00A16B9C" w:rsidRDefault="00A16B9C">
          <w:pPr>
            <w:pStyle w:val="TOC1"/>
            <w:tabs>
              <w:tab w:val="right" w:leader="dot" w:pos="9350"/>
            </w:tabs>
            <w:rPr>
              <w:rFonts w:eastAsiaTheme="minorEastAsia"/>
              <w:noProof/>
            </w:rPr>
          </w:pPr>
          <w:hyperlink w:anchor="_Toc118377823" w:history="1">
            <w:r w:rsidRPr="00C554E8">
              <w:rPr>
                <w:rStyle w:val="Hyperlink"/>
                <w:rFonts w:ascii="Bookman Old Style" w:hAnsi="Bookman Old Style"/>
                <w:noProof/>
              </w:rPr>
              <w:t>Appendix B. Individuals Referenced in This Work.</w:t>
            </w:r>
            <w:r>
              <w:rPr>
                <w:noProof/>
                <w:webHidden/>
              </w:rPr>
              <w:tab/>
            </w:r>
            <w:r>
              <w:rPr>
                <w:noProof/>
                <w:webHidden/>
              </w:rPr>
              <w:fldChar w:fldCharType="begin"/>
            </w:r>
            <w:r>
              <w:rPr>
                <w:noProof/>
                <w:webHidden/>
              </w:rPr>
              <w:instrText xml:space="preserve"> PAGEREF _Toc118377823 \h </w:instrText>
            </w:r>
            <w:r>
              <w:rPr>
                <w:noProof/>
                <w:webHidden/>
              </w:rPr>
            </w:r>
            <w:r>
              <w:rPr>
                <w:noProof/>
                <w:webHidden/>
              </w:rPr>
              <w:fldChar w:fldCharType="separate"/>
            </w:r>
            <w:r>
              <w:rPr>
                <w:noProof/>
                <w:webHidden/>
              </w:rPr>
              <w:t>174</w:t>
            </w:r>
            <w:r>
              <w:rPr>
                <w:noProof/>
                <w:webHidden/>
              </w:rPr>
              <w:fldChar w:fldCharType="end"/>
            </w:r>
          </w:hyperlink>
        </w:p>
        <w:p w14:paraId="5327F869" w14:textId="275D9D3A" w:rsidR="00A16B9C" w:rsidRDefault="00A16B9C">
          <w:pPr>
            <w:pStyle w:val="TOC1"/>
            <w:tabs>
              <w:tab w:val="right" w:leader="dot" w:pos="9350"/>
            </w:tabs>
            <w:rPr>
              <w:rFonts w:eastAsiaTheme="minorEastAsia"/>
              <w:noProof/>
            </w:rPr>
          </w:pPr>
          <w:hyperlink w:anchor="_Toc118377824" w:history="1">
            <w:r w:rsidRPr="00C554E8">
              <w:rPr>
                <w:rStyle w:val="Hyperlink"/>
                <w:rFonts w:ascii="Bookman Old Style" w:hAnsi="Bookman Old Style"/>
                <w:noProof/>
              </w:rPr>
              <w:t>Appendix C. Works Referenced Herein.</w:t>
            </w:r>
            <w:r>
              <w:rPr>
                <w:noProof/>
                <w:webHidden/>
              </w:rPr>
              <w:tab/>
            </w:r>
            <w:r>
              <w:rPr>
                <w:noProof/>
                <w:webHidden/>
              </w:rPr>
              <w:fldChar w:fldCharType="begin"/>
            </w:r>
            <w:r>
              <w:rPr>
                <w:noProof/>
                <w:webHidden/>
              </w:rPr>
              <w:instrText xml:space="preserve"> PAGEREF _Toc118377824 \h </w:instrText>
            </w:r>
            <w:r>
              <w:rPr>
                <w:noProof/>
                <w:webHidden/>
              </w:rPr>
            </w:r>
            <w:r>
              <w:rPr>
                <w:noProof/>
                <w:webHidden/>
              </w:rPr>
              <w:fldChar w:fldCharType="separate"/>
            </w:r>
            <w:r>
              <w:rPr>
                <w:noProof/>
                <w:webHidden/>
              </w:rPr>
              <w:t>176</w:t>
            </w:r>
            <w:r>
              <w:rPr>
                <w:noProof/>
                <w:webHidden/>
              </w:rPr>
              <w:fldChar w:fldCharType="end"/>
            </w:r>
          </w:hyperlink>
        </w:p>
        <w:p w14:paraId="3F71A61E" w14:textId="14615297" w:rsidR="00A16B9C" w:rsidRDefault="00A16B9C">
          <w:pPr>
            <w:pStyle w:val="TOC1"/>
            <w:tabs>
              <w:tab w:val="right" w:leader="dot" w:pos="9350"/>
            </w:tabs>
            <w:rPr>
              <w:rFonts w:eastAsiaTheme="minorEastAsia"/>
              <w:noProof/>
            </w:rPr>
          </w:pPr>
          <w:hyperlink w:anchor="_Toc118377825" w:history="1">
            <w:r w:rsidRPr="00C554E8">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_Toc118377825 \h </w:instrText>
            </w:r>
            <w:r>
              <w:rPr>
                <w:noProof/>
                <w:webHidden/>
              </w:rPr>
            </w:r>
            <w:r>
              <w:rPr>
                <w:noProof/>
                <w:webHidden/>
              </w:rPr>
              <w:fldChar w:fldCharType="separate"/>
            </w:r>
            <w:r>
              <w:rPr>
                <w:noProof/>
                <w:webHidden/>
              </w:rPr>
              <w:t>177</w:t>
            </w:r>
            <w:r>
              <w:rPr>
                <w:noProof/>
                <w:webHidden/>
              </w:rPr>
              <w:fldChar w:fldCharType="end"/>
            </w:r>
          </w:hyperlink>
        </w:p>
        <w:p w14:paraId="05FE9BCD" w14:textId="42A1A6DB" w:rsidR="00A16B9C" w:rsidRDefault="00A16B9C">
          <w:pPr>
            <w:pStyle w:val="TOC1"/>
            <w:tabs>
              <w:tab w:val="right" w:leader="dot" w:pos="9350"/>
            </w:tabs>
            <w:rPr>
              <w:rFonts w:eastAsiaTheme="minorEastAsia"/>
              <w:noProof/>
            </w:rPr>
          </w:pPr>
          <w:hyperlink w:anchor="_Toc118377826" w:history="1">
            <w:r w:rsidRPr="00C554E8">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_Toc118377826 \h </w:instrText>
            </w:r>
            <w:r>
              <w:rPr>
                <w:noProof/>
                <w:webHidden/>
              </w:rPr>
            </w:r>
            <w:r>
              <w:rPr>
                <w:noProof/>
                <w:webHidden/>
              </w:rPr>
              <w:fldChar w:fldCharType="separate"/>
            </w:r>
            <w:r>
              <w:rPr>
                <w:noProof/>
                <w:webHidden/>
              </w:rPr>
              <w:t>178</w:t>
            </w:r>
            <w:r>
              <w:rPr>
                <w:noProof/>
                <w:webHidden/>
              </w:rPr>
              <w:fldChar w:fldCharType="end"/>
            </w:r>
          </w:hyperlink>
        </w:p>
        <w:p w14:paraId="0D68C958" w14:textId="13ABC5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77711"/>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77712"/>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xml:space="preserve">.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2ABD4880" w:rsidR="00377200"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77713"/>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77714"/>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77715"/>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377200">
        <w:rPr>
          <w:rFonts w:ascii="Bookman Old Style" w:hAnsi="Bookman Old Style"/>
          <w:b/>
          <w:bCs/>
        </w:rPr>
        <w:t>Chrysostom</w:t>
      </w:r>
      <w:r w:rsidRPr="002F5DC5">
        <w:rPr>
          <w:rFonts w:ascii="Bookman Old Style" w:hAnsi="Bookman Old Style"/>
        </w:rPr>
        <w:t xml:space="preserve">, </w:t>
      </w:r>
      <w:r w:rsidRPr="00377200">
        <w:rPr>
          <w:rFonts w:ascii="Bookman Old Style" w:hAnsi="Bookman Old Style"/>
          <w:b/>
          <w:bCs/>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77716"/>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77717"/>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A16B9C">
        <w:rPr>
          <w:rFonts w:ascii="Bookman Old Style" w:hAnsi="Bookman Old Style"/>
          <w:b/>
          <w:bCs/>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A16B9C">
        <w:rPr>
          <w:rFonts w:ascii="Bookman Old Style" w:hAnsi="Bookman Old Style"/>
          <w:b/>
          <w:bCs/>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A16B9C">
        <w:rPr>
          <w:rFonts w:ascii="Bookman Old Style" w:hAnsi="Bookman Old Style"/>
          <w:b/>
          <w:bCs/>
        </w:rPr>
        <w:t>Clement of Alexa</w:t>
      </w:r>
      <w:r w:rsidR="00657085" w:rsidRPr="00A16B9C">
        <w:rPr>
          <w:rFonts w:ascii="Bookman Old Style" w:hAnsi="Bookman Old Style"/>
          <w:b/>
          <w:bCs/>
        </w:rPr>
        <w:t>ndria</w:t>
      </w:r>
      <w:r w:rsidR="00657085" w:rsidRPr="002F5DC5">
        <w:rPr>
          <w:rFonts w:ascii="Bookman Old Style" w:hAnsi="Bookman Old Style"/>
        </w:rPr>
        <w:t xml:space="preserve">, by </w:t>
      </w:r>
      <w:r w:rsidR="00657085" w:rsidRPr="00A16B9C">
        <w:rPr>
          <w:rFonts w:ascii="Bookman Old Style" w:hAnsi="Bookman Old Style"/>
          <w:b/>
          <w:bCs/>
        </w:rPr>
        <w:t>Eusebius</w:t>
      </w:r>
      <w:r w:rsidR="00657085" w:rsidRPr="002F5DC5">
        <w:rPr>
          <w:rFonts w:ascii="Bookman Old Style" w:hAnsi="Bookman Old Style"/>
        </w:rPr>
        <w:t xml:space="preserve"> and by </w:t>
      </w:r>
      <w:r w:rsidR="00657085" w:rsidRPr="00A16B9C">
        <w:rPr>
          <w:rFonts w:ascii="Bookman Old Style" w:hAnsi="Bookman Old Style"/>
          <w:b/>
          <w:bCs/>
        </w:rPr>
        <w:t>Athanas</w:t>
      </w:r>
      <w:r w:rsidRPr="00A16B9C">
        <w:rPr>
          <w:rFonts w:ascii="Bookman Old Style" w:hAnsi="Bookman Old Style"/>
          <w:b/>
          <w:bCs/>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A16B9C">
        <w:rPr>
          <w:rFonts w:ascii="Bookman Old Style" w:hAnsi="Bookman Old Style"/>
          <w:b/>
          <w:bCs/>
        </w:rPr>
        <w:t>Origen</w:t>
      </w:r>
      <w:r w:rsidR="00657085" w:rsidRPr="002F5DC5">
        <w:rPr>
          <w:rFonts w:ascii="Bookman Old Style" w:hAnsi="Bookman Old Style"/>
        </w:rPr>
        <w:t xml:space="preserve"> </w:t>
      </w:r>
      <w:r w:rsidRPr="002F5DC5">
        <w:rPr>
          <w:rFonts w:ascii="Bookman Old Style" w:hAnsi="Bookman Old Style"/>
        </w:rPr>
        <w:t xml:space="preserve">and </w:t>
      </w:r>
      <w:r w:rsidRPr="00A16B9C">
        <w:rPr>
          <w:rFonts w:ascii="Bookman Old Style" w:hAnsi="Bookman Old Style"/>
          <w:b/>
          <w:bCs/>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77718"/>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77719"/>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77720"/>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09D9558B"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77721"/>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29802BCA"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77722"/>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w:t>
      </w:r>
      <w:r w:rsidRPr="002F5DC5">
        <w:rPr>
          <w:rFonts w:ascii="Bookman Old Style" w:hAnsi="Bookman Old Style"/>
        </w:rPr>
        <w:lastRenderedPageBreak/>
        <w:t xml:space="preserve">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w:t>
      </w:r>
      <w:r w:rsidR="00A24A03" w:rsidRPr="002F5DC5">
        <w:rPr>
          <w:rFonts w:ascii="Bookman Old Style" w:hAnsi="Bookman Old Style"/>
        </w:rPr>
        <w:lastRenderedPageBreak/>
        <w:t xml:space="preserve">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w:t>
      </w:r>
      <w:r w:rsidR="00A24A03" w:rsidRPr="002F5DC5">
        <w:rPr>
          <w:rFonts w:ascii="Bookman Old Style" w:hAnsi="Bookman Old Style"/>
        </w:rPr>
        <w:lastRenderedPageBreak/>
        <w:t xml:space="preserve">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77777777" w:rsidR="00A16B9C"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16C2E70E"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454622AA"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bookmarkStart w:id="13" w:name="_Toc118377723"/>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77724"/>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11B6D2EE"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w:t>
      </w:r>
      <w:r w:rsidR="00C37BC2" w:rsidRPr="002F5DC5">
        <w:rPr>
          <w:rFonts w:ascii="Bookman Old Style" w:hAnsi="Bookman Old Style"/>
        </w:rPr>
        <w:lastRenderedPageBreak/>
        <w:t xml:space="preserve">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1E9E95E"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77725"/>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 xml:space="preserve">the legislators used as </w:t>
      </w:r>
      <w:proofErr w:type="gramStart"/>
      <w:r w:rsidRPr="002F5DC5">
        <w:rPr>
          <w:rFonts w:ascii="Bookman Old Style" w:hAnsi="Bookman Old Style"/>
        </w:rPr>
        <w:t>scare-</w:t>
      </w:r>
      <w:r w:rsidR="00091D96" w:rsidRPr="002F5DC5">
        <w:rPr>
          <w:rFonts w:ascii="Bookman Old Style" w:hAnsi="Bookman Old Style"/>
        </w:rPr>
        <w:t>crows</w:t>
      </w:r>
      <w:proofErr w:type="gramEnd"/>
      <w:r w:rsidR="00091D96" w:rsidRPr="002F5DC5">
        <w:rPr>
          <w:rFonts w:ascii="Bookman Old Style" w:hAnsi="Bookman Old Style"/>
        </w:rPr>
        <w:t xml:space="preserve">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77726"/>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77727"/>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77728"/>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77729"/>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77730"/>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77731"/>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B977A8">
        <w:rPr>
          <w:rFonts w:ascii="Bookman Old Style" w:hAnsi="Bookman Old Style"/>
          <w:b/>
          <w:bCs/>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B977A8">
        <w:rPr>
          <w:rFonts w:ascii="Bookman Old Style" w:hAnsi="Bookman Old Style"/>
          <w:b/>
          <w:bCs/>
        </w:rPr>
        <w:t>Clement</w:t>
      </w:r>
      <w:r w:rsidRPr="002F5DC5">
        <w:rPr>
          <w:rFonts w:ascii="Bookman Old Style" w:hAnsi="Bookman Old Style"/>
        </w:rPr>
        <w:t xml:space="preserve"> and </w:t>
      </w:r>
      <w:r w:rsidRPr="00B977A8">
        <w:rPr>
          <w:rFonts w:ascii="Bookman Old Style" w:hAnsi="Bookman Old Style"/>
          <w:b/>
          <w:bCs/>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77732"/>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B977A8">
        <w:rPr>
          <w:rFonts w:ascii="Bookman Old Style" w:hAnsi="Bookman Old Style"/>
          <w:b/>
          <w:bCs/>
        </w:rPr>
        <w:t>Clement</w:t>
      </w:r>
      <w:r w:rsidR="00091D96" w:rsidRPr="002F5DC5">
        <w:rPr>
          <w:rFonts w:ascii="Bookman Old Style" w:hAnsi="Bookman Old Style"/>
        </w:rPr>
        <w:t xml:space="preserve">, </w:t>
      </w:r>
      <w:proofErr w:type="gramStart"/>
      <w:r w:rsidR="00091D96" w:rsidRPr="00B977A8">
        <w:rPr>
          <w:rFonts w:ascii="Bookman Old Style" w:hAnsi="Bookman Old Style"/>
          <w:b/>
          <w:bCs/>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77733"/>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was </w:t>
      </w:r>
      <w:r w:rsidRPr="00B977A8">
        <w:rPr>
          <w:rFonts w:ascii="Bookman Old Style" w:hAnsi="Bookman Old Style"/>
          <w:b/>
          <w:bCs/>
        </w:rPr>
        <w:t xml:space="preserve">Clement </w:t>
      </w:r>
      <w:r w:rsidR="00D90996" w:rsidRPr="00B977A8">
        <w:rPr>
          <w:rFonts w:ascii="Bookman Old Style" w:hAnsi="Bookman Old Style"/>
          <w:b/>
          <w:bCs/>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77734"/>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77735"/>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77736"/>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77737"/>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77738"/>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77739"/>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77740"/>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77741"/>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2F5DC5">
        <w:rPr>
          <w:rFonts w:ascii="Bookman Old Style" w:hAnsi="Bookman Old Style"/>
        </w:rPr>
        <w:t>aion</w:t>
      </w:r>
      <w:r w:rsidRPr="002F5DC5">
        <w:rPr>
          <w:rFonts w:ascii="Bookman Old Style" w:hAnsi="Bookman Old Style"/>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proofErr w:type="spellStart"/>
      <w:r w:rsidR="002A3283" w:rsidRPr="002F5DC5">
        <w:rPr>
          <w:rFonts w:ascii="Bookman Old Style" w:hAnsi="Bookman Old Style"/>
        </w:rPr>
        <w:t>lrenae</w:t>
      </w:r>
      <w:r w:rsidRPr="002F5DC5">
        <w:rPr>
          <w:rFonts w:ascii="Bookman Old Style" w:hAnsi="Bookman Old Style"/>
        </w:rPr>
        <w:t>us</w:t>
      </w:r>
      <w:proofErr w:type="spellEnd"/>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2F5DC5">
        <w:rPr>
          <w:rFonts w:ascii="Bookman Old Style" w:hAnsi="Bookman Old Style"/>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proofErr w:type="spellStart"/>
      <w:r w:rsidRPr="002F5DC5">
        <w:rPr>
          <w:rFonts w:ascii="Bookman Old Style" w:hAnsi="Bookman Old Style"/>
          <w:i/>
        </w:rPr>
        <w:t>aionios</w:t>
      </w:r>
      <w:proofErr w:type="spellEnd"/>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w:t>
      </w:r>
      <w:r w:rsidRPr="002F5DC5">
        <w:rPr>
          <w:rFonts w:ascii="Bookman Old Style" w:hAnsi="Bookman Old Style"/>
        </w:rPr>
        <w:lastRenderedPageBreak/>
        <w:t xml:space="preserve">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77742"/>
      <w:r w:rsidRPr="002F5DC5">
        <w:rPr>
          <w:rFonts w:ascii="Bookman Old Style" w:hAnsi="Bookman Old Style"/>
        </w:rPr>
        <w:t>Quadratus.</w:t>
      </w:r>
      <w:bookmarkEnd w:id="32"/>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77743"/>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2F5DC5">
        <w:rPr>
          <w:rFonts w:ascii="Bookman Old Style" w:hAnsi="Bookman Old Style"/>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w:t>
      </w:r>
      <w:r w:rsidR="00C41037" w:rsidRPr="002F5DC5">
        <w:rPr>
          <w:rFonts w:ascii="Bookman Old Style" w:hAnsi="Bookman Old Style"/>
        </w:rPr>
        <w:lastRenderedPageBreak/>
        <w:t xml:space="preserve">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77744"/>
      <w:r w:rsidRPr="002F5DC5">
        <w:rPr>
          <w:rFonts w:ascii="Bookman Old Style" w:hAnsi="Bookman Old Style"/>
        </w:rPr>
        <w:t>Athenagoras.</w:t>
      </w:r>
      <w:bookmarkEnd w:id="34"/>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5" w:name="_Toc118377745"/>
      <w:r w:rsidRPr="002F5DC5">
        <w:rPr>
          <w:rFonts w:ascii="Bookman Old Style" w:hAnsi="Bookman Old Style"/>
        </w:rPr>
        <w:t>Theophilus.</w:t>
      </w:r>
      <w:bookmarkEnd w:id="35"/>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proofErr w:type="gramStart"/>
      <w:r w:rsidR="00091D96" w:rsidRPr="002F5DC5">
        <w:rPr>
          <w:rFonts w:ascii="Bookman Old Style" w:hAnsi="Bookman Old Style"/>
        </w:rPr>
        <w:t>in</w:t>
      </w:r>
      <w:proofErr w:type="gramEnd"/>
      <w:r w:rsidR="00091D96" w:rsidRPr="002F5DC5">
        <w:rPr>
          <w:rFonts w:ascii="Bookman Old Style" w:hAnsi="Bookman Old Style"/>
        </w:rPr>
        <w:t xml:space="preserve">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77746"/>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77747"/>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77748"/>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71"/>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77749"/>
      <w:r w:rsidRPr="002F5DC5">
        <w:rPr>
          <w:rFonts w:ascii="Bookman Old Style" w:hAnsi="Bookman Old Style"/>
        </w:rPr>
        <w:t>Carpocratians.</w:t>
      </w:r>
      <w:bookmarkEnd w:id="39"/>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2F5DC5">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 xml:space="preserve">hemselves </w:t>
      </w:r>
      <w:proofErr w:type="gramStart"/>
      <w:r w:rsidR="001D0EA6" w:rsidRPr="002F5DC5">
        <w:rPr>
          <w:rFonts w:ascii="Bookman Old Style" w:hAnsi="Bookman Old Style"/>
        </w:rPr>
        <w:t>Gnostics, and</w:t>
      </w:r>
      <w:proofErr w:type="gramEnd"/>
      <w:r w:rsidR="001D0EA6" w:rsidRPr="002F5DC5">
        <w:rPr>
          <w:rFonts w:ascii="Bookman Old Style" w:hAnsi="Bookman Old Style"/>
        </w:rPr>
        <w:t xml:space="preserve">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77750"/>
      <w:r w:rsidRPr="002F5DC5">
        <w:rPr>
          <w:rFonts w:ascii="Bookman Old Style" w:hAnsi="Bookman Old Style"/>
        </w:rPr>
        <w:t>Valentinians.</w:t>
      </w:r>
      <w:bookmarkEnd w:id="40"/>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 xml:space="preserve">doctrines were widely </w:t>
      </w:r>
      <w:proofErr w:type="spellStart"/>
      <w:r w:rsidRPr="002F5DC5">
        <w:rPr>
          <w:rFonts w:ascii="Bookman Old Style" w:hAnsi="Bookman Old Style"/>
        </w:rPr>
        <w:t>dissemi</w:t>
      </w:r>
      <w:r w:rsidR="00091D96" w:rsidRPr="002F5DC5">
        <w:rPr>
          <w:rFonts w:ascii="Bookman Old Style" w:hAnsi="Bookman Old Style"/>
        </w:rPr>
        <w:t>ated</w:t>
      </w:r>
      <w:proofErr w:type="spellEnd"/>
      <w:r w:rsidR="00091D96" w:rsidRPr="002F5DC5">
        <w:rPr>
          <w:rFonts w:ascii="Bookman Old Style" w:hAnsi="Bookman Old Style"/>
        </w:rPr>
        <w:t xml:space="preserve">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77751"/>
      <w:r w:rsidRPr="002F5DC5">
        <w:rPr>
          <w:rFonts w:ascii="Bookman Old Style" w:hAnsi="Bookman Old Style"/>
        </w:rPr>
        <w:t>Conclusions.</w:t>
      </w:r>
      <w:bookmarkEnd w:id="41"/>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w:t>
      </w:r>
      <w:proofErr w:type="spellStart"/>
      <w:r w:rsidR="001D0EA6" w:rsidRPr="002F5DC5">
        <w:rPr>
          <w:rFonts w:ascii="Bookman Old Style" w:hAnsi="Bookman Old Style"/>
        </w:rPr>
        <w:t>bnt</w:t>
      </w:r>
      <w:proofErr w:type="spellEnd"/>
      <w:r w:rsidR="001D0EA6" w:rsidRPr="002F5DC5">
        <w:rPr>
          <w:rFonts w:ascii="Bookman Old Style" w:hAnsi="Bookman Old Style"/>
        </w:rPr>
        <w:t xml:space="preserve">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proofErr w:type="gramStart"/>
      <w:r w:rsidR="00091D96" w:rsidRPr="002F5DC5">
        <w:rPr>
          <w:rFonts w:ascii="Bookman Old Style" w:hAnsi="Bookman Old Style"/>
        </w:rPr>
        <w:t>fellow-me</w:t>
      </w:r>
      <w:r w:rsidRPr="002F5DC5">
        <w:rPr>
          <w:rFonts w:ascii="Bookman Old Style" w:hAnsi="Bookman Old Style"/>
        </w:rPr>
        <w:t>n</w:t>
      </w:r>
      <w:proofErr w:type="gramEnd"/>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w:t>
      </w:r>
      <w:proofErr w:type="spellStart"/>
      <w:r w:rsidRPr="002F5DC5">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 xml:space="preserve">ith the spirit of Christianity.” Briefly, </w:t>
      </w:r>
      <w:proofErr w:type="spellStart"/>
      <w:r w:rsidRPr="002F5DC5">
        <w:rPr>
          <w:rFonts w:ascii="Bookman Old Style" w:hAnsi="Bookman Old Style"/>
        </w:rPr>
        <w:t>sophia</w:t>
      </w:r>
      <w:proofErr w:type="spellEnd"/>
      <w:r w:rsidRPr="002F5DC5">
        <w:rPr>
          <w:rFonts w:ascii="Bookman Old Style" w:hAnsi="Bookman Old Style"/>
        </w:rPr>
        <w:t xml:space="preserve">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w:t>
      </w:r>
      <w:proofErr w:type="spellStart"/>
      <w:r w:rsidRPr="002F5DC5">
        <w:rPr>
          <w:rFonts w:ascii="Bookman Old Style" w:hAnsi="Bookman Old Style"/>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77752"/>
      <w:r w:rsidRPr="002F5DC5">
        <w:rPr>
          <w:rFonts w:ascii="Bookman Old Style" w:hAnsi="Bookman Old Style"/>
        </w:rPr>
        <w:lastRenderedPageBreak/>
        <w:t>8. The Sibylline Oracles.</w:t>
      </w:r>
      <w:bookmarkEnd w:id="42"/>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 xml:space="preserve">accedes to their </w:t>
      </w:r>
      <w:proofErr w:type="gramStart"/>
      <w:r w:rsidRPr="002F5DC5">
        <w:rPr>
          <w:rFonts w:ascii="Bookman Old Style" w:hAnsi="Bookman Old Style"/>
        </w:rPr>
        <w:t>request</w:t>
      </w:r>
      <w:r w:rsidR="00255D50" w:rsidRPr="002F5DC5">
        <w:rPr>
          <w:rFonts w:ascii="Bookman Old Style" w:hAnsi="Bookman Old Style"/>
        </w:rPr>
        <w:t>, and</w:t>
      </w:r>
      <w:proofErr w:type="gramEnd"/>
      <w:r w:rsidR="00255D50" w:rsidRPr="002F5DC5">
        <w:rPr>
          <w:rFonts w:ascii="Bookman Old Style" w:hAnsi="Bookman Old Style"/>
        </w:rPr>
        <w:t xml:space="preserve">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proofErr w:type="spellStart"/>
      <w:r w:rsidR="00255D50" w:rsidRPr="002F5DC5">
        <w:rPr>
          <w:rFonts w:ascii="Bookman Old Style" w:hAnsi="Bookman Old Style"/>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Says </w:t>
      </w:r>
      <w:proofErr w:type="spellStart"/>
      <w:r w:rsidR="00255D50" w:rsidRPr="002F5DC5">
        <w:rPr>
          <w:rFonts w:ascii="Bookman Old Style" w:hAnsi="Bookman Old Style"/>
        </w:rPr>
        <w:t>Musardus</w:t>
      </w:r>
      <w:proofErr w:type="spellEnd"/>
      <w:r w:rsidR="00255D50" w:rsidRPr="002F5DC5">
        <w:rPr>
          <w:rFonts w:ascii="Bookman Old Style" w:hAnsi="Bookman Old Style"/>
        </w:rPr>
        <w:t>,</w:t>
      </w:r>
      <w:r w:rsidR="00255D50" w:rsidRPr="002F5DC5">
        <w:rPr>
          <w:rStyle w:val="FootnoteReference"/>
          <w:rFonts w:ascii="Bookman Old Style" w:hAnsi="Bookman Old Style"/>
        </w:rPr>
        <w:footnoteReference w:id="181"/>
      </w:r>
      <w:r w:rsidR="00255D50" w:rsidRPr="002F5DC5">
        <w:rPr>
          <w:rFonts w:ascii="Bookman Old Style" w:hAnsi="Bookman Old Style"/>
        </w:rPr>
        <w:t xml:space="preserve"> the "Oracles" teach "</w:t>
      </w:r>
      <w:r w:rsidRPr="002F5DC5">
        <w:rPr>
          <w:rFonts w:ascii="Bookman Old Style" w:hAnsi="Bookman Old Style"/>
        </w:rPr>
        <w:t xml:space="preserve">that the </w:t>
      </w:r>
      <w:proofErr w:type="gramStart"/>
      <w:r w:rsidRPr="002F5DC5">
        <w:rPr>
          <w:rFonts w:ascii="Bookman Old Style" w:hAnsi="Bookman Old Style"/>
        </w:rPr>
        <w:t>damned</w:t>
      </w:r>
      <w:proofErr w:type="gramEnd"/>
      <w:r w:rsidRPr="002F5DC5">
        <w:rPr>
          <w:rFonts w:ascii="Bookman Old Style" w:hAnsi="Bookman Old Style"/>
        </w:rPr>
        <w:t xml:space="preserve">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w:t>
      </w:r>
      <w:proofErr w:type="spellStart"/>
      <w:r w:rsidR="00255D50" w:rsidRPr="002F5DC5">
        <w:rPr>
          <w:rFonts w:ascii="Bookman Old Style" w:hAnsi="Bookman Old Style"/>
        </w:rPr>
        <w:t>Opsopoeus</w:t>
      </w:r>
      <w:proofErr w:type="spellEnd"/>
      <w:r w:rsidR="00255D50" w:rsidRPr="002F5DC5">
        <w:rPr>
          <w:rFonts w:ascii="Bookman Old Style" w:hAnsi="Bookman Old Style"/>
        </w:rPr>
        <w:t xml:space="preserve"> adds</w:t>
      </w:r>
      <w:r w:rsidR="00255D50" w:rsidRPr="002F5DC5">
        <w:rPr>
          <w:rStyle w:val="FootnoteReference"/>
          <w:rFonts w:ascii="Bookman Old Style" w:hAnsi="Bookman Old Style"/>
        </w:rPr>
        <w:footnoteReference w:id="182"/>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w:t>
      </w:r>
      <w:proofErr w:type="gramStart"/>
      <w:r w:rsidRPr="002F5DC5">
        <w:rPr>
          <w:rFonts w:ascii="Bookman Old Style" w:hAnsi="Bookman Old Style"/>
        </w:rPr>
        <w:t>elevated, and</w:t>
      </w:r>
      <w:proofErr w:type="gramEnd"/>
      <w:r w:rsidRPr="002F5DC5">
        <w:rPr>
          <w:rFonts w:ascii="Bookman Old Style" w:hAnsi="Bookman Old Style"/>
        </w:rPr>
        <w:t xml:space="preserve">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John </w:t>
      </w:r>
      <w:proofErr w:type="spellStart"/>
      <w:r w:rsidR="005D4BFF" w:rsidRPr="002F5DC5">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 xml:space="preserve">o translate one </w:t>
      </w:r>
      <w:proofErr w:type="gramStart"/>
      <w:r w:rsidR="005D4BFF" w:rsidRPr="002F5DC5">
        <w:rPr>
          <w:rFonts w:ascii="Bookman Old Style" w:hAnsi="Bookman Old Style"/>
        </w:rPr>
        <w:t>word, and</w:t>
      </w:r>
      <w:proofErr w:type="gramEnd"/>
      <w:r w:rsidR="005D4BFF" w:rsidRPr="002F5DC5">
        <w:rPr>
          <w:rFonts w:ascii="Bookman Old Style" w:hAnsi="Bookman Old Style"/>
        </w:rPr>
        <w:t xml:space="preserve">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w:t>
      </w:r>
      <w:proofErr w:type="gramStart"/>
      <w:r w:rsidR="005D4BFF" w:rsidRPr="002F5DC5">
        <w:rPr>
          <w:rFonts w:ascii="Bookman Old Style" w:hAnsi="Bookman Old Style"/>
        </w:rPr>
        <w:t>objections, and</w:t>
      </w:r>
      <w:proofErr w:type="gramEnd"/>
      <w:r w:rsidR="005D4BFF" w:rsidRPr="002F5DC5">
        <w:rPr>
          <w:rFonts w:ascii="Bookman Old Style" w:hAnsi="Bookman Old Style"/>
        </w:rPr>
        <w:t xml:space="preserve">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2F5DC5">
        <w:rPr>
          <w:rFonts w:ascii="Bookman Old Style" w:hAnsi="Bookman Old Style"/>
        </w:rPr>
        <w:lastRenderedPageBreak/>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lism of the "Oracles." The "Edinburgh Review"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77753"/>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77754"/>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2F5DC5">
        <w:rPr>
          <w:rFonts w:ascii="Bookman Old Style" w:hAnsi="Bookman Old Style"/>
        </w:rPr>
        <w:t>Pantaenus</w:t>
      </w:r>
      <w:proofErr w:type="spellEnd"/>
      <w:r w:rsidR="00DB5010" w:rsidRPr="002F5DC5">
        <w:rPr>
          <w:rFonts w:ascii="Bookman Old Style" w:hAnsi="Bookman Old Style"/>
        </w:rPr>
        <w:t xml:space="preserve">, but we </w:t>
      </w:r>
      <w:proofErr w:type="spellStart"/>
      <w:r w:rsidR="00DB5010" w:rsidRPr="002F5DC5">
        <w:rPr>
          <w:rFonts w:ascii="Bookman Old Style" w:hAnsi="Bookman Old Style"/>
        </w:rPr>
        <w:t>Iearn</w:t>
      </w:r>
      <w:proofErr w:type="spellEnd"/>
      <w:r w:rsidR="00DB5010" w:rsidRPr="002F5DC5">
        <w:rPr>
          <w:rFonts w:ascii="Bookman Old Style" w:hAnsi="Bookman Old Style"/>
        </w:rPr>
        <w:t xml:space="preserve">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2F5DC5">
        <w:rPr>
          <w:rFonts w:ascii="Bookman Old Style" w:hAnsi="Bookman Old Style"/>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2F5DC5">
        <w:rPr>
          <w:rFonts w:ascii="Bookman Old Style" w:hAnsi="Bookman Old Style"/>
        </w:rPr>
        <w:t>Pantaenus</w:t>
      </w:r>
      <w:proofErr w:type="spellEnd"/>
      <w:r w:rsidRPr="002F5DC5">
        <w:rPr>
          <w:rFonts w:ascii="Bookman Old Style" w:hAnsi="Bookman Old Style"/>
        </w:rPr>
        <w:t>, Clement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 xml:space="preserve">AD 189 </w:t>
      </w:r>
      <w:proofErr w:type="spellStart"/>
      <w:r w:rsidRPr="002F5DC5">
        <w:rPr>
          <w:rFonts w:ascii="Bookman Old Style" w:hAnsi="Bookman Old Style"/>
        </w:rPr>
        <w:t>Pantae</w:t>
      </w:r>
      <w:r w:rsidR="00091D96" w:rsidRPr="002F5DC5">
        <w:rPr>
          <w:rFonts w:ascii="Bookman Old Style" w:hAnsi="Bookman Old Style"/>
        </w:rPr>
        <w:t>nus</w:t>
      </w:r>
      <w:proofErr w:type="spellEnd"/>
      <w:r w:rsidR="00091D96" w:rsidRPr="002F5DC5">
        <w:rPr>
          <w:rFonts w:ascii="Bookman Old Style" w:hAnsi="Bookman Old Style"/>
        </w:rPr>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Pr="002F5DC5">
        <w:rPr>
          <w:rFonts w:ascii="Bookman Old Style" w:hAnsi="Bookman Old Style"/>
        </w:rPr>
        <w:t>Pantaenus</w:t>
      </w:r>
      <w:proofErr w:type="spellEnd"/>
      <w:r w:rsidRPr="002F5DC5">
        <w:rPr>
          <w:rFonts w:ascii="Bookman Old Style" w:hAnsi="Bookman Old Style"/>
        </w:rPr>
        <w:t xml:space="preserve">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5" w:name="_Toc118377755"/>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 xml:space="preserve">y their great predecessor,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w:t>
      </w:r>
      <w:proofErr w:type="spellStart"/>
      <w:r w:rsidR="00DB5010" w:rsidRPr="002F5DC5">
        <w:rPr>
          <w:rFonts w:ascii="Bookman Old Style" w:hAnsi="Bookman Old Style"/>
        </w:rPr>
        <w:t>Abulpharag</w:t>
      </w:r>
      <w:r w:rsidRPr="002F5DC5">
        <w:rPr>
          <w:rFonts w:ascii="Bookman Old Style" w:hAnsi="Bookman Old Style"/>
        </w:rPr>
        <w:t>ius</w:t>
      </w:r>
      <w:proofErr w:type="spellEnd"/>
      <w:r w:rsidRPr="002F5DC5">
        <w:rPr>
          <w:rFonts w:ascii="Bookman Old Style" w:hAnsi="Bookman Old Style"/>
        </w:rPr>
        <w:t xml:space="preserve"> relates that John the Grammarian,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w:t>
      </w:r>
      <w:proofErr w:type="gramStart"/>
      <w:r w:rsidR="00091D96" w:rsidRPr="002F5DC5">
        <w:rPr>
          <w:rFonts w:ascii="Bookman Old Style" w:hAnsi="Bookman Old Style"/>
        </w:rPr>
        <w:t>Athanasius</w:t>
      </w:r>
      <w:proofErr w:type="gramEnd"/>
      <w:r w:rsidR="00091D96" w:rsidRPr="002F5DC5">
        <w:rPr>
          <w:rFonts w:ascii="Bookman Old Style" w:hAnsi="Bookman Old Style"/>
        </w:rPr>
        <w:t xml:space="preserve">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90"/>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1"/>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w:t>
      </w:r>
      <w:proofErr w:type="gramStart"/>
      <w:r w:rsidR="006B1CA3" w:rsidRPr="002F5DC5">
        <w:rPr>
          <w:rFonts w:ascii="Bookman Old Style" w:hAnsi="Bookman Old Style"/>
        </w:rPr>
        <w:t>he</w:t>
      </w:r>
      <w:proofErr w:type="gramEnd"/>
      <w:r w:rsidR="006B1CA3" w:rsidRPr="002F5DC5">
        <w:rPr>
          <w:rFonts w:ascii="Bookman Old Style" w:hAnsi="Bookman Old Style"/>
        </w:rPr>
        <w:t xml:space="preserv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proofErr w:type="spellStart"/>
      <w:r w:rsidRPr="002F5DC5">
        <w:rPr>
          <w:rFonts w:ascii="Bookman Old Style" w:hAnsi="Bookman Old Style"/>
        </w:rPr>
        <w:t>railer</w:t>
      </w:r>
      <w:proofErr w:type="spellEnd"/>
      <w:r w:rsidRPr="002F5DC5">
        <w:rPr>
          <w:rFonts w:ascii="Bookman Old Style" w:hAnsi="Bookman Old Style"/>
        </w:rPr>
        <w:t>,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proofErr w:type="spellStart"/>
      <w:r w:rsidR="006B1CA3" w:rsidRPr="002F5DC5">
        <w:rPr>
          <w:rFonts w:ascii="Bookman Old Style" w:hAnsi="Bookman Old Style"/>
          <w:i/>
        </w:rPr>
        <w:t>miseriun</w:t>
      </w:r>
      <w:proofErr w:type="spellEnd"/>
      <w:r w:rsidR="006B1CA3" w:rsidRPr="002F5DC5">
        <w:rPr>
          <w:rFonts w:ascii="Bookman Old Style" w:hAnsi="Bookman Old Style"/>
          <w:i/>
        </w:rPr>
        <w:t xml:space="preserve"> </w:t>
      </w:r>
      <w:proofErr w:type="spellStart"/>
      <w:r w:rsidR="006B1CA3" w:rsidRPr="002F5DC5">
        <w:rPr>
          <w:rFonts w:ascii="Bookman Old Style" w:hAnsi="Bookman Old Style"/>
          <w:i/>
        </w:rPr>
        <w:t>Aristotelem</w:t>
      </w:r>
      <w:proofErr w:type="spellEnd"/>
      <w:r w:rsidR="006B1CA3" w:rsidRPr="002F5DC5">
        <w:rPr>
          <w:rFonts w:ascii="Bookman Old Style" w:hAnsi="Bookman Old Style"/>
        </w:rPr>
        <w:t>!’ Such arguments as Tertullian's I</w:t>
      </w:r>
      <w:r w:rsidRPr="002F5DC5">
        <w:rPr>
          <w:rFonts w:ascii="Bookman Old Style" w:hAnsi="Bookman Old Style"/>
        </w:rPr>
        <w:t xml:space="preserve">t </w:t>
      </w:r>
      <w:proofErr w:type="gramStart"/>
      <w:r w:rsidRPr="002F5DC5">
        <w:rPr>
          <w:rFonts w:ascii="Bookman Old Style" w:hAnsi="Bookman Old Style"/>
        </w:rPr>
        <w:t>is</w:t>
      </w:r>
      <w:proofErr w:type="gramEnd"/>
      <w:r w:rsidRPr="002F5DC5">
        <w:rPr>
          <w:rFonts w:ascii="Bookman Old Style" w:hAnsi="Bookman Old Style"/>
        </w:rPr>
        <w:t xml:space="preserve">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 xml:space="preserve">of </w:t>
      </w:r>
      <w:proofErr w:type="gramStart"/>
      <w:r w:rsidRPr="002F5DC5">
        <w:rPr>
          <w:rFonts w:ascii="Bookman Old Style" w:hAnsi="Bookman Old Style"/>
        </w:rPr>
        <w:t>culture, and</w:t>
      </w:r>
      <w:proofErr w:type="gramEnd"/>
      <w:r w:rsidRPr="002F5DC5">
        <w:rPr>
          <w:rFonts w:ascii="Bookman Old Style" w:hAnsi="Bookman Old Style"/>
        </w:rPr>
        <w:t xml:space="preserve">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 xml:space="preserve">of Mary, where many were </w:t>
      </w:r>
      <w:proofErr w:type="gramStart"/>
      <w:r w:rsidR="006B1CA3" w:rsidRPr="002F5DC5">
        <w:rPr>
          <w:rFonts w:ascii="Bookman Old Style" w:hAnsi="Bookman Old Style"/>
        </w:rPr>
        <w:t>gath</w:t>
      </w:r>
      <w:r w:rsidRPr="002F5DC5">
        <w:rPr>
          <w:rFonts w:ascii="Bookman Old Style" w:hAnsi="Bookman Old Style"/>
        </w:rPr>
        <w:t>ered together</w:t>
      </w:r>
      <w:proofErr w:type="gramEnd"/>
      <w:r w:rsidRPr="002F5DC5">
        <w:rPr>
          <w:rFonts w:ascii="Bookman Old Style" w:hAnsi="Bookman Old Style"/>
        </w:rPr>
        <w:t xml:space="preserve">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2"/>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77756"/>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 xml:space="preserve">ius Clemens, Clemens </w:t>
      </w:r>
      <w:proofErr w:type="spellStart"/>
      <w:r w:rsidR="006416A5" w:rsidRPr="002F5DC5">
        <w:rPr>
          <w:rFonts w:ascii="Bookman Old Style" w:hAnsi="Bookman Old Style"/>
        </w:rPr>
        <w:t>Alexandrin</w:t>
      </w:r>
      <w:r w:rsidRPr="002F5DC5">
        <w:rPr>
          <w:rFonts w:ascii="Bookman Old Style" w:hAnsi="Bookman Old Style"/>
        </w:rPr>
        <w:t>us</w:t>
      </w:r>
      <w:proofErr w:type="spellEnd"/>
      <w:r w:rsidRPr="002F5DC5">
        <w:rPr>
          <w:rFonts w:ascii="Bookman Old Style" w:hAnsi="Bookman Old Style"/>
        </w:rPr>
        <w:t xml:space="preserve">,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F5DC5">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proofErr w:type="gramStart"/>
      <w:r w:rsidRPr="002F5DC5">
        <w:rPr>
          <w:rFonts w:ascii="Bookman Old Style" w:hAnsi="Bookman Old Style"/>
        </w:rPr>
        <w:t>fled, and</w:t>
      </w:r>
      <w:proofErr w:type="gramEnd"/>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 xml:space="preserve">turned to </w:t>
      </w:r>
      <w:proofErr w:type="gramStart"/>
      <w:r w:rsidRPr="002F5DC5">
        <w:rPr>
          <w:rFonts w:ascii="Bookman Old Style" w:hAnsi="Bookman Old Style"/>
        </w:rPr>
        <w:t>Alexandri</w:t>
      </w:r>
      <w:r w:rsidR="006416A5" w:rsidRPr="002F5DC5">
        <w:rPr>
          <w:rFonts w:ascii="Bookman Old Style" w:hAnsi="Bookman Old Style"/>
        </w:rPr>
        <w:t>a, but</w:t>
      </w:r>
      <w:proofErr w:type="gramEnd"/>
      <w:r w:rsidR="006416A5" w:rsidRPr="002F5DC5">
        <w:rPr>
          <w:rFonts w:ascii="Bookman Old Style" w:hAnsi="Bookman Old Style"/>
        </w:rPr>
        <w:t xml:space="preserve">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93"/>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F5DC5">
        <w:rPr>
          <w:rFonts w:ascii="Bookman Old Style" w:hAnsi="Bookman Old Style"/>
        </w:rPr>
        <w:t>Clement's</w:t>
      </w:r>
      <w:proofErr w:type="spellEnd"/>
      <w:r w:rsidR="006A2B68" w:rsidRPr="002F5DC5">
        <w:rPr>
          <w:rFonts w:ascii="Bookman Old Style" w:hAnsi="Bookman Old Style"/>
        </w:rPr>
        <w:t xml:space="preserve">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4"/>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w:t>
      </w:r>
      <w:proofErr w:type="gramStart"/>
      <w:r w:rsidR="006A2B68" w:rsidRPr="002F5DC5">
        <w:rPr>
          <w:rFonts w:ascii="Bookman Old Style" w:hAnsi="Bookman Old Style"/>
        </w:rPr>
        <w:t>of, but</w:t>
      </w:r>
      <w:proofErr w:type="gramEnd"/>
      <w:r w:rsidR="006A2B68" w:rsidRPr="002F5DC5">
        <w:rPr>
          <w:rFonts w:ascii="Bookman Old Style" w:hAnsi="Bookman Old Style"/>
        </w:rPr>
        <w:t xml:space="preserve">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F5DC5">
        <w:rPr>
          <w:rFonts w:ascii="Bookman Old Style" w:hAnsi="Bookman Old Style"/>
        </w:rPr>
        <w:t>Pantaenus</w:t>
      </w:r>
      <w:proofErr w:type="spellEnd"/>
      <w:r w:rsidR="006A2B68" w:rsidRPr="002F5DC5">
        <w:rPr>
          <w:rFonts w:ascii="Bookman Old Style" w:hAnsi="Bookman Old Style"/>
        </w:rPr>
        <w:t xml:space="preserve">,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5"/>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w:t>
      </w:r>
      <w:proofErr w:type="gramStart"/>
      <w:r w:rsidR="006A2B68" w:rsidRPr="002F5DC5">
        <w:rPr>
          <w:rFonts w:ascii="Bookman Old Style" w:hAnsi="Bookman Old Style"/>
        </w:rPr>
        <w:t xml:space="preserve">the human </w:t>
      </w:r>
      <w:r w:rsidRPr="002F5DC5">
        <w:rPr>
          <w:rFonts w:ascii="Bookman Old Style" w:hAnsi="Bookman Old Style"/>
        </w:rPr>
        <w:t>race</w:t>
      </w:r>
      <w:proofErr w:type="gramEnd"/>
      <w:r w:rsidRPr="002F5DC5">
        <w:rPr>
          <w:rFonts w:ascii="Bookman Old Style" w:hAnsi="Bookman Old Style"/>
        </w:rPr>
        <w:t xml:space="preserv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6"/>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7"/>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 xml:space="preserve">For all things are ordered both universally and </w:t>
      </w:r>
      <w:proofErr w:type="gramStart"/>
      <w:r w:rsidRPr="002F5DC5">
        <w:rPr>
          <w:rFonts w:ascii="Bookman Old Style" w:hAnsi="Bookman Old Style"/>
        </w:rPr>
        <w:t>in particular by</w:t>
      </w:r>
      <w:proofErr w:type="gramEnd"/>
      <w:r w:rsidRPr="002F5DC5">
        <w:rPr>
          <w:rFonts w:ascii="Bookman Old Style" w:hAnsi="Bookman Old Style"/>
        </w:rPr>
        <w:t xml:space="preserve">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w:t>
      </w:r>
      <w:proofErr w:type="gramStart"/>
      <w:r w:rsidRPr="002F5DC5">
        <w:rPr>
          <w:rFonts w:ascii="Bookman Old Style" w:hAnsi="Bookman Old Style"/>
        </w:rPr>
        <w:t>So</w:t>
      </w:r>
      <w:proofErr w:type="gramEnd"/>
      <w:r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proofErr w:type="spellStart"/>
      <w:r w:rsidR="00BC003A" w:rsidRPr="002F5DC5">
        <w:rPr>
          <w:rFonts w:ascii="Bookman Old Style" w:hAnsi="Bookman Old Style"/>
          <w:i/>
        </w:rPr>
        <w:t>pade</w:t>
      </w:r>
      <w:r w:rsidRPr="002F5DC5">
        <w:rPr>
          <w:rFonts w:ascii="Bookman Old Style" w:hAnsi="Bookman Old Style"/>
          <w:i/>
        </w:rPr>
        <w:t>iai</w:t>
      </w:r>
      <w:proofErr w:type="spellEnd"/>
      <w:r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Pr="002F5DC5">
        <w:rPr>
          <w:rFonts w:ascii="Bookman Old Style" w:hAnsi="Bookman Old Style"/>
          <w:i/>
        </w:rPr>
        <w:t>kolaseis</w:t>
      </w:r>
      <w:proofErr w:type="spellEnd"/>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2F5DC5">
        <w:rPr>
          <w:rFonts w:ascii="Bookman Old Style" w:hAnsi="Bookman Old Style"/>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8"/>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9"/>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0"/>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201"/>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proofErr w:type="spellStart"/>
      <w:r w:rsidRPr="002F5DC5">
        <w:rPr>
          <w:rFonts w:ascii="Bookman Old Style" w:hAnsi="Bookman Old Style"/>
          <w:i/>
        </w:rPr>
        <w:t>kolasis</w:t>
      </w:r>
      <w:proofErr w:type="spellEnd"/>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proofErr w:type="spellStart"/>
      <w:r w:rsidRPr="002F5DC5">
        <w:rPr>
          <w:rFonts w:ascii="Bookman Old Style" w:hAnsi="Bookman Old Style"/>
          <w:i/>
        </w:rPr>
        <w:t>timoria</w:t>
      </w:r>
      <w:proofErr w:type="spellEnd"/>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202"/>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proofErr w:type="spellStart"/>
      <w:r w:rsidRPr="002F5DC5">
        <w:rPr>
          <w:rFonts w:ascii="Bookman Old Style" w:hAnsi="Bookman Old Style"/>
          <w:i/>
        </w:rPr>
        <w:t>paidenomenos</w:t>
      </w:r>
      <w:proofErr w:type="spellEnd"/>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203"/>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4"/>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 xml:space="preserve">final state of </w:t>
      </w:r>
      <w:proofErr w:type="gramStart"/>
      <w:r w:rsidRPr="002F5DC5">
        <w:rPr>
          <w:rFonts w:ascii="Bookman Old Style" w:hAnsi="Bookman Old Style"/>
        </w:rPr>
        <w:t>perfe</w:t>
      </w:r>
      <w:r w:rsidR="00F53824" w:rsidRPr="002F5DC5">
        <w:rPr>
          <w:rFonts w:ascii="Bookman Old Style" w:hAnsi="Bookman Old Style"/>
        </w:rPr>
        <w:t>ction</w:t>
      </w:r>
      <w:proofErr w:type="gramEnd"/>
      <w:r w:rsidR="00F53824" w:rsidRPr="002F5DC5">
        <w:rPr>
          <w:rFonts w:ascii="Bookman Old Style" w:hAnsi="Bookman Old Style"/>
        </w:rPr>
        <w:t xml:space="preserve">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proofErr w:type="spellStart"/>
      <w:r w:rsidRPr="002F5DC5">
        <w:rPr>
          <w:rFonts w:ascii="Bookman Old Style" w:hAnsi="Bookman Old Style"/>
        </w:rPr>
        <w:t>purgating</w:t>
      </w:r>
      <w:proofErr w:type="spellEnd"/>
      <w:r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 xml:space="preserve">This passage would indicate the fraternity of feeling between these </w:t>
      </w:r>
      <w:proofErr w:type="gramStart"/>
      <w:r w:rsidRPr="002F5DC5">
        <w:rPr>
          <w:rFonts w:ascii="Bookman Old Style" w:hAnsi="Bookman Old Style"/>
        </w:rPr>
        <w:t>three</w:t>
      </w:r>
      <w:r w:rsidR="00F53824" w:rsidRPr="002F5DC5">
        <w:rPr>
          <w:rFonts w:ascii="Bookman Old Style" w:hAnsi="Bookman Old Style"/>
        </w:rPr>
        <w:t>, and</w:t>
      </w:r>
      <w:proofErr w:type="gramEnd"/>
      <w:r w:rsidR="00F53824" w:rsidRPr="002F5DC5">
        <w:rPr>
          <w:rFonts w:ascii="Bookman Old Style" w:hAnsi="Bookman Old Style"/>
        </w:rPr>
        <w:t xml:space="preserve">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w:t>
      </w:r>
      <w:proofErr w:type="gramStart"/>
      <w:r w:rsidR="00F53824" w:rsidRPr="002F5DC5">
        <w:rPr>
          <w:rFonts w:ascii="Bookman Old Style" w:hAnsi="Bookman Old Style"/>
        </w:rPr>
        <w:t>sun, and</w:t>
      </w:r>
      <w:proofErr w:type="gramEnd"/>
      <w:r w:rsidR="00F53824" w:rsidRPr="002F5DC5">
        <w:rPr>
          <w:rFonts w:ascii="Bookman Old Style" w:hAnsi="Bookman Old Style"/>
        </w:rPr>
        <w:t xml:space="preserve">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5"/>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xml:space="preserve">; he hates sin with unlimited </w:t>
      </w:r>
      <w:proofErr w:type="gramStart"/>
      <w:r w:rsidRPr="002F5DC5">
        <w:rPr>
          <w:rFonts w:ascii="Bookman Old Style" w:hAnsi="Bookman Old Style"/>
        </w:rPr>
        <w:t>hat</w:t>
      </w:r>
      <w:r w:rsidR="00F53824" w:rsidRPr="002F5DC5">
        <w:rPr>
          <w:rFonts w:ascii="Bookman Old Style" w:hAnsi="Bookman Old Style"/>
        </w:rPr>
        <w:t>red, but</w:t>
      </w:r>
      <w:proofErr w:type="gramEnd"/>
      <w:r w:rsidR="00F53824" w:rsidRPr="002F5DC5">
        <w:rPr>
          <w:rFonts w:ascii="Bookman Old Style" w:hAnsi="Bookman Old Style"/>
        </w:rPr>
        <w:t xml:space="preserve">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6"/>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2F5DC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7"/>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2F5DC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 xml:space="preserve">ve are </w:t>
      </w:r>
      <w:proofErr w:type="gramStart"/>
      <w:r w:rsidRPr="002F5DC5">
        <w:rPr>
          <w:rFonts w:ascii="Bookman Old Style" w:hAnsi="Bookman Old Style"/>
        </w:rPr>
        <w:t>in reality the</w:t>
      </w:r>
      <w:proofErr w:type="gramEnd"/>
      <w:r w:rsidRPr="002F5DC5">
        <w:rPr>
          <w:rFonts w:ascii="Bookman Old Style" w:hAnsi="Bookman Old Style"/>
        </w:rPr>
        <w:t xml:space="preserv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8"/>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iv:14,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0"/>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1"/>
      </w:r>
    </w:p>
    <w:p w14:paraId="0D68CA62" w14:textId="77777777" w:rsidR="00091D96" w:rsidRPr="002F5DC5" w:rsidRDefault="00F4797A" w:rsidP="00F4797A">
      <w:pPr>
        <w:ind w:firstLine="720"/>
        <w:rPr>
          <w:rFonts w:ascii="Bookman Old Style" w:hAnsi="Bookman Old Style"/>
        </w:rPr>
      </w:pPr>
      <w:proofErr w:type="spellStart"/>
      <w:r w:rsidRPr="002F5DC5">
        <w:rPr>
          <w:rFonts w:ascii="Bookman Old Style" w:hAnsi="Bookman Old Style"/>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2"/>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Farrar gives </w:t>
      </w:r>
      <w:proofErr w:type="spellStart"/>
      <w:r w:rsidRPr="002F5DC5">
        <w:rPr>
          <w:rFonts w:ascii="Bookman Old Style" w:hAnsi="Bookman Old Style"/>
        </w:rPr>
        <w:t>Clement's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2F5DC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3"/>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4"/>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w:t>
      </w:r>
      <w:proofErr w:type="spellStart"/>
      <w:r w:rsidR="00D71C14" w:rsidRPr="002F5DC5">
        <w:rPr>
          <w:rFonts w:ascii="Bookman Old Style" w:hAnsi="Bookman Old Style"/>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2F5DC5">
        <w:rPr>
          <w:rFonts w:ascii="Bookman Old Style" w:hAnsi="Bookman Old Style"/>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proofErr w:type="gramStart"/>
      <w:r w:rsidR="00D71C14" w:rsidRPr="002F5DC5">
        <w:rPr>
          <w:rFonts w:ascii="Bookman Old Style" w:hAnsi="Bookman Old Style"/>
        </w:rPr>
        <w:t>fact</w:t>
      </w:r>
      <w:proofErr w:type="gramEnd"/>
      <w:r w:rsidR="00D71C14" w:rsidRPr="002F5DC5">
        <w:rPr>
          <w:rFonts w:ascii="Bookman Old Style" w:hAnsi="Bookman Old Style"/>
        </w:rPr>
        <w:t xml:space="preserve">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77757"/>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 xml:space="preserve">202,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5"/>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6"/>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7"/>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8"/>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9"/>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2F5DC5">
        <w:rPr>
          <w:rFonts w:ascii="Bookman Old Style" w:hAnsi="Bookman Old Style"/>
        </w:rPr>
        <w:t>Celsus</w:t>
      </w:r>
      <w:proofErr w:type="spellEnd"/>
      <w:r w:rsidR="00986F4A" w:rsidRPr="002F5DC5">
        <w:rPr>
          <w:rFonts w:ascii="Bookman Old Style" w:hAnsi="Bookman Old Style"/>
        </w:rPr>
        <w:t xml:space="preserve">,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0"/>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21"/>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2"/>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2F5DC5">
        <w:rPr>
          <w:rFonts w:ascii="Bookman Old Style" w:hAnsi="Bookman Old Style"/>
        </w:rPr>
        <w:t>Heraclas</w:t>
      </w:r>
      <w:proofErr w:type="spellEnd"/>
      <w:r w:rsidR="00986F4A" w:rsidRPr="002F5DC5">
        <w:rPr>
          <w:rFonts w:ascii="Bookman Old Style" w:hAnsi="Bookman Old Style"/>
        </w:rPr>
        <w:t xml:space="preserve">,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w:t>
      </w:r>
      <w:proofErr w:type="spellStart"/>
      <w:r w:rsidR="00986F4A" w:rsidRPr="002F5DC5">
        <w:rPr>
          <w:rFonts w:ascii="Bookman Old Style" w:hAnsi="Bookman Old Style"/>
        </w:rPr>
        <w:t>Heraclas</w:t>
      </w:r>
      <w:proofErr w:type="spellEnd"/>
      <w:r w:rsidR="00986F4A" w:rsidRPr="002F5DC5">
        <w:rPr>
          <w:rFonts w:ascii="Bookman Old Style" w:hAnsi="Bookman Old Style"/>
        </w:rPr>
        <w:t xml:space="preserve">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w:t>
      </w:r>
      <w:proofErr w:type="gramStart"/>
      <w:r w:rsidR="00986F4A" w:rsidRPr="002F5DC5">
        <w:rPr>
          <w:rFonts w:ascii="Bookman Old Style" w:hAnsi="Bookman Old Style"/>
        </w:rPr>
        <w:t>cross ,</w:t>
      </w:r>
      <w:proofErr w:type="gramEnd"/>
      <w:r w:rsidR="00986F4A" w:rsidRPr="002F5DC5">
        <w:rPr>
          <w:rFonts w:ascii="Bookman Old Style" w:hAnsi="Bookman Old Style"/>
        </w:rPr>
        <w:t xml:space="preserve">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23"/>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4"/>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xml:space="preserve">," or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 xml:space="preserve">De </w:t>
      </w:r>
      <w:proofErr w:type="spellStart"/>
      <w:r w:rsidRPr="002F5DC5">
        <w:rPr>
          <w:rFonts w:ascii="Bookman Old Style" w:hAnsi="Bookman Old Style"/>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5"/>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2F5DC5">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Origen's ''Against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with the Latin version of </w:t>
      </w:r>
      <w:proofErr w:type="spellStart"/>
      <w:r w:rsidR="00CE2A68"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 xml:space="preserve">reat discrepancies Indeed, </w:t>
      </w:r>
      <w:proofErr w:type="spellStart"/>
      <w:r w:rsidR="00CE2A68" w:rsidRPr="002F5DC5">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6"/>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7"/>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w:t>
      </w:r>
      <w:proofErr w:type="spellStart"/>
      <w:r w:rsidRPr="002F5DC5">
        <w:rPr>
          <w:rFonts w:ascii="Bookman Old Style" w:hAnsi="Bookman Old Style"/>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8"/>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77758"/>
      <w:r w:rsidRPr="002F5DC5">
        <w:rPr>
          <w:rFonts w:ascii="Bookman Old Style" w:hAnsi="Bookman Old Style"/>
        </w:rPr>
        <w:lastRenderedPageBreak/>
        <w:t>Quotation of Origen's Language.</w:t>
      </w:r>
      <w:bookmarkEnd w:id="48"/>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9"/>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30"/>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31"/>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2"/>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2F5DC5">
        <w:rPr>
          <w:rFonts w:ascii="Bookman Old Style" w:hAnsi="Bookman Old Style"/>
        </w:rPr>
        <w:t>aeon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would be in some one of the </w:t>
      </w:r>
      <w:proofErr w:type="spellStart"/>
      <w:r w:rsidRPr="002F5DC5">
        <w:rPr>
          <w:rFonts w:ascii="Bookman Old Style" w:hAnsi="Bookman Old Style"/>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"De </w:t>
      </w:r>
      <w:proofErr w:type="spellStart"/>
      <w:r w:rsidR="006E10F7" w:rsidRPr="002F5DC5">
        <w:rPr>
          <w:rFonts w:ascii="Bookman Old Style" w:hAnsi="Bookman Old Style"/>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3"/>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4"/>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5"/>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6"/>
      </w:r>
    </w:p>
    <w:p w14:paraId="0D68CA8F" w14:textId="77777777" w:rsidR="00091D96" w:rsidRPr="002F5DC5" w:rsidRDefault="00091D96" w:rsidP="0047774A">
      <w:pPr>
        <w:pStyle w:val="Heading2"/>
        <w:rPr>
          <w:rFonts w:ascii="Bookman Old Style" w:hAnsi="Bookman Old Style"/>
        </w:rPr>
      </w:pPr>
      <w:bookmarkStart w:id="49" w:name="_Toc118377759"/>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7"/>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8"/>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9"/>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40"/>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41"/>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42"/>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43"/>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4"/>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6"/>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7"/>
      </w:r>
    </w:p>
    <w:p w14:paraId="0D68CA9D" w14:textId="77777777" w:rsidR="00091D96" w:rsidRPr="002F5DC5" w:rsidRDefault="00091D96" w:rsidP="0047774A">
      <w:pPr>
        <w:pStyle w:val="Heading2"/>
        <w:rPr>
          <w:rFonts w:ascii="Bookman Old Style" w:hAnsi="Bookman Old Style"/>
        </w:rPr>
      </w:pPr>
      <w:bookmarkStart w:id="50" w:name="_Toc118377760"/>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8"/>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9"/>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0"/>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1"/>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2"/>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77761"/>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3"/>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4"/>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5"/>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6"/>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77762"/>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7"/>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8"/>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77763"/>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2"/>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3"/>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77764"/>
      <w:r w:rsidRPr="002F5DC5">
        <w:rPr>
          <w:rFonts w:ascii="Bookman Old Style" w:hAnsi="Bookman Old Style"/>
        </w:rPr>
        <w:lastRenderedPageBreak/>
        <w:t>12. The Eulogists of Origen.</w:t>
      </w:r>
      <w:bookmarkEnd w:id="54"/>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4"/>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5"/>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 xml:space="preserve">Christianity, </w:t>
      </w:r>
      <w:proofErr w:type="gramStart"/>
      <w:r w:rsidRPr="002F5DC5">
        <w:rPr>
          <w:rFonts w:ascii="Bookman Old Style" w:hAnsi="Bookman Old Style"/>
        </w:rPr>
        <w:t>and in pa</w:t>
      </w:r>
      <w:r w:rsidR="006A34A8" w:rsidRPr="002F5DC5">
        <w:rPr>
          <w:rFonts w:ascii="Bookman Old Style" w:hAnsi="Bookman Old Style"/>
        </w:rPr>
        <w:t>rticular, of</w:t>
      </w:r>
      <w:proofErr w:type="gramEnd"/>
      <w:r w:rsidR="006A34A8" w:rsidRPr="002F5DC5">
        <w:rPr>
          <w:rFonts w:ascii="Bookman Old Style" w:hAnsi="Bookman Old Style"/>
        </w:rPr>
        <w:t xml:space="preserve"> free intellectual theology."</w:t>
      </w:r>
      <w:r w:rsidR="006A34A8" w:rsidRPr="002F5DC5">
        <w:rPr>
          <w:rStyle w:val="FootnoteReference"/>
          <w:rFonts w:ascii="Bookman Old Style" w:hAnsi="Bookman Old Style"/>
        </w:rPr>
        <w:footnoteReference w:id="266"/>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7"/>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8"/>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9"/>
      </w:r>
      <w:r w:rsidR="001730C7" w:rsidRPr="002F5DC5">
        <w:rPr>
          <w:rFonts w:ascii="Bookman Old Style" w:hAnsi="Bookman Old Style"/>
        </w:rPr>
        <w:t xml:space="preserve"> </w:t>
      </w:r>
      <w:proofErr w:type="spellStart"/>
      <w:r w:rsidR="001730C7" w:rsidRPr="002F5DC5">
        <w:rPr>
          <w:rFonts w:ascii="Bookman Old Style" w:hAnsi="Bookman Old Style"/>
        </w:rPr>
        <w:t>Plumptre</w:t>
      </w:r>
      <w:proofErr w:type="spellEnd"/>
      <w:r w:rsidR="001730C7" w:rsidRPr="002F5DC5">
        <w:rPr>
          <w:rFonts w:ascii="Bookman Old Style" w:hAnsi="Bookman Old Style"/>
        </w:rPr>
        <w:t xml:space="preserv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0"/>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w:t>
      </w:r>
      <w:proofErr w:type="spellStart"/>
      <w:r w:rsidR="001730C7" w:rsidRPr="002F5DC5">
        <w:rPr>
          <w:rFonts w:ascii="Bookman Old Style" w:hAnsi="Bookman Old Style"/>
        </w:rPr>
        <w:t>Principiis</w:t>
      </w:r>
      <w:proofErr w:type="spellEnd"/>
      <w:r w:rsidR="001730C7" w:rsidRPr="002F5DC5">
        <w:rPr>
          <w:rFonts w:ascii="Bookman Old Style" w:hAnsi="Bookman Old Style"/>
        </w:rPr>
        <w:t xml:space="preserve">,"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77765"/>
      <w:r w:rsidRPr="002F5DC5">
        <w:rPr>
          <w:rFonts w:ascii="Bookman Old Style" w:hAnsi="Bookman Old Style"/>
        </w:rPr>
        <w:lastRenderedPageBreak/>
        <w:t>13. A Third Century Group.</w:t>
      </w:r>
      <w:bookmarkEnd w:id="55"/>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2"/>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77766"/>
      <w:r w:rsidRPr="002F5DC5">
        <w:rPr>
          <w:rFonts w:ascii="Bookman Old Style" w:hAnsi="Bookman Old Style"/>
        </w:rPr>
        <w:t>Hippolytus.</w:t>
      </w:r>
      <w:bookmarkEnd w:id="56"/>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3"/>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4"/>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5"/>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77767"/>
      <w:r w:rsidRPr="002F5DC5">
        <w:rPr>
          <w:rFonts w:ascii="Bookman Old Style" w:hAnsi="Bookman Old Style"/>
        </w:rPr>
        <w:t>Theophilus.</w:t>
      </w:r>
      <w:bookmarkEnd w:id="57"/>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6"/>
      </w:r>
    </w:p>
    <w:p w14:paraId="0D68CADC" w14:textId="77777777" w:rsidR="00091D96" w:rsidRPr="002F5DC5" w:rsidRDefault="00091D96" w:rsidP="00556C34">
      <w:pPr>
        <w:pStyle w:val="Heading2"/>
        <w:rPr>
          <w:rFonts w:ascii="Bookman Old Style" w:hAnsi="Bookman Old Style"/>
        </w:rPr>
      </w:pPr>
      <w:bookmarkStart w:id="58" w:name="_Toc118377768"/>
      <w:r w:rsidRPr="002F5DC5">
        <w:rPr>
          <w:rFonts w:ascii="Bookman Old Style" w:hAnsi="Bookman Old Style"/>
        </w:rPr>
        <w:t>Tertullian.</w:t>
      </w:r>
      <w:bookmarkEnd w:id="58"/>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7"/>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79"/>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80"/>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81"/>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9" w:name="_Toc118377769"/>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2"/>
      </w:r>
    </w:p>
    <w:p w14:paraId="0D68CAE4" w14:textId="77777777" w:rsidR="00091D96" w:rsidRPr="002F5DC5" w:rsidRDefault="006A618F" w:rsidP="006A618F">
      <w:pPr>
        <w:pStyle w:val="Heading2"/>
        <w:rPr>
          <w:rFonts w:ascii="Bookman Old Style" w:hAnsi="Bookman Old Style"/>
        </w:rPr>
      </w:pPr>
      <w:bookmarkStart w:id="60" w:name="_Toc118377770"/>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83"/>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4"/>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w:t>
      </w:r>
      <w:proofErr w:type="gramStart"/>
      <w:r w:rsidR="004A3C3F" w:rsidRPr="002F5DC5">
        <w:rPr>
          <w:rFonts w:ascii="Bookman Old Style" w:hAnsi="Bookman Old Style"/>
        </w:rPr>
        <w:t xml:space="preserve">is </w:t>
      </w:r>
      <w:r w:rsidRPr="002F5DC5">
        <w:rPr>
          <w:rFonts w:ascii="Bookman Old Style" w:hAnsi="Bookman Old Style"/>
        </w:rPr>
        <w:t>this religious histori</w:t>
      </w:r>
      <w:r w:rsidR="004A3C3F" w:rsidRPr="002F5DC5">
        <w:rPr>
          <w:rFonts w:ascii="Bookman Old Style" w:hAnsi="Bookman Old Style"/>
        </w:rPr>
        <w:t>an</w:t>
      </w:r>
      <w:proofErr w:type="gramEnd"/>
      <w:r w:rsidR="004A3C3F" w:rsidRPr="002F5DC5">
        <w:rPr>
          <w:rFonts w:ascii="Bookman Old Style" w:hAnsi="Bookman Old Style"/>
        </w:rPr>
        <w:t xml:space="preserve">.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w:t>
      </w:r>
      <w:proofErr w:type="spellStart"/>
      <w:r w:rsidRPr="002F5DC5">
        <w:rPr>
          <w:rFonts w:ascii="Bookman Old Style" w:hAnsi="Bookman Old Style"/>
        </w:rPr>
        <w:t>Hagenbach</w:t>
      </w:r>
      <w:proofErr w:type="spellEnd"/>
      <w:r w:rsidRPr="002F5DC5">
        <w:rPr>
          <w:rFonts w:ascii="Bookman Old Style" w:hAnsi="Bookman Old Style"/>
        </w:rPr>
        <w:t xml:space="preserve">,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5"/>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w:t>
      </w:r>
      <w:proofErr w:type="spellStart"/>
      <w:r w:rsidR="004A3C3F" w:rsidRPr="002F5DC5">
        <w:rPr>
          <w:rFonts w:ascii="Bookman Old Style" w:hAnsi="Bookman Old Style"/>
        </w:rPr>
        <w:t>Hagenbach</w:t>
      </w:r>
      <w:proofErr w:type="spellEnd"/>
      <w:r w:rsidR="004A3C3F" w:rsidRPr="002F5DC5">
        <w:rPr>
          <w:rFonts w:ascii="Bookman Old Style" w:hAnsi="Bookman Old Style"/>
        </w:rPr>
        <w:t xml:space="preserve">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 xml:space="preserve">traces in Gregory of Nyssa; while </w:t>
      </w:r>
      <w:proofErr w:type="spellStart"/>
      <w:r w:rsidRPr="002F5DC5">
        <w:rPr>
          <w:rFonts w:ascii="Bookman Old Style" w:hAnsi="Bookman Old Style"/>
        </w:rPr>
        <w:t>Hagenbac</w:t>
      </w:r>
      <w:r w:rsidR="004A3C3F" w:rsidRPr="002F5DC5">
        <w:rPr>
          <w:rFonts w:ascii="Bookman Old Style" w:hAnsi="Bookman Old Style"/>
        </w:rPr>
        <w:t>h</w:t>
      </w:r>
      <w:proofErr w:type="spellEnd"/>
      <w:r w:rsidR="004A3C3F" w:rsidRPr="002F5DC5">
        <w:rPr>
          <w:rFonts w:ascii="Bookman Old Style" w:hAnsi="Bookman Old Style"/>
        </w:rPr>
        <w:t xml:space="preserve">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86"/>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w:t>
      </w:r>
      <w:proofErr w:type="spellStart"/>
      <w:r w:rsidR="004A3C3F" w:rsidRPr="002F5DC5">
        <w:rPr>
          <w:rFonts w:ascii="Bookman Old Style" w:hAnsi="Bookman Old Style"/>
        </w:rPr>
        <w:t>Hagenbach</w:t>
      </w:r>
      <w:proofErr w:type="spellEnd"/>
      <w:r w:rsidR="004A3C3F" w:rsidRPr="002F5DC5">
        <w:rPr>
          <w:rFonts w:ascii="Bookman Old Style" w:hAnsi="Bookman Old Style"/>
        </w:rPr>
        <w:t xml:space="preserve">,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xml:space="preserve">" </w:t>
      </w:r>
      <w:proofErr w:type="spellStart"/>
      <w:r w:rsidRPr="002F5DC5">
        <w:rPr>
          <w:rFonts w:ascii="Bookman Old Style" w:hAnsi="Bookman Old Style"/>
        </w:rPr>
        <w:t>Ha</w:t>
      </w:r>
      <w:r w:rsidR="004A3C3F" w:rsidRPr="002F5DC5">
        <w:rPr>
          <w:rFonts w:ascii="Bookman Old Style" w:hAnsi="Bookman Old Style"/>
        </w:rPr>
        <w:t>genbach</w:t>
      </w:r>
      <w:proofErr w:type="spellEnd"/>
      <w:r w:rsidR="004A3C3F" w:rsidRPr="002F5DC5">
        <w:rPr>
          <w:rFonts w:ascii="Bookman Old Style" w:hAnsi="Bookman Old Style"/>
        </w:rPr>
        <w:t xml:space="preserve">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7"/>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77771"/>
      <w:r w:rsidRPr="002F5DC5">
        <w:rPr>
          <w:rFonts w:ascii="Bookman Old Style" w:hAnsi="Bookman Old Style"/>
        </w:rPr>
        <w:lastRenderedPageBreak/>
        <w:t>14. Minor Authorities.</w:t>
      </w:r>
      <w:bookmarkEnd w:id="61"/>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8"/>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9"/>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lled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"Apology"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90"/>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 xml:space="preserve">"With </w:t>
      </w:r>
      <w:proofErr w:type="spellStart"/>
      <w:r w:rsidRPr="002F5DC5">
        <w:rPr>
          <w:rFonts w:ascii="Bookman Old Style" w:hAnsi="Bookman Old Style"/>
        </w:rPr>
        <w:t>Pamphilus</w:t>
      </w:r>
      <w:proofErr w:type="spellEnd"/>
      <w:r w:rsidRPr="002F5DC5">
        <w:rPr>
          <w:rFonts w:ascii="Bookman Old Style" w:hAnsi="Bookman Old Style"/>
        </w:rPr>
        <w:t>,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1"/>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92"/>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93"/>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5"/>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77772"/>
      <w:r w:rsidRPr="002F5DC5">
        <w:rPr>
          <w:rFonts w:ascii="Bookman Old Style" w:hAnsi="Bookman Old Style"/>
        </w:rPr>
        <w:t>Epiphanius.</w:t>
      </w:r>
      <w:bookmarkEnd w:id="62"/>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6"/>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8"/>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77773"/>
      <w:r w:rsidRPr="002F5DC5">
        <w:rPr>
          <w:rFonts w:ascii="Bookman Old Style" w:hAnsi="Bookman Old Style"/>
        </w:rPr>
        <w:lastRenderedPageBreak/>
        <w:t>15. Gregory Nazianzen.</w:t>
      </w:r>
      <w:bookmarkEnd w:id="63"/>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9"/>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0"/>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1"/>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2"/>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303"/>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4"/>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77774"/>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6"/>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7"/>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8"/>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9"/>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0"/>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 xml:space="preserve">odore of </w:t>
      </w:r>
      <w:proofErr w:type="spellStart"/>
      <w:r w:rsidRPr="002F5DC5">
        <w:rPr>
          <w:rFonts w:ascii="Bookman Old Style" w:hAnsi="Bookman Old Style"/>
        </w:rPr>
        <w:t>Mopsuestia</w:t>
      </w:r>
      <w:proofErr w:type="spellEnd"/>
      <w:r w:rsidRPr="002F5DC5">
        <w:rPr>
          <w:rFonts w:ascii="Bookman Old Style" w:hAnsi="Bookman Old Style"/>
        </w:rPr>
        <w:t>,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2"/>
      </w:r>
    </w:p>
    <w:p w14:paraId="0D68CB13" w14:textId="77777777" w:rsidR="00091D96" w:rsidRPr="002F5DC5" w:rsidRDefault="00091D96" w:rsidP="004C5AAD">
      <w:pPr>
        <w:pStyle w:val="Heading2"/>
        <w:rPr>
          <w:rFonts w:ascii="Bookman Old Style" w:hAnsi="Bookman Old Style"/>
        </w:rPr>
      </w:pPr>
      <w:bookmarkStart w:id="65" w:name="_Toc118377775"/>
      <w:r w:rsidRPr="002F5DC5">
        <w:rPr>
          <w:rFonts w:ascii="Bookman Old Style" w:hAnsi="Bookman Old Style"/>
        </w:rPr>
        <w:t>The Nestorians.</w:t>
      </w:r>
      <w:bookmarkEnd w:id="65"/>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13"/>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14"/>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6" w:name="_Toc118377776"/>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5"/>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77777"/>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6"/>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77778"/>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8"/>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9"/>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0"/>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1"/>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2"/>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77779"/>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3"/>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4"/>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5"/>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77780"/>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8"/>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0"/>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2"/>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3"/>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4"/>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5"/>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6"/>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7"/>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8"/>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9"/>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0"/>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77781"/>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77782"/>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77783"/>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1"/>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2"/>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77784"/>
      <w:r w:rsidRPr="002F5DC5">
        <w:rPr>
          <w:rFonts w:ascii="Bookman Old Style" w:hAnsi="Bookman Old Style"/>
        </w:rPr>
        <w:t>Ambrose of Milan.</w:t>
      </w:r>
      <w:bookmarkEnd w:id="74"/>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3"/>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4"/>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5"/>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6"/>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7"/>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9"/>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0"/>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1"/>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77785"/>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2"/>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77786"/>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3"/>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77787"/>
      <w:r w:rsidRPr="002F5DC5">
        <w:rPr>
          <w:rFonts w:ascii="Bookman Old Style" w:hAnsi="Bookman Old Style"/>
        </w:rPr>
        <w:t>Marius Victorinus.</w:t>
      </w:r>
      <w:bookmarkEnd w:id="77"/>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4"/>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77788"/>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proofErr w:type="gramEnd"/>
      <w:r w:rsidR="00B342DC" w:rsidRPr="002F5DC5">
        <w:rPr>
          <w:rFonts w:ascii="Bookman Old Style" w:hAnsi="Bookman Old Style"/>
        </w:rPr>
        <w:t xml:space="preserve">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5"/>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77789"/>
      <w:r w:rsidRPr="002F5DC5">
        <w:rPr>
          <w:rFonts w:ascii="Bookman Old Style" w:hAnsi="Bookman Old Style"/>
        </w:rPr>
        <w:t>John Cassian.</w:t>
      </w:r>
      <w:bookmarkEnd w:id="79"/>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6"/>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77790"/>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7"/>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77791"/>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77792"/>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8"/>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9"/>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77793"/>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77777777"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"De </w:t>
      </w:r>
      <w:proofErr w:type="spellStart"/>
      <w:r w:rsidRPr="002F5DC5">
        <w:rPr>
          <w:rFonts w:ascii="Bookman Old Style" w:hAnsi="Bookman Old Style"/>
        </w:rPr>
        <w:t>Princi</w:t>
      </w:r>
      <w:r w:rsidR="00091D96" w:rsidRPr="002F5DC5">
        <w:rPr>
          <w:rFonts w:ascii="Bookman Old Style" w:hAnsi="Bookman Old Style"/>
        </w:rPr>
        <w:t>piis</w:t>
      </w:r>
      <w:proofErr w:type="spellEnd"/>
      <w:r w:rsidR="00091D96" w:rsidRPr="002F5DC5">
        <w:rPr>
          <w:rFonts w:ascii="Bookman Old Style" w:hAnsi="Bookman Old Style"/>
        </w:rPr>
        <w:t>"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0"/>
      </w:r>
    </w:p>
    <w:p w14:paraId="6DD8401B" w14:textId="62CE97C2" w:rsidR="00085E7D" w:rsidRPr="002F5DC5" w:rsidRDefault="00085E7D" w:rsidP="00085E7D">
      <w:pPr>
        <w:pStyle w:val="Heading2"/>
        <w:rPr>
          <w:rFonts w:ascii="Bookman Old Style" w:hAnsi="Bookman Old Style"/>
        </w:rPr>
      </w:pPr>
      <w:bookmarkStart w:id="84" w:name="_Toc118377794"/>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1"/>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77795"/>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2"/>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63"/>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4"/>
      </w:r>
    </w:p>
    <w:p w14:paraId="742967E3" w14:textId="4D5E4284" w:rsidR="003134B6" w:rsidRPr="002F5DC5" w:rsidRDefault="003134B6" w:rsidP="003134B6">
      <w:pPr>
        <w:pStyle w:val="Heading2"/>
        <w:rPr>
          <w:rFonts w:ascii="Bookman Old Style" w:hAnsi="Bookman Old Style"/>
        </w:rPr>
      </w:pPr>
      <w:bookmarkStart w:id="86" w:name="_Toc118377796"/>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77797"/>
      <w:proofErr w:type="spellStart"/>
      <w:r w:rsidRPr="002F5DC5">
        <w:rPr>
          <w:rFonts w:ascii="Bookman Old Style" w:hAnsi="Bookman Old Style"/>
        </w:rPr>
        <w:t>Macarius</w:t>
      </w:r>
      <w:proofErr w:type="spellEnd"/>
      <w:r w:rsidRPr="002F5DC5">
        <w:rPr>
          <w:rFonts w:ascii="Bookman Old Style" w:hAnsi="Bookman Old Style"/>
        </w:rPr>
        <w:t>.</w:t>
      </w:r>
      <w:bookmarkEnd w:id="87"/>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77798"/>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77799"/>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5"/>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77800"/>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77801"/>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6"/>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77802"/>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7"/>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8"/>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0"/>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1"/>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2"/>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3"/>
      </w:r>
    </w:p>
    <w:p w14:paraId="0D0CDF5C" w14:textId="683B32B1" w:rsidR="003134B6" w:rsidRPr="002F5DC5" w:rsidRDefault="003134B6" w:rsidP="003134B6">
      <w:pPr>
        <w:pStyle w:val="Heading2"/>
        <w:rPr>
          <w:rFonts w:ascii="Bookman Old Style" w:hAnsi="Bookman Old Style"/>
        </w:rPr>
      </w:pPr>
      <w:bookmarkStart w:id="93" w:name="_Toc118377803"/>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4"/>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6"/>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77804"/>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7"/>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9"/>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0"/>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2"/>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3"/>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5"/>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6"/>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7"/>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8"/>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1"/>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77805"/>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7"/>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8"/>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9"/>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0"/>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1"/>
      </w:r>
    </w:p>
    <w:p w14:paraId="0D68CBAB" w14:textId="77777777" w:rsidR="00091D96" w:rsidRPr="002F5DC5" w:rsidRDefault="00091D96" w:rsidP="00FC41E0">
      <w:pPr>
        <w:pStyle w:val="Heading2"/>
        <w:rPr>
          <w:rFonts w:ascii="Bookman Old Style" w:hAnsi="Bookman Old Style"/>
        </w:rPr>
      </w:pPr>
      <w:bookmarkStart w:id="96" w:name="_Toc118377806"/>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2"/>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3"/>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4"/>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5"/>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77807"/>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6"/>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7"/>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8"/>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9"/>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0"/>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1"/>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77808"/>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2"/>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77809"/>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77810"/>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77811"/>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77812"/>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77813"/>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77814"/>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77815"/>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77816"/>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77817"/>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77818"/>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77819"/>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77820"/>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77821"/>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77822"/>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77823"/>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77824"/>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77825"/>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77826"/>
      <w:r w:rsidRPr="002F5DC5">
        <w:rPr>
          <w:rFonts w:ascii="Bookman Old Style" w:hAnsi="Bookman Old Style"/>
        </w:rPr>
        <w:lastRenderedPageBreak/>
        <w:t>What Has Changed?</w:t>
      </w:r>
      <w:bookmarkEnd w:id="116"/>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438E" w14:textId="77777777" w:rsidR="00973205" w:rsidRDefault="00973205" w:rsidP="00661298">
      <w:pPr>
        <w:spacing w:after="0" w:line="240" w:lineRule="auto"/>
      </w:pPr>
      <w:r>
        <w:separator/>
      </w:r>
    </w:p>
  </w:endnote>
  <w:endnote w:type="continuationSeparator" w:id="0">
    <w:p w14:paraId="3695A6A5" w14:textId="77777777" w:rsidR="00973205" w:rsidRDefault="00973205"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33DF" w14:textId="77777777" w:rsidR="00973205" w:rsidRDefault="00973205" w:rsidP="00661298">
      <w:pPr>
        <w:spacing w:after="0" w:line="240" w:lineRule="auto"/>
      </w:pPr>
      <w:r>
        <w:separator/>
      </w:r>
    </w:p>
  </w:footnote>
  <w:footnote w:type="continuationSeparator" w:id="0">
    <w:p w14:paraId="4BDEFC96" w14:textId="77777777" w:rsidR="00973205" w:rsidRDefault="00973205"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Aionion,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Celsus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Migne,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7777777" w:rsidR="00210409" w:rsidRDefault="00210409">
      <w:pPr>
        <w:pStyle w:val="FootnoteText"/>
      </w:pPr>
      <w:r>
        <w:rPr>
          <w:rStyle w:val="FootnoteReference"/>
        </w:rPr>
        <w:footnoteRef/>
      </w:r>
      <w:r>
        <w:t xml:space="preserve"> Robertson Hist. Ch., Vol. I, p. 90; Bingham, Vol. III, x, 5; Neander, Hist., Ch. </w:t>
      </w:r>
      <w:proofErr w:type="spellStart"/>
      <w:r>
        <w:t>Ii</w:t>
      </w:r>
      <w:proofErr w:type="spellEnd"/>
      <w:r>
        <w:t>, 227; Mosheim Com. I, p. 263; Butler’s Lives of the Saints VII pp. 55-59.</w:t>
      </w:r>
    </w:p>
  </w:footnote>
  <w:footnote w:id="188">
    <w:p w14:paraId="0D68CC96" w14:textId="77777777" w:rsidR="00210409" w:rsidRDefault="00210409">
      <w:pPr>
        <w:pStyle w:val="FootnoteText"/>
      </w:pPr>
      <w:r>
        <w:rPr>
          <w:rStyle w:val="FootnoteReference"/>
        </w:rPr>
        <w:footnoteRef/>
      </w:r>
      <w:r>
        <w:t xml:space="preserve"> Similar institutions were in Antioch, Athens, Edessa, </w:t>
      </w:r>
      <w:proofErr w:type="gramStart"/>
      <w:r>
        <w:t>Nisibis</w:t>
      </w:r>
      <w:proofErr w:type="gramEnd"/>
      <w:r>
        <w:t xml:space="preserve"> and Caesarea.</w:t>
      </w:r>
    </w:p>
  </w:footnote>
  <w:footnote w:id="189">
    <w:p w14:paraId="0D68CC97" w14:textId="77777777" w:rsidR="00210409" w:rsidRDefault="00210409">
      <w:pPr>
        <w:pStyle w:val="FootnoteText"/>
      </w:pPr>
      <w:r>
        <w:rPr>
          <w:rStyle w:val="FootnoteReference"/>
        </w:rPr>
        <w:footnoteRef/>
      </w:r>
      <w:r>
        <w:t xml:space="preserve"> Kingsley’s Alexandria and Her Schools.</w:t>
      </w:r>
    </w:p>
  </w:footnote>
  <w:footnote w:id="190">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91">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92">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93">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4">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5">
    <w:p w14:paraId="0D68CC9D" w14:textId="77777777" w:rsidR="00210409" w:rsidRDefault="00210409">
      <w:pPr>
        <w:pStyle w:val="FootnoteText"/>
      </w:pPr>
      <w:r>
        <w:rPr>
          <w:rStyle w:val="FootnoteReference"/>
        </w:rPr>
        <w:footnoteRef/>
      </w:r>
      <w:r>
        <w:t xml:space="preserve"> Strom. I; 7.</w:t>
      </w:r>
    </w:p>
  </w:footnote>
  <w:footnote w:id="196">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7">
    <w:p w14:paraId="0D68CC9F" w14:textId="77777777" w:rsidR="00210409" w:rsidRDefault="00210409">
      <w:pPr>
        <w:pStyle w:val="FootnoteText"/>
      </w:pPr>
      <w:r>
        <w:rPr>
          <w:rStyle w:val="FootnoteReference"/>
        </w:rPr>
        <w:footnoteRef/>
      </w:r>
      <w:r>
        <w:t xml:space="preserve"> Theosophy or Psychological Religion, Preface, p. xiv.</w:t>
      </w:r>
    </w:p>
  </w:footnote>
  <w:footnote w:id="198">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199">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0">
    <w:p w14:paraId="0D68CCA2" w14:textId="77777777" w:rsidR="00210409" w:rsidRDefault="00210409">
      <w:pPr>
        <w:pStyle w:val="FootnoteText"/>
      </w:pPr>
      <w:r>
        <w:rPr>
          <w:rStyle w:val="FootnoteReference"/>
        </w:rPr>
        <w:footnoteRef/>
      </w:r>
      <w:r>
        <w:t xml:space="preserve"> See pg. 117 for Greek. Strom. VII, vi.</w:t>
      </w:r>
    </w:p>
  </w:footnote>
  <w:footnote w:id="201">
    <w:p w14:paraId="0D68CCA3" w14:textId="77777777" w:rsidR="00210409" w:rsidRDefault="00210409">
      <w:pPr>
        <w:pStyle w:val="FootnoteText"/>
      </w:pPr>
      <w:r>
        <w:rPr>
          <w:rStyle w:val="FootnoteReference"/>
        </w:rPr>
        <w:footnoteRef/>
      </w:r>
      <w:r>
        <w:t xml:space="preserve"> VI, vi; VII, xvi; VI, xiv; VII, ii.</w:t>
      </w:r>
    </w:p>
  </w:footnote>
  <w:footnote w:id="202">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3">
    <w:p w14:paraId="0D68CCA5" w14:textId="77777777" w:rsidR="00210409" w:rsidRDefault="00210409">
      <w:pPr>
        <w:pStyle w:val="FootnoteText"/>
      </w:pPr>
      <w:r>
        <w:rPr>
          <w:rStyle w:val="FootnoteReference"/>
        </w:rPr>
        <w:footnoteRef/>
      </w:r>
      <w:r>
        <w:t xml:space="preserve"> Strom. IV, xxiv.</w:t>
      </w:r>
    </w:p>
  </w:footnote>
  <w:footnote w:id="204">
    <w:p w14:paraId="0D68CCA6" w14:textId="77777777" w:rsidR="00210409" w:rsidRDefault="00210409">
      <w:pPr>
        <w:pStyle w:val="FootnoteText"/>
      </w:pPr>
      <w:r>
        <w:rPr>
          <w:rStyle w:val="FootnoteReference"/>
        </w:rPr>
        <w:footnoteRef/>
      </w:r>
      <w:r>
        <w:t xml:space="preserve"> Quoted by Neander.</w:t>
      </w:r>
    </w:p>
  </w:footnote>
  <w:footnote w:id="205">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6">
    <w:p w14:paraId="0D68CCA8" w14:textId="77777777" w:rsidR="00210409" w:rsidRDefault="00210409">
      <w:pPr>
        <w:pStyle w:val="FootnoteText"/>
      </w:pPr>
      <w:r>
        <w:rPr>
          <w:rStyle w:val="FootnoteReference"/>
        </w:rPr>
        <w:footnoteRef/>
      </w:r>
      <w:r>
        <w:t xml:space="preserve"> See pg. 120 in original for Greek.</w:t>
      </w:r>
    </w:p>
  </w:footnote>
  <w:footnote w:id="207">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8">
    <w:p w14:paraId="0D68CCAA" w14:textId="77777777" w:rsidR="00210409" w:rsidRDefault="00210409">
      <w:pPr>
        <w:pStyle w:val="FootnoteText"/>
      </w:pPr>
      <w:r>
        <w:rPr>
          <w:rStyle w:val="FootnoteReference"/>
        </w:rPr>
        <w:footnoteRef/>
      </w:r>
      <w:r>
        <w:t xml:space="preserve"> Christian Platonists, pp. 75, 89, 112.</w:t>
      </w:r>
    </w:p>
  </w:footnote>
  <w:footnote w:id="209">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0">
    <w:p w14:paraId="0D68CCAC" w14:textId="77777777" w:rsidR="00210409" w:rsidRDefault="00210409">
      <w:pPr>
        <w:pStyle w:val="FootnoteText"/>
      </w:pPr>
      <w:r>
        <w:rPr>
          <w:rStyle w:val="FootnoteReference"/>
        </w:rPr>
        <w:footnoteRef/>
      </w:r>
      <w:r>
        <w:t xml:space="preserve"> Church Hist. First Three Centuries.</w:t>
      </w:r>
    </w:p>
  </w:footnote>
  <w:footnote w:id="211">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2">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3">
    <w:p w14:paraId="0D68CCAF" w14:textId="77777777" w:rsidR="00210409" w:rsidRDefault="00210409">
      <w:pPr>
        <w:pStyle w:val="FootnoteText"/>
      </w:pPr>
      <w:r>
        <w:rPr>
          <w:rStyle w:val="FootnoteReference"/>
        </w:rPr>
        <w:footnoteRef/>
      </w:r>
      <w:r>
        <w:t xml:space="preserve"> Church of the First Three Centuries, p. 158.</w:t>
      </w:r>
    </w:p>
  </w:footnote>
  <w:footnote w:id="214">
    <w:p w14:paraId="0D68CCB0" w14:textId="77777777" w:rsidR="00210409" w:rsidRDefault="00210409">
      <w:pPr>
        <w:pStyle w:val="FootnoteText"/>
      </w:pPr>
      <w:r>
        <w:rPr>
          <w:rStyle w:val="FootnoteReference"/>
        </w:rPr>
        <w:footnoteRef/>
      </w:r>
      <w:r>
        <w:t xml:space="preserve"> Continuity of Christian Thought, p. 19.</w:t>
      </w:r>
    </w:p>
  </w:footnote>
  <w:footnote w:id="215">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6">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7">
    <w:p w14:paraId="0D68CCB3" w14:textId="77777777" w:rsidR="00210409" w:rsidRDefault="00210409">
      <w:pPr>
        <w:pStyle w:val="FootnoteText"/>
      </w:pPr>
      <w:r>
        <w:rPr>
          <w:rStyle w:val="FootnoteReference"/>
        </w:rPr>
        <w:footnoteRef/>
      </w:r>
      <w:r>
        <w:t xml:space="preserve"> Hist. Christ. Church, I, pp. 54-55.</w:t>
      </w:r>
    </w:p>
  </w:footnote>
  <w:footnote w:id="218">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19">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0">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1">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2">
    <w:p w14:paraId="0D68CCB8" w14:textId="77777777" w:rsidR="00210409" w:rsidRDefault="00210409">
      <w:pPr>
        <w:pStyle w:val="FootnoteText"/>
      </w:pPr>
      <w:r>
        <w:rPr>
          <w:rStyle w:val="FootnoteReference"/>
        </w:rPr>
        <w:footnoteRef/>
      </w:r>
      <w:r>
        <w:t xml:space="preserve"> Homily XI in Numbers, in Migne.</w:t>
      </w:r>
    </w:p>
  </w:footnote>
  <w:footnote w:id="223">
    <w:p w14:paraId="0D68CCB9" w14:textId="77777777" w:rsidR="00210409" w:rsidRDefault="00210409">
      <w:pPr>
        <w:pStyle w:val="FootnoteText"/>
      </w:pPr>
      <w:r>
        <w:rPr>
          <w:rStyle w:val="FootnoteReference"/>
        </w:rPr>
        <w:footnoteRef/>
      </w:r>
      <w:r>
        <w:t xml:space="preserve"> Neoplatonism, by C. Bigg, D. D., London, 1895, pg. 163.</w:t>
      </w:r>
    </w:p>
  </w:footnote>
  <w:footnote w:id="224">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5">
    <w:p w14:paraId="0D68CCBB" w14:textId="77777777" w:rsidR="00210409" w:rsidRDefault="00210409">
      <w:pPr>
        <w:pStyle w:val="FootnoteText"/>
      </w:pPr>
      <w:r>
        <w:rPr>
          <w:rStyle w:val="FootnoteReference"/>
        </w:rPr>
        <w:footnoteRef/>
      </w:r>
      <w:r>
        <w:t xml:space="preserve"> See pg. 140 for Greek original.</w:t>
      </w:r>
    </w:p>
  </w:footnote>
  <w:footnote w:id="226">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27">
    <w:p w14:paraId="0D68CCBD" w14:textId="77777777" w:rsidR="00210409" w:rsidRDefault="00210409">
      <w:pPr>
        <w:pStyle w:val="FootnoteText"/>
      </w:pPr>
      <w:r>
        <w:rPr>
          <w:rStyle w:val="FootnoteReference"/>
        </w:rPr>
        <w:footnoteRef/>
      </w:r>
      <w:r>
        <w:t xml:space="preserve"> See original pg. 142 for Greek.</w:t>
      </w:r>
    </w:p>
  </w:footnote>
  <w:footnote w:id="228">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29">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30">
    <w:p w14:paraId="0D68CCC0" w14:textId="77777777" w:rsidR="00210409" w:rsidRDefault="00210409">
      <w:pPr>
        <w:pStyle w:val="FootnoteText"/>
      </w:pPr>
      <w:r>
        <w:rPr>
          <w:rStyle w:val="FootnoteReference"/>
        </w:rPr>
        <w:footnoteRef/>
      </w:r>
      <w:r>
        <w:t xml:space="preserve"> De Prin. I, vi: 1, 2.</w:t>
      </w:r>
    </w:p>
  </w:footnote>
  <w:footnote w:id="231">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Ag. </w:t>
      </w:r>
      <w:proofErr w:type="spellStart"/>
      <w:r>
        <w:t>Cels</w:t>
      </w:r>
      <w:proofErr w:type="spellEnd"/>
      <w:r>
        <w:t xml:space="preserve">. IV. </w:t>
      </w:r>
      <w:proofErr w:type="spellStart"/>
      <w:r>
        <w:t>Xxii</w:t>
      </w:r>
      <w:proofErr w:type="spellEnd"/>
      <w:r>
        <w:t>.</w:t>
      </w:r>
    </w:p>
  </w:footnote>
  <w:footnote w:id="232">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3">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4">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5">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6">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7">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38">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39">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40">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1">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42">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43">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44">
    <w:p w14:paraId="0D68CCCE" w14:textId="77777777" w:rsidR="00210409" w:rsidRDefault="00210409">
      <w:pPr>
        <w:pStyle w:val="FootnoteText"/>
      </w:pPr>
      <w:r>
        <w:rPr>
          <w:rStyle w:val="FootnoteReference"/>
        </w:rPr>
        <w:footnoteRef/>
      </w:r>
      <w:r>
        <w:t xml:space="preserve"> Com. II, pp. 194, 195.</w:t>
      </w:r>
    </w:p>
  </w:footnote>
  <w:footnote w:id="245">
    <w:p w14:paraId="0D68CCCF" w14:textId="77777777" w:rsidR="00210409" w:rsidRDefault="00210409">
      <w:pPr>
        <w:pStyle w:val="FootnoteText"/>
      </w:pPr>
      <w:r>
        <w:rPr>
          <w:rStyle w:val="FootnoteReference"/>
        </w:rPr>
        <w:footnoteRef/>
      </w:r>
      <w:r>
        <w:t xml:space="preserve"> Hist. Christ. Church, I, p. 114.</w:t>
      </w:r>
    </w:p>
  </w:footnote>
  <w:footnote w:id="246">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7">
    <w:p w14:paraId="0D68CCD1" w14:textId="77777777" w:rsidR="00210409" w:rsidRDefault="00210409">
      <w:pPr>
        <w:pStyle w:val="FootnoteText"/>
      </w:pPr>
      <w:r>
        <w:rPr>
          <w:rStyle w:val="FootnoteReference"/>
        </w:rPr>
        <w:footnoteRef/>
      </w:r>
      <w:r>
        <w:t xml:space="preserve"> Article is written by Dr. A.W.W. Dale.</w:t>
      </w:r>
    </w:p>
  </w:footnote>
  <w:footnote w:id="248">
    <w:p w14:paraId="0D68CCD2" w14:textId="77777777" w:rsidR="00210409" w:rsidRDefault="00210409">
      <w:pPr>
        <w:pStyle w:val="FootnoteText"/>
      </w:pPr>
      <w:r>
        <w:rPr>
          <w:rStyle w:val="FootnoteReference"/>
        </w:rPr>
        <w:footnoteRef/>
      </w:r>
      <w:r>
        <w:t xml:space="preserve"> Ante-Nicene Library, Edinburgh, 1872.</w:t>
      </w:r>
    </w:p>
  </w:footnote>
  <w:footnote w:id="249">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50">
    <w:p w14:paraId="0D68CCD4" w14:textId="77777777" w:rsidR="00210409" w:rsidRDefault="00210409">
      <w:pPr>
        <w:pStyle w:val="FootnoteText"/>
      </w:pPr>
      <w:r>
        <w:rPr>
          <w:rStyle w:val="FootnoteReference"/>
        </w:rPr>
        <w:footnoteRef/>
      </w:r>
      <w:r>
        <w:t xml:space="preserve"> De Prin. III, v.</w:t>
      </w:r>
    </w:p>
  </w:footnote>
  <w:footnote w:id="251">
    <w:p w14:paraId="0D68CCD5" w14:textId="77777777" w:rsidR="00210409" w:rsidRDefault="00210409">
      <w:pPr>
        <w:pStyle w:val="FootnoteText"/>
      </w:pPr>
      <w:r>
        <w:rPr>
          <w:rStyle w:val="FootnoteReference"/>
        </w:rPr>
        <w:footnoteRef/>
      </w:r>
      <w:r>
        <w:t xml:space="preserve"> De Prin. III, vi.</w:t>
      </w:r>
    </w:p>
  </w:footnote>
  <w:footnote w:id="252">
    <w:p w14:paraId="0D68CCD6" w14:textId="77777777" w:rsidR="00210409" w:rsidRDefault="00210409">
      <w:pPr>
        <w:pStyle w:val="FootnoteText"/>
      </w:pPr>
      <w:r>
        <w:rPr>
          <w:rStyle w:val="FootnoteReference"/>
        </w:rPr>
        <w:footnoteRef/>
      </w:r>
      <w:r>
        <w:t xml:space="preserve"> De Prin. II, v:1-4.</w:t>
      </w:r>
    </w:p>
  </w:footnote>
  <w:footnote w:id="253">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4">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5">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6">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7">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8">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59">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0">
    <w:p w14:paraId="0D68CCDE" w14:textId="77777777" w:rsidR="00210409" w:rsidRDefault="00210409">
      <w:pPr>
        <w:pStyle w:val="FootnoteText"/>
      </w:pPr>
      <w:r>
        <w:rPr>
          <w:rStyle w:val="FootnoteReference"/>
        </w:rPr>
        <w:footnoteRef/>
      </w:r>
      <w:r>
        <w:t xml:space="preserve"> Holy Eastern Church, p. 37.</w:t>
      </w:r>
    </w:p>
  </w:footnote>
  <w:footnote w:id="261">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2">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3">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4">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5">
    <w:p w14:paraId="0D68CCE3" w14:textId="77777777" w:rsidR="00210409" w:rsidRDefault="00210409">
      <w:pPr>
        <w:pStyle w:val="FootnoteText"/>
      </w:pPr>
      <w:r>
        <w:rPr>
          <w:rStyle w:val="FootnoteReference"/>
        </w:rPr>
        <w:footnoteRef/>
      </w:r>
      <w:r>
        <w:t xml:space="preserve"> Christ. Plat. Of Alex., p. 308.</w:t>
      </w:r>
    </w:p>
  </w:footnote>
  <w:footnote w:id="266">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7">
    <w:p w14:paraId="0D68CCE5" w14:textId="77777777" w:rsidR="00210409" w:rsidRDefault="00210409">
      <w:pPr>
        <w:pStyle w:val="FootnoteText"/>
      </w:pPr>
      <w:r>
        <w:rPr>
          <w:rStyle w:val="FootnoteReference"/>
        </w:rPr>
        <w:footnoteRef/>
      </w:r>
      <w:r>
        <w:t xml:space="preserve"> Bunsen, pp. 326-327.</w:t>
      </w:r>
    </w:p>
  </w:footnote>
  <w:footnote w:id="268">
    <w:p w14:paraId="0D68CCE6" w14:textId="77777777" w:rsidR="00210409" w:rsidRDefault="00210409">
      <w:pPr>
        <w:pStyle w:val="FootnoteText"/>
      </w:pPr>
      <w:r>
        <w:rPr>
          <w:rStyle w:val="FootnoteReference"/>
        </w:rPr>
        <w:footnoteRef/>
      </w:r>
      <w:r>
        <w:t xml:space="preserve"> Essays, pp. 236-252.</w:t>
      </w:r>
    </w:p>
  </w:footnote>
  <w:footnote w:id="269">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0">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1">
    <w:p w14:paraId="0D68CCE9" w14:textId="77777777" w:rsidR="00210409" w:rsidRDefault="00210409">
      <w:pPr>
        <w:pStyle w:val="FootnoteText"/>
      </w:pPr>
      <w:r>
        <w:rPr>
          <w:rStyle w:val="FootnoteReference"/>
        </w:rPr>
        <w:footnoteRef/>
      </w:r>
      <w:r>
        <w:t xml:space="preserve"> Theos. Or Psych. Rel. Lect. XIII.</w:t>
      </w:r>
    </w:p>
  </w:footnote>
  <w:footnote w:id="272">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3">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4">
    <w:p w14:paraId="0D68CCEC" w14:textId="77777777" w:rsidR="00210409" w:rsidRDefault="00210409">
      <w:pPr>
        <w:pStyle w:val="FootnoteText"/>
      </w:pPr>
      <w:r>
        <w:rPr>
          <w:rStyle w:val="FootnoteReference"/>
        </w:rPr>
        <w:footnoteRef/>
      </w:r>
      <w:r>
        <w:t xml:space="preserve"> See pg. 190 of original.</w:t>
      </w:r>
    </w:p>
  </w:footnote>
  <w:footnote w:id="275">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6">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7">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8">
    <w:p w14:paraId="0D68CCF0" w14:textId="77777777" w:rsidR="00210409" w:rsidRDefault="00210409">
      <w:pPr>
        <w:pStyle w:val="FootnoteText"/>
      </w:pPr>
      <w:r>
        <w:rPr>
          <w:rStyle w:val="FootnoteReference"/>
        </w:rPr>
        <w:footnoteRef/>
      </w:r>
      <w:r>
        <w:t xml:space="preserve"> Oxford Tracts for the Times, No. XVII.</w:t>
      </w:r>
    </w:p>
  </w:footnote>
  <w:footnote w:id="279">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0">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1">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2">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3">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4">
    <w:p w14:paraId="0D68CCF6" w14:textId="77777777" w:rsidR="00210409" w:rsidRDefault="00210409">
      <w:pPr>
        <w:pStyle w:val="FootnoteText"/>
      </w:pPr>
      <w:r>
        <w:rPr>
          <w:rStyle w:val="FootnoteReference"/>
        </w:rPr>
        <w:footnoteRef/>
      </w:r>
      <w:r>
        <w:t xml:space="preserve"> Vol. II, pp. 414-416.</w:t>
      </w:r>
    </w:p>
  </w:footnote>
  <w:footnote w:id="285">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6">
    <w:p w14:paraId="0D68CCF8" w14:textId="77777777" w:rsidR="00210409" w:rsidRDefault="00210409">
      <w:pPr>
        <w:pStyle w:val="FootnoteText"/>
      </w:pPr>
      <w:r>
        <w:rPr>
          <w:rStyle w:val="FootnoteReference"/>
        </w:rPr>
        <w:footnoteRef/>
      </w:r>
      <w:r>
        <w:t xml:space="preserve"> P. 349, note.</w:t>
      </w:r>
    </w:p>
  </w:footnote>
  <w:footnote w:id="287">
    <w:p w14:paraId="0D68CCF9" w14:textId="77777777" w:rsidR="00210409" w:rsidRDefault="00210409">
      <w:pPr>
        <w:pStyle w:val="FootnoteText"/>
      </w:pPr>
      <w:r>
        <w:rPr>
          <w:rStyle w:val="FootnoteReference"/>
        </w:rPr>
        <w:footnoteRef/>
      </w:r>
      <w:r>
        <w:t xml:space="preserve"> Vol. II, pg. 676.</w:t>
      </w:r>
    </w:p>
  </w:footnote>
  <w:footnote w:id="288">
    <w:p w14:paraId="0D68CCFA" w14:textId="77777777" w:rsidR="00210409" w:rsidRDefault="00210409">
      <w:pPr>
        <w:pStyle w:val="FootnoteText"/>
      </w:pPr>
      <w:r>
        <w:rPr>
          <w:rStyle w:val="FootnoteReference"/>
        </w:rPr>
        <w:footnoteRef/>
      </w:r>
      <w:r>
        <w:t xml:space="preserve"> Eusebius, VI:26.</w:t>
      </w:r>
    </w:p>
  </w:footnote>
  <w:footnote w:id="289">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0">
    <w:p w14:paraId="0D68CCFC" w14:textId="77777777" w:rsidR="00210409" w:rsidRDefault="00210409">
      <w:pPr>
        <w:pStyle w:val="FootnoteText"/>
      </w:pPr>
      <w:r>
        <w:rPr>
          <w:rStyle w:val="FootnoteReference"/>
        </w:rPr>
        <w:footnoteRef/>
      </w:r>
      <w:r>
        <w:t xml:space="preserve"> Routh, Rel. Sac., III, p. 498. Oxford ed., 1846.</w:t>
      </w:r>
    </w:p>
  </w:footnote>
  <w:footnote w:id="291">
    <w:p w14:paraId="0D68CCFD" w14:textId="77777777" w:rsidR="00210409" w:rsidRDefault="00210409">
      <w:pPr>
        <w:pStyle w:val="FootnoteText"/>
      </w:pPr>
      <w:r>
        <w:rPr>
          <w:rStyle w:val="FootnoteReference"/>
        </w:rPr>
        <w:footnoteRef/>
      </w:r>
      <w:r>
        <w:t xml:space="preserve"> De Eccl. Theol., Migne, Vol. XXIV, pp. 1030-33.</w:t>
      </w:r>
    </w:p>
  </w:footnote>
  <w:footnote w:id="292">
    <w:p w14:paraId="0D68CCFE" w14:textId="77777777" w:rsidR="00210409" w:rsidRDefault="00210409">
      <w:pPr>
        <w:pStyle w:val="FootnoteText"/>
      </w:pPr>
      <w:r>
        <w:rPr>
          <w:rStyle w:val="FootnoteReference"/>
        </w:rPr>
        <w:footnoteRef/>
      </w:r>
      <w:r>
        <w:t xml:space="preserve"> Sermon Major de fide. Migne, vol. XXVI, pp. 1263-1294.</w:t>
      </w:r>
    </w:p>
  </w:footnote>
  <w:footnote w:id="293">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4">
    <w:p w14:paraId="0D68CD00" w14:textId="77777777" w:rsidR="00210409" w:rsidRDefault="00210409">
      <w:pPr>
        <w:pStyle w:val="FootnoteText"/>
      </w:pPr>
      <w:r>
        <w:rPr>
          <w:rStyle w:val="FootnoteReference"/>
        </w:rPr>
        <w:footnoteRef/>
      </w:r>
      <w:r>
        <w:t xml:space="preserve"> See sketch of Jerome.</w:t>
      </w:r>
    </w:p>
  </w:footnote>
  <w:footnote w:id="295">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6">
    <w:p w14:paraId="0D68CD02" w14:textId="77777777" w:rsidR="00210409" w:rsidRDefault="00210409">
      <w:pPr>
        <w:pStyle w:val="FootnoteText"/>
      </w:pPr>
      <w:r>
        <w:rPr>
          <w:rStyle w:val="FootnoteReference"/>
        </w:rPr>
        <w:footnoteRef/>
      </w:r>
      <w:r>
        <w:t xml:space="preserve"> Dictionary of Christian Biography, II, p. 150.</w:t>
      </w:r>
    </w:p>
  </w:footnote>
  <w:footnote w:id="297">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8">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299">
    <w:p w14:paraId="0D68CD05" w14:textId="77777777" w:rsidR="00210409" w:rsidRDefault="00210409">
      <w:pPr>
        <w:pStyle w:val="FootnoteText"/>
      </w:pPr>
      <w:r>
        <w:rPr>
          <w:rStyle w:val="FootnoteReference"/>
        </w:rPr>
        <w:footnoteRef/>
      </w:r>
      <w:r>
        <w:t xml:space="preserve"> See pg. 212 in original.</w:t>
      </w:r>
    </w:p>
  </w:footnote>
  <w:footnote w:id="300">
    <w:p w14:paraId="0D68CD06" w14:textId="77777777" w:rsidR="00210409" w:rsidRDefault="00210409">
      <w:pPr>
        <w:pStyle w:val="FootnoteText"/>
      </w:pPr>
      <w:r>
        <w:rPr>
          <w:rStyle w:val="FootnoteReference"/>
        </w:rPr>
        <w:footnoteRef/>
      </w:r>
      <w:r>
        <w:t xml:space="preserve"> See pg. 212 in original.</w:t>
      </w:r>
    </w:p>
  </w:footnote>
  <w:footnote w:id="301">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302">
    <w:p w14:paraId="0D68CD08" w14:textId="77777777" w:rsidR="00210409" w:rsidRDefault="00210409">
      <w:pPr>
        <w:pStyle w:val="FootnoteText"/>
      </w:pPr>
      <w:r>
        <w:rPr>
          <w:rStyle w:val="FootnoteReference"/>
        </w:rPr>
        <w:footnoteRef/>
      </w:r>
      <w:r>
        <w:t xml:space="preserve"> See Newman’s Hist. Essays, Vol. III.</w:t>
      </w:r>
    </w:p>
  </w:footnote>
  <w:footnote w:id="303">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4">
    <w:p w14:paraId="0D68CD0A" w14:textId="77777777" w:rsidR="00210409" w:rsidRDefault="00210409">
      <w:pPr>
        <w:pStyle w:val="FootnoteText"/>
      </w:pPr>
      <w:r>
        <w:rPr>
          <w:rStyle w:val="FootnoteReference"/>
        </w:rPr>
        <w:footnoteRef/>
      </w:r>
      <w:r>
        <w:t xml:space="preserve"> See pg. 215 in original.</w:t>
      </w:r>
    </w:p>
  </w:footnote>
  <w:footnote w:id="305">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6">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7">
    <w:p w14:paraId="0D68CD0D" w14:textId="77777777" w:rsidR="00210409" w:rsidRDefault="00210409">
      <w:pPr>
        <w:pStyle w:val="FootnoteText"/>
      </w:pPr>
      <w:r>
        <w:rPr>
          <w:rStyle w:val="FootnoteReference"/>
        </w:rPr>
        <w:footnoteRef/>
      </w:r>
      <w:r>
        <w:t xml:space="preserve"> Dictionary of Christian Biography, II, p. 194.</w:t>
      </w:r>
    </w:p>
  </w:footnote>
  <w:footnote w:id="308">
    <w:p w14:paraId="0D68CD0E" w14:textId="77777777" w:rsidR="00210409" w:rsidRDefault="00210409">
      <w:pPr>
        <w:pStyle w:val="FootnoteText"/>
      </w:pPr>
      <w:r>
        <w:rPr>
          <w:rStyle w:val="FootnoteReference"/>
        </w:rPr>
        <w:footnoteRef/>
      </w:r>
      <w:r>
        <w:t xml:space="preserve"> Ibid. IV, p. 946.</w:t>
      </w:r>
    </w:p>
  </w:footnote>
  <w:footnote w:id="309">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0">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1">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2">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3">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4">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5">
    <w:p w14:paraId="0D68CD15" w14:textId="77777777" w:rsidR="00210409" w:rsidRDefault="00210409">
      <w:pPr>
        <w:pStyle w:val="FootnoteText"/>
      </w:pPr>
      <w:r>
        <w:rPr>
          <w:rStyle w:val="FootnoteReference"/>
        </w:rPr>
        <w:footnoteRef/>
      </w:r>
      <w:r>
        <w:t xml:space="preserve"> Universalism Asserted, p. 148.</w:t>
      </w:r>
    </w:p>
  </w:footnote>
  <w:footnote w:id="316">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7">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8">
    <w:p w14:paraId="0D68CD18" w14:textId="77777777" w:rsidR="00210409" w:rsidRDefault="00210409">
      <w:pPr>
        <w:pStyle w:val="FootnoteText"/>
      </w:pPr>
      <w:r>
        <w:rPr>
          <w:rStyle w:val="FootnoteReference"/>
        </w:rPr>
        <w:footnoteRef/>
      </w:r>
      <w:r>
        <w:t xml:space="preserve"> Dict. Christ. Biog. III, p. 780.</w:t>
      </w:r>
    </w:p>
  </w:footnote>
  <w:footnote w:id="319">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0">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1">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22">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3">
    <w:p w14:paraId="0D68CD1D" w14:textId="77777777" w:rsidR="00210409" w:rsidRDefault="00210409">
      <w:pPr>
        <w:pStyle w:val="FootnoteText"/>
      </w:pPr>
      <w:r>
        <w:rPr>
          <w:rStyle w:val="FootnoteReference"/>
        </w:rPr>
        <w:footnoteRef/>
      </w:r>
      <w:r>
        <w:t xml:space="preserve"> History of the Church, pg. 176.</w:t>
      </w:r>
    </w:p>
  </w:footnote>
  <w:footnote w:id="324">
    <w:p w14:paraId="0D68CD1E" w14:textId="77777777" w:rsidR="00210409" w:rsidRDefault="00210409">
      <w:pPr>
        <w:pStyle w:val="FootnoteText"/>
      </w:pPr>
      <w:r>
        <w:rPr>
          <w:rStyle w:val="FootnoteReference"/>
        </w:rPr>
        <w:footnoteRef/>
      </w:r>
      <w:r>
        <w:t xml:space="preserve"> Lives of the Fathers, II, p. 451.</w:t>
      </w:r>
    </w:p>
  </w:footnote>
  <w:footnote w:id="325">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6">
    <w:p w14:paraId="0D68CD20" w14:textId="77777777" w:rsidR="00210409" w:rsidRDefault="00210409">
      <w:pPr>
        <w:pStyle w:val="FootnoteText"/>
      </w:pPr>
      <w:r>
        <w:rPr>
          <w:rStyle w:val="FootnoteReference"/>
        </w:rPr>
        <w:footnoteRef/>
      </w:r>
      <w:r>
        <w:t xml:space="preserve"> Cave, Lives of the Fathers, II, 397.</w:t>
      </w:r>
    </w:p>
  </w:footnote>
  <w:footnote w:id="327">
    <w:p w14:paraId="0D68CD21" w14:textId="77777777" w:rsidR="00210409" w:rsidRDefault="00210409">
      <w:pPr>
        <w:pStyle w:val="FootnoteText"/>
      </w:pPr>
      <w:r>
        <w:rPr>
          <w:rStyle w:val="FootnoteReference"/>
        </w:rPr>
        <w:footnoteRef/>
      </w:r>
      <w:r>
        <w:t xml:space="preserve"> De Ascetics.</w:t>
      </w:r>
    </w:p>
  </w:footnote>
  <w:footnote w:id="328">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29">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0">
    <w:p w14:paraId="0D68CD24" w14:textId="77777777" w:rsidR="00210409" w:rsidRDefault="00210409">
      <w:pPr>
        <w:pStyle w:val="FootnoteText"/>
      </w:pPr>
      <w:r>
        <w:rPr>
          <w:rStyle w:val="FootnoteReference"/>
        </w:rPr>
        <w:footnoteRef/>
      </w:r>
      <w:r>
        <w:t xml:space="preserve"> See original pg. 237.</w:t>
      </w:r>
    </w:p>
  </w:footnote>
  <w:footnote w:id="331">
    <w:p w14:paraId="0D68CD25" w14:textId="77777777" w:rsidR="00210409" w:rsidRDefault="00210409">
      <w:pPr>
        <w:pStyle w:val="FootnoteText"/>
      </w:pPr>
      <w:r>
        <w:rPr>
          <w:rStyle w:val="FootnoteReference"/>
        </w:rPr>
        <w:footnoteRef/>
      </w:r>
      <w:r>
        <w:t xml:space="preserve"> See pg. 238 in original.</w:t>
      </w:r>
    </w:p>
  </w:footnote>
  <w:footnote w:id="332">
    <w:p w14:paraId="0D68CD26" w14:textId="77777777" w:rsidR="00210409" w:rsidRDefault="00210409">
      <w:pPr>
        <w:pStyle w:val="FootnoteText"/>
      </w:pPr>
      <w:r>
        <w:rPr>
          <w:rStyle w:val="FootnoteReference"/>
        </w:rPr>
        <w:footnoteRef/>
      </w:r>
      <w:r>
        <w:t xml:space="preserve"> See pg. 238 in original.</w:t>
      </w:r>
    </w:p>
  </w:footnote>
  <w:footnote w:id="333">
    <w:p w14:paraId="0D68CD27" w14:textId="77777777" w:rsidR="00210409" w:rsidRDefault="00210409">
      <w:pPr>
        <w:pStyle w:val="FootnoteText"/>
      </w:pPr>
      <w:r>
        <w:rPr>
          <w:rStyle w:val="FootnoteReference"/>
        </w:rPr>
        <w:footnoteRef/>
      </w:r>
      <w:r>
        <w:t xml:space="preserve"> See pg. 238 in original.</w:t>
      </w:r>
    </w:p>
  </w:footnote>
  <w:footnote w:id="334">
    <w:p w14:paraId="0D68CD28" w14:textId="77777777" w:rsidR="00210409" w:rsidRDefault="00210409">
      <w:pPr>
        <w:pStyle w:val="FootnoteText"/>
      </w:pPr>
      <w:r>
        <w:rPr>
          <w:rStyle w:val="FootnoteReference"/>
        </w:rPr>
        <w:footnoteRef/>
      </w:r>
      <w:r>
        <w:t xml:space="preserve"> Photius, Cod., pg. 233.</w:t>
      </w:r>
    </w:p>
  </w:footnote>
  <w:footnote w:id="335">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6">
    <w:p w14:paraId="0D68CD2A" w14:textId="77777777" w:rsidR="00210409" w:rsidRDefault="00210409">
      <w:pPr>
        <w:pStyle w:val="FootnoteText"/>
      </w:pPr>
      <w:r>
        <w:rPr>
          <w:rStyle w:val="FootnoteReference"/>
        </w:rPr>
        <w:footnoteRef/>
      </w:r>
      <w:r>
        <w:t xml:space="preserve"> Lecky’s Rationalism in Europe, I, pg. 316.</w:t>
      </w:r>
    </w:p>
  </w:footnote>
  <w:footnote w:id="337">
    <w:p w14:paraId="0D68CD2B" w14:textId="77777777" w:rsidR="00210409" w:rsidRDefault="00210409">
      <w:pPr>
        <w:pStyle w:val="FootnoteText"/>
      </w:pPr>
      <w:r>
        <w:rPr>
          <w:rStyle w:val="FootnoteReference"/>
        </w:rPr>
        <w:footnoteRef/>
      </w:r>
      <w:r>
        <w:t xml:space="preserve"> On the Psalms.</w:t>
      </w:r>
    </w:p>
  </w:footnote>
  <w:footnote w:id="338">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39">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0">
    <w:p w14:paraId="0D68CD2E" w14:textId="77777777" w:rsidR="00210409" w:rsidRDefault="00210409">
      <w:pPr>
        <w:pStyle w:val="FootnoteText"/>
      </w:pPr>
      <w:r>
        <w:rPr>
          <w:rStyle w:val="FootnoteReference"/>
        </w:rPr>
        <w:footnoteRef/>
      </w:r>
      <w:r>
        <w:t xml:space="preserve"> Essays on Church and State.</w:t>
      </w:r>
    </w:p>
  </w:footnote>
  <w:footnote w:id="341">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2">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3">
    <w:p w14:paraId="0D68CD31" w14:textId="77777777" w:rsidR="00210409" w:rsidRDefault="00210409">
      <w:pPr>
        <w:pStyle w:val="FootnoteText"/>
      </w:pPr>
      <w:r>
        <w:rPr>
          <w:rStyle w:val="FootnoteReference"/>
        </w:rPr>
        <w:footnoteRef/>
      </w:r>
      <w:r>
        <w:t xml:space="preserve"> On Psalm 37.</w:t>
      </w:r>
    </w:p>
  </w:footnote>
  <w:footnote w:id="344">
    <w:p w14:paraId="0D68CD32" w14:textId="77777777" w:rsidR="00210409" w:rsidRDefault="00210409">
      <w:pPr>
        <w:pStyle w:val="FootnoteText"/>
      </w:pPr>
      <w:r>
        <w:rPr>
          <w:rStyle w:val="FootnoteReference"/>
        </w:rPr>
        <w:footnoteRef/>
      </w:r>
      <w:r>
        <w:t xml:space="preserve"> Epis. Lib. 1.</w:t>
      </w:r>
    </w:p>
  </w:footnote>
  <w:footnote w:id="345">
    <w:p w14:paraId="0D68CD33" w14:textId="77777777" w:rsidR="00210409" w:rsidRDefault="00210409">
      <w:pPr>
        <w:pStyle w:val="FootnoteText"/>
      </w:pPr>
      <w:r>
        <w:rPr>
          <w:rStyle w:val="FootnoteReference"/>
        </w:rPr>
        <w:footnoteRef/>
      </w:r>
      <w:r>
        <w:t xml:space="preserve"> De Fide.</w:t>
      </w:r>
    </w:p>
  </w:footnote>
  <w:footnote w:id="346">
    <w:p w14:paraId="0D68CD34" w14:textId="77777777" w:rsidR="00210409" w:rsidRDefault="00210409">
      <w:pPr>
        <w:pStyle w:val="FootnoteText"/>
      </w:pPr>
      <w:r>
        <w:rPr>
          <w:rStyle w:val="FootnoteReference"/>
        </w:rPr>
        <w:footnoteRef/>
      </w:r>
      <w:r>
        <w:t xml:space="preserve"> On Psalm 62.</w:t>
      </w:r>
    </w:p>
  </w:footnote>
  <w:footnote w:id="347">
    <w:p w14:paraId="0D68CD35" w14:textId="77777777" w:rsidR="00210409" w:rsidRDefault="00210409">
      <w:pPr>
        <w:pStyle w:val="FootnoteText"/>
      </w:pPr>
      <w:r>
        <w:rPr>
          <w:rStyle w:val="FootnoteReference"/>
        </w:rPr>
        <w:footnoteRef/>
      </w:r>
      <w:r>
        <w:t xml:space="preserve"> On Luke 15:3.</w:t>
      </w:r>
    </w:p>
  </w:footnote>
  <w:footnote w:id="348">
    <w:p w14:paraId="0D68CD36" w14:textId="77777777" w:rsidR="00210409" w:rsidRDefault="00210409">
      <w:pPr>
        <w:pStyle w:val="FootnoteText"/>
      </w:pPr>
      <w:r>
        <w:rPr>
          <w:rStyle w:val="FootnoteReference"/>
        </w:rPr>
        <w:footnoteRef/>
      </w:r>
      <w:r>
        <w:t xml:space="preserve"> Blessing of Death, Chapter 7.</w:t>
      </w:r>
    </w:p>
  </w:footnote>
  <w:footnote w:id="349">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0">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1">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2">
    <w:p w14:paraId="0D68CD3A" w14:textId="77777777" w:rsidR="00210409" w:rsidRDefault="00210409">
      <w:pPr>
        <w:pStyle w:val="FootnoteText"/>
      </w:pPr>
      <w:r>
        <w:rPr>
          <w:rStyle w:val="FootnoteReference"/>
        </w:rPr>
        <w:footnoteRef/>
      </w:r>
      <w:r>
        <w:t xml:space="preserve"> Adv. Man., Ch. iv.</w:t>
      </w:r>
    </w:p>
  </w:footnote>
  <w:footnote w:id="353">
    <w:p w14:paraId="0D68CD3B" w14:textId="77777777" w:rsidR="00210409" w:rsidRDefault="00210409">
      <w:pPr>
        <w:pStyle w:val="FootnoteText"/>
      </w:pPr>
      <w:r>
        <w:rPr>
          <w:rStyle w:val="FootnoteReference"/>
        </w:rPr>
        <w:footnoteRef/>
      </w:r>
      <w:r>
        <w:t xml:space="preserve"> Not. et Frag., xix.</w:t>
      </w:r>
    </w:p>
  </w:footnote>
  <w:footnote w:id="354">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I:25, Migne, viii, p. 1059.</w:t>
      </w:r>
    </w:p>
  </w:footnote>
  <w:footnote w:id="355">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6">
    <w:p w14:paraId="0D68CD3E" w14:textId="77777777" w:rsidR="00210409" w:rsidRDefault="00210409">
      <w:pPr>
        <w:pStyle w:val="FootnoteText"/>
      </w:pPr>
      <w:r>
        <w:rPr>
          <w:rStyle w:val="FootnoteReference"/>
        </w:rPr>
        <w:footnoteRef/>
      </w:r>
      <w:r>
        <w:t xml:space="preserve"> Hist. Christ Ch., ii:628. Hist. Christ. Dogmas, ii:877.</w:t>
      </w:r>
    </w:p>
  </w:footnote>
  <w:footnote w:id="357">
    <w:p w14:paraId="0D68CD3F" w14:textId="77777777" w:rsidR="00210409" w:rsidRDefault="00210409">
      <w:pPr>
        <w:pStyle w:val="FootnoteText"/>
      </w:pPr>
      <w:r>
        <w:rPr>
          <w:rStyle w:val="FootnoteReference"/>
        </w:rPr>
        <w:footnoteRef/>
      </w:r>
      <w:r>
        <w:t xml:space="preserve"> Migne, lxxxii, pg. 360.</w:t>
      </w:r>
    </w:p>
  </w:footnote>
  <w:footnote w:id="358">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59">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0">
    <w:p w14:paraId="0D68CD42" w14:textId="77777777" w:rsidR="00210409" w:rsidRDefault="00210409">
      <w:pPr>
        <w:pStyle w:val="FootnoteText"/>
      </w:pPr>
      <w:r>
        <w:rPr>
          <w:rStyle w:val="FootnoteReference"/>
        </w:rPr>
        <w:footnoteRef/>
      </w:r>
      <w:r>
        <w:t xml:space="preserve"> Origen. II, p. 160.</w:t>
      </w:r>
    </w:p>
  </w:footnote>
  <w:footnote w:id="361">
    <w:p w14:paraId="0D68CD43" w14:textId="77777777" w:rsidR="00210409" w:rsidRDefault="00210409">
      <w:pPr>
        <w:pStyle w:val="FootnoteText"/>
      </w:pPr>
      <w:r>
        <w:rPr>
          <w:rStyle w:val="FootnoteReference"/>
        </w:rPr>
        <w:footnoteRef/>
      </w:r>
      <w:r>
        <w:t xml:space="preserve"> Anc. Hist. Univ., pg. 265.</w:t>
      </w:r>
    </w:p>
  </w:footnote>
  <w:footnote w:id="362">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3">
    <w:p w14:paraId="0D68CD45" w14:textId="77777777" w:rsidR="00210409" w:rsidRDefault="00210409">
      <w:pPr>
        <w:pStyle w:val="FootnoteText"/>
      </w:pPr>
      <w:r>
        <w:rPr>
          <w:rStyle w:val="FootnoteReference"/>
        </w:rPr>
        <w:footnoteRef/>
      </w:r>
      <w:r>
        <w:t xml:space="preserve"> Robertson’s Hist. Christ. Ch. I, pg. 455.</w:t>
      </w:r>
    </w:p>
  </w:footnote>
  <w:footnote w:id="364">
    <w:p w14:paraId="0D68CD46" w14:textId="77777777" w:rsidR="00210409" w:rsidRDefault="00210409">
      <w:pPr>
        <w:pStyle w:val="FootnoteText"/>
      </w:pPr>
      <w:r>
        <w:rPr>
          <w:rStyle w:val="FootnoteReference"/>
        </w:rPr>
        <w:footnoteRef/>
      </w:r>
      <w:r>
        <w:t xml:space="preserve"> What is of Faith, pg. 231.</w:t>
      </w:r>
    </w:p>
  </w:footnote>
  <w:footnote w:id="365">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6">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7">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8">
    <w:p w14:paraId="0D68CD4A" w14:textId="77777777" w:rsidR="00210409" w:rsidRDefault="00210409">
      <w:pPr>
        <w:pStyle w:val="FootnoteText"/>
      </w:pPr>
      <w:r>
        <w:rPr>
          <w:rStyle w:val="FootnoteReference"/>
        </w:rPr>
        <w:footnoteRef/>
      </w:r>
      <w:r>
        <w:t xml:space="preserve"> Epist. xxxiii. Migne Vol. XXII.</w:t>
      </w:r>
    </w:p>
  </w:footnote>
  <w:footnote w:id="369">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0">
    <w:p w14:paraId="0D68CD4C" w14:textId="77777777" w:rsidR="00210409" w:rsidRDefault="00210409">
      <w:pPr>
        <w:pStyle w:val="FootnoteText"/>
      </w:pPr>
      <w:r>
        <w:rPr>
          <w:rStyle w:val="FootnoteReference"/>
        </w:rPr>
        <w:footnoteRef/>
      </w:r>
      <w:r>
        <w:t xml:space="preserve"> Commentary on Amos.</w:t>
      </w:r>
    </w:p>
  </w:footnote>
  <w:footnote w:id="371">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2">
    <w:p w14:paraId="0D68CD4E" w14:textId="77777777" w:rsidR="00210409" w:rsidRDefault="00210409">
      <w:pPr>
        <w:pStyle w:val="FootnoteText"/>
      </w:pPr>
      <w:r>
        <w:rPr>
          <w:rStyle w:val="FootnoteReference"/>
        </w:rPr>
        <w:footnoteRef/>
      </w:r>
      <w:r>
        <w:t xml:space="preserve"> He calls Origen “that immortal intellect.”</w:t>
      </w:r>
    </w:p>
  </w:footnote>
  <w:footnote w:id="373">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4">
    <w:p w14:paraId="0D68CD50" w14:textId="77777777" w:rsidR="00210409" w:rsidRDefault="00210409">
      <w:pPr>
        <w:pStyle w:val="FootnoteText"/>
      </w:pPr>
      <w:r>
        <w:rPr>
          <w:rStyle w:val="FootnoteReference"/>
        </w:rPr>
        <w:footnoteRef/>
      </w:r>
      <w:r>
        <w:t xml:space="preserve"> Homily IX on I Cor. 3:12-18.</w:t>
      </w:r>
    </w:p>
  </w:footnote>
  <w:footnote w:id="375">
    <w:p w14:paraId="0D68CD51" w14:textId="77777777" w:rsidR="00210409" w:rsidRDefault="00210409">
      <w:pPr>
        <w:pStyle w:val="FootnoteText"/>
      </w:pPr>
      <w:r>
        <w:rPr>
          <w:rStyle w:val="FootnoteReference"/>
        </w:rPr>
        <w:footnoteRef/>
      </w:r>
      <w:r>
        <w:t xml:space="preserve"> Homily XI on I Cor. 4:3.</w:t>
      </w:r>
    </w:p>
  </w:footnote>
  <w:footnote w:id="376">
    <w:p w14:paraId="0D68CD52" w14:textId="77777777" w:rsidR="00210409" w:rsidRDefault="00210409">
      <w:pPr>
        <w:pStyle w:val="FootnoteText"/>
      </w:pPr>
      <w:r>
        <w:rPr>
          <w:rStyle w:val="FootnoteReference"/>
        </w:rPr>
        <w:footnoteRef/>
      </w:r>
      <w:r>
        <w:t xml:space="preserve"> Sermon xxxiv; on Psalm 148; Sermon xxx.</w:t>
      </w:r>
    </w:p>
  </w:footnote>
  <w:footnote w:id="377">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8">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79">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0">
    <w:p w14:paraId="0D68CD56" w14:textId="77777777" w:rsidR="00210409" w:rsidRDefault="00210409">
      <w:pPr>
        <w:pStyle w:val="FootnoteText"/>
      </w:pPr>
      <w:r>
        <w:rPr>
          <w:rStyle w:val="FootnoteReference"/>
        </w:rPr>
        <w:footnoteRef/>
      </w:r>
      <w:r>
        <w:t xml:space="preserve"> Allen, Cont. Christ. Thought.</w:t>
      </w:r>
    </w:p>
  </w:footnote>
  <w:footnote w:id="381">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2">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3">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4">
    <w:p w14:paraId="0D68CD5A" w14:textId="77777777" w:rsidR="00210409" w:rsidRPr="00AF07A4" w:rsidRDefault="00210409">
      <w:pPr>
        <w:pStyle w:val="FootnoteText"/>
      </w:pPr>
      <w:r>
        <w:rPr>
          <w:rStyle w:val="FootnoteReference"/>
        </w:rPr>
        <w:footnoteRef/>
      </w:r>
      <w:r>
        <w:t xml:space="preserve"> See Preface to Confessions.</w:t>
      </w:r>
    </w:p>
  </w:footnote>
  <w:footnote w:id="385">
    <w:p w14:paraId="0D68CD5B" w14:textId="77777777" w:rsidR="00210409" w:rsidRDefault="00210409">
      <w:pPr>
        <w:pStyle w:val="FootnoteText"/>
      </w:pPr>
      <w:r>
        <w:rPr>
          <w:rStyle w:val="FootnoteReference"/>
        </w:rPr>
        <w:footnoteRef/>
      </w:r>
      <w:r>
        <w:t xml:space="preserve"> Latin Christ. I.</w:t>
      </w:r>
    </w:p>
  </w:footnote>
  <w:footnote w:id="386">
    <w:p w14:paraId="0D68CD5C" w14:textId="77777777" w:rsidR="00210409" w:rsidRDefault="00210409">
      <w:pPr>
        <w:pStyle w:val="FootnoteText"/>
      </w:pPr>
      <w:r>
        <w:rPr>
          <w:rStyle w:val="FootnoteReference"/>
        </w:rPr>
        <w:footnoteRef/>
      </w:r>
      <w:r>
        <w:t xml:space="preserve"> Allen, Cont. Christ. Thought, pg. 156.</w:t>
      </w:r>
    </w:p>
  </w:footnote>
  <w:footnote w:id="387">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8">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89">
    <w:p w14:paraId="0D68CD5F" w14:textId="77777777" w:rsidR="00210409" w:rsidRDefault="00210409">
      <w:pPr>
        <w:pStyle w:val="FootnoteText"/>
      </w:pPr>
      <w:r>
        <w:rPr>
          <w:rStyle w:val="FootnoteReference"/>
        </w:rPr>
        <w:footnoteRef/>
      </w:r>
      <w:r>
        <w:t xml:space="preserve"> Latin Christianity, I, 127.</w:t>
      </w:r>
    </w:p>
  </w:footnote>
  <w:footnote w:id="390">
    <w:p w14:paraId="0D68CD60" w14:textId="77777777" w:rsidR="00210409" w:rsidRDefault="00210409">
      <w:pPr>
        <w:pStyle w:val="FootnoteText"/>
      </w:pPr>
      <w:r>
        <w:rPr>
          <w:rStyle w:val="FootnoteReference"/>
        </w:rPr>
        <w:footnoteRef/>
      </w:r>
      <w:r>
        <w:t xml:space="preserve"> Farrar’s Lives of the Fathers.</w:t>
      </w:r>
    </w:p>
  </w:footnote>
  <w:footnote w:id="391">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2">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3">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94">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5">
    <w:p w14:paraId="0D68CD65" w14:textId="77777777" w:rsidR="00210409" w:rsidRDefault="00210409">
      <w:pPr>
        <w:pStyle w:val="FootnoteText"/>
      </w:pPr>
      <w:r>
        <w:rPr>
          <w:rStyle w:val="FootnoteReference"/>
        </w:rPr>
        <w:footnoteRef/>
      </w:r>
      <w:r>
        <w:t xml:space="preserve"> See pg. 284 in original.</w:t>
      </w:r>
    </w:p>
  </w:footnote>
  <w:footnote w:id="396">
    <w:p w14:paraId="0D68CD66" w14:textId="77777777" w:rsidR="00210409" w:rsidRDefault="00210409">
      <w:pPr>
        <w:pStyle w:val="FootnoteText"/>
      </w:pPr>
      <w:r>
        <w:rPr>
          <w:rStyle w:val="FootnoteReference"/>
        </w:rPr>
        <w:footnoteRef/>
      </w:r>
      <w:r>
        <w:t xml:space="preserve"> Landon, pp. 177-8.</w:t>
      </w:r>
    </w:p>
  </w:footnote>
  <w:footnote w:id="397">
    <w:p w14:paraId="0D68CD67" w14:textId="77777777" w:rsidR="00210409" w:rsidRDefault="00210409">
      <w:pPr>
        <w:pStyle w:val="FootnoteText"/>
      </w:pPr>
      <w:r>
        <w:rPr>
          <w:rStyle w:val="FootnoteReference"/>
        </w:rPr>
        <w:footnoteRef/>
      </w:r>
      <w:r>
        <w:t xml:space="preserve"> Landon, Manual of Councils, London, 1846, pg. 174.</w:t>
      </w:r>
    </w:p>
  </w:footnote>
  <w:footnote w:id="398">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399">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0">
    <w:p w14:paraId="0D68CD6A" w14:textId="77777777" w:rsidR="00210409" w:rsidRDefault="00210409">
      <w:pPr>
        <w:pStyle w:val="FootnoteText"/>
      </w:pPr>
      <w:r>
        <w:rPr>
          <w:rStyle w:val="FootnoteReference"/>
        </w:rPr>
        <w:footnoteRef/>
      </w:r>
      <w:r>
        <w:t xml:space="preserve"> See pg. 288 in original.</w:t>
      </w:r>
    </w:p>
  </w:footnote>
  <w:footnote w:id="401">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2">
    <w:p w14:paraId="0D68CD6C" w14:textId="77777777" w:rsidR="00210409" w:rsidRDefault="00210409">
      <w:pPr>
        <w:pStyle w:val="FootnoteText"/>
      </w:pPr>
      <w:r>
        <w:rPr>
          <w:rStyle w:val="FootnoteReference"/>
        </w:rPr>
        <w:footnoteRef/>
      </w:r>
      <w:r>
        <w:t xml:space="preserve"> Latin Christ. I, pg. 227.</w:t>
      </w:r>
    </w:p>
  </w:footnote>
  <w:footnote w:id="403">
    <w:p w14:paraId="0D68CD6D" w14:textId="77777777" w:rsidR="00210409" w:rsidRDefault="00210409">
      <w:pPr>
        <w:pStyle w:val="FootnoteText"/>
      </w:pPr>
      <w:r>
        <w:rPr>
          <w:rStyle w:val="FootnoteReference"/>
        </w:rPr>
        <w:footnoteRef/>
      </w:r>
      <w:r>
        <w:t xml:space="preserve"> Outlines Hist. Dog., pp. 204, 208, 320, 323.</w:t>
      </w:r>
    </w:p>
  </w:footnote>
  <w:footnote w:id="404">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5">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6">
    <w:p w14:paraId="0D68CD70" w14:textId="77777777" w:rsidR="00210409" w:rsidRDefault="00210409">
      <w:pPr>
        <w:pStyle w:val="FootnoteText"/>
      </w:pPr>
      <w:r>
        <w:rPr>
          <w:rStyle w:val="FootnoteReference"/>
        </w:rPr>
        <w:footnoteRef/>
      </w:r>
      <w:r>
        <w:t xml:space="preserve"> Alexandria and her Schools.</w:t>
      </w:r>
    </w:p>
  </w:footnote>
  <w:footnote w:id="407">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8">
    <w:p w14:paraId="0D68CD72" w14:textId="77777777" w:rsidR="00210409" w:rsidRDefault="00210409">
      <w:pPr>
        <w:pStyle w:val="FootnoteText"/>
      </w:pPr>
      <w:r>
        <w:rPr>
          <w:rStyle w:val="FootnoteReference"/>
        </w:rPr>
        <w:footnoteRef/>
      </w:r>
      <w:r>
        <w:t xml:space="preserve"> Rev. S. Crane, D.D., in The Universalist.</w:t>
      </w:r>
    </w:p>
  </w:footnote>
  <w:footnote w:id="409">
    <w:p w14:paraId="0D68CD73" w14:textId="77777777" w:rsidR="00210409" w:rsidRDefault="00210409">
      <w:pPr>
        <w:pStyle w:val="FootnoteText"/>
      </w:pPr>
      <w:r>
        <w:rPr>
          <w:rStyle w:val="FootnoteReference"/>
        </w:rPr>
        <w:footnoteRef/>
      </w:r>
      <w:r>
        <w:t xml:space="preserve"> Grimm’s Michael Angelo.</w:t>
      </w:r>
    </w:p>
  </w:footnote>
  <w:footnote w:id="410">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1">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2">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73DB"/>
    <w:rsid w:val="000E3C62"/>
    <w:rsid w:val="00111DDF"/>
    <w:rsid w:val="001224E0"/>
    <w:rsid w:val="001312CD"/>
    <w:rsid w:val="001340E3"/>
    <w:rsid w:val="00155E56"/>
    <w:rsid w:val="001621F4"/>
    <w:rsid w:val="001730C7"/>
    <w:rsid w:val="00174940"/>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4E59"/>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C3F"/>
    <w:rsid w:val="004C2AB3"/>
    <w:rsid w:val="004C5AAD"/>
    <w:rsid w:val="004D1B8A"/>
    <w:rsid w:val="004E3BF8"/>
    <w:rsid w:val="004E64CE"/>
    <w:rsid w:val="004E7976"/>
    <w:rsid w:val="00502A48"/>
    <w:rsid w:val="00524ECB"/>
    <w:rsid w:val="00526CC2"/>
    <w:rsid w:val="00540B03"/>
    <w:rsid w:val="00556C34"/>
    <w:rsid w:val="00580870"/>
    <w:rsid w:val="00592BE3"/>
    <w:rsid w:val="00596BAE"/>
    <w:rsid w:val="00597B90"/>
    <w:rsid w:val="005A4D11"/>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3ADF"/>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94EC8"/>
    <w:rsid w:val="00B977A8"/>
    <w:rsid w:val="00BA51ED"/>
    <w:rsid w:val="00BB534C"/>
    <w:rsid w:val="00BC003A"/>
    <w:rsid w:val="00BC3C16"/>
    <w:rsid w:val="00BC5F97"/>
    <w:rsid w:val="00BC725B"/>
    <w:rsid w:val="00BC7E06"/>
    <w:rsid w:val="00BF7D55"/>
    <w:rsid w:val="00C04506"/>
    <w:rsid w:val="00C07A79"/>
    <w:rsid w:val="00C11F5A"/>
    <w:rsid w:val="00C138BA"/>
    <w:rsid w:val="00C22834"/>
    <w:rsid w:val="00C24F14"/>
    <w:rsid w:val="00C3361C"/>
    <w:rsid w:val="00C37BC2"/>
    <w:rsid w:val="00C41037"/>
    <w:rsid w:val="00C5038C"/>
    <w:rsid w:val="00C606EF"/>
    <w:rsid w:val="00C63A0F"/>
    <w:rsid w:val="00C91C23"/>
    <w:rsid w:val="00C9708A"/>
    <w:rsid w:val="00CA0B55"/>
    <w:rsid w:val="00CA2C96"/>
    <w:rsid w:val="00CB42D9"/>
    <w:rsid w:val="00CE2A68"/>
    <w:rsid w:val="00D033D0"/>
    <w:rsid w:val="00D1233F"/>
    <w:rsid w:val="00D24505"/>
    <w:rsid w:val="00D27D86"/>
    <w:rsid w:val="00D31F5F"/>
    <w:rsid w:val="00D36E90"/>
    <w:rsid w:val="00D62131"/>
    <w:rsid w:val="00D70373"/>
    <w:rsid w:val="00D71C14"/>
    <w:rsid w:val="00D735A1"/>
    <w:rsid w:val="00D80E3A"/>
    <w:rsid w:val="00D90996"/>
    <w:rsid w:val="00DB5010"/>
    <w:rsid w:val="00DC0350"/>
    <w:rsid w:val="00DC76B3"/>
    <w:rsid w:val="00DF547C"/>
    <w:rsid w:val="00E02D82"/>
    <w:rsid w:val="00E07E35"/>
    <w:rsid w:val="00E22916"/>
    <w:rsid w:val="00E424C8"/>
    <w:rsid w:val="00E47806"/>
    <w:rsid w:val="00E61ACC"/>
    <w:rsid w:val="00E7084A"/>
    <w:rsid w:val="00EA06C1"/>
    <w:rsid w:val="00EC2CCF"/>
    <w:rsid w:val="00ED019D"/>
    <w:rsid w:val="00ED646C"/>
    <w:rsid w:val="00F0105C"/>
    <w:rsid w:val="00F24BEA"/>
    <w:rsid w:val="00F468C2"/>
    <w:rsid w:val="00F4797A"/>
    <w:rsid w:val="00F533E7"/>
    <w:rsid w:val="00F53824"/>
    <w:rsid w:val="00F6777F"/>
    <w:rsid w:val="00F711E1"/>
    <w:rsid w:val="00F73648"/>
    <w:rsid w:val="00F82C15"/>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180</Pages>
  <Words>70809</Words>
  <Characters>403615</Characters>
  <Application>Microsoft Office Word</Application>
  <DocSecurity>0</DocSecurity>
  <Lines>3363</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15</cp:revision>
  <dcterms:created xsi:type="dcterms:W3CDTF">2021-12-30T21:50:00Z</dcterms:created>
  <dcterms:modified xsi:type="dcterms:W3CDTF">2022-11-03T19:43:00Z</dcterms:modified>
</cp:coreProperties>
</file>