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1"/>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2"/>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3"/>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5"/>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6"/>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7"/>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8"/>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9"/>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0"/>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1"/>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2"/>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3"/>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4"/>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6"/>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7"/>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8"/>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9"/>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1"/>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2"/>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4"/>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5"/>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6"/>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7"/>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8"/>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9"/>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0"/>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2"/>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3"/>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4"/>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5"/>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6"/>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8"/>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9"/>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0"/>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1"/>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2"/>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4"/>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5"/>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6"/>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7"/>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8"/>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9"/>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4"/>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6"/>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8"/>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9"/>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0"/>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1"/>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2"/>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4"/>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6"/>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7"/>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9"/>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0"/>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1"/>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2"/>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3"/>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5"/>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6"/>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7"/>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8"/>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9"/>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0"/>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1"/>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2"/>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3"/>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4"/>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6"/>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7"/>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8"/>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9"/>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0"/>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1"/>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2"/>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3"/>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4"/>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6"/>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7"/>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8"/>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9"/>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0"/>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2"/>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3"/>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5"/>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8"/>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1"/>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2"/>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3"/>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4"/>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5"/>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6"/>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8"/>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4"/>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5"/>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6"/>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7"/>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8"/>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0"/>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1"/>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2"/>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3"/>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4"/>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5"/>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6"/>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7"/>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9"/>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E146" w14:textId="77777777" w:rsidR="003452E7" w:rsidRDefault="003452E7" w:rsidP="00661298">
      <w:pPr>
        <w:spacing w:after="0" w:line="240" w:lineRule="auto"/>
      </w:pPr>
      <w:r>
        <w:separator/>
      </w:r>
    </w:p>
  </w:endnote>
  <w:endnote w:type="continuationSeparator" w:id="0">
    <w:p w14:paraId="1E02D67F" w14:textId="77777777" w:rsidR="003452E7" w:rsidRDefault="003452E7"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6140" w14:textId="77777777" w:rsidR="003452E7" w:rsidRDefault="003452E7" w:rsidP="00661298">
      <w:pPr>
        <w:spacing w:after="0" w:line="240" w:lineRule="auto"/>
      </w:pPr>
      <w:r>
        <w:separator/>
      </w:r>
    </w:p>
  </w:footnote>
  <w:footnote w:type="continuationSeparator" w:id="0">
    <w:p w14:paraId="1E229E3E" w14:textId="77777777" w:rsidR="003452E7" w:rsidRDefault="003452E7"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9">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0">
    <w:p w14:paraId="0D68CCEC" w14:textId="77777777" w:rsidR="00210409" w:rsidRDefault="00210409">
      <w:pPr>
        <w:pStyle w:val="FootnoteText"/>
      </w:pPr>
      <w:r>
        <w:rPr>
          <w:rStyle w:val="FootnoteReference"/>
        </w:rPr>
        <w:footnoteRef/>
      </w:r>
      <w:r>
        <w:t xml:space="preserve"> See pg. 190 of original.</w:t>
      </w:r>
    </w:p>
  </w:footnote>
  <w:footnote w:id="281">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2">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3">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4">
    <w:p w14:paraId="0D68CCF0" w14:textId="77777777" w:rsidR="00210409" w:rsidRDefault="00210409">
      <w:pPr>
        <w:pStyle w:val="FootnoteText"/>
      </w:pPr>
      <w:r>
        <w:rPr>
          <w:rStyle w:val="FootnoteReference"/>
        </w:rPr>
        <w:footnoteRef/>
      </w:r>
      <w:r>
        <w:t xml:space="preserve"> Oxford Tracts for the Times, No. XVII.</w:t>
      </w:r>
    </w:p>
  </w:footnote>
  <w:footnote w:id="285">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6">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7">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8">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9">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0">
    <w:p w14:paraId="0D68CCF6" w14:textId="77777777" w:rsidR="00210409" w:rsidRDefault="00210409">
      <w:pPr>
        <w:pStyle w:val="FootnoteText"/>
      </w:pPr>
      <w:r>
        <w:rPr>
          <w:rStyle w:val="FootnoteReference"/>
        </w:rPr>
        <w:footnoteRef/>
      </w:r>
      <w:r>
        <w:t xml:space="preserve"> Vol. II, pp. 414-416.</w:t>
      </w:r>
    </w:p>
  </w:footnote>
  <w:footnote w:id="291">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2">
    <w:p w14:paraId="0D68CCF8" w14:textId="77777777" w:rsidR="00210409" w:rsidRDefault="00210409">
      <w:pPr>
        <w:pStyle w:val="FootnoteText"/>
      </w:pPr>
      <w:r>
        <w:rPr>
          <w:rStyle w:val="FootnoteReference"/>
        </w:rPr>
        <w:footnoteRef/>
      </w:r>
      <w:r>
        <w:t xml:space="preserve"> P. 349, note.</w:t>
      </w:r>
    </w:p>
  </w:footnote>
  <w:footnote w:id="293">
    <w:p w14:paraId="0D68CCF9" w14:textId="77777777" w:rsidR="00210409" w:rsidRDefault="00210409">
      <w:pPr>
        <w:pStyle w:val="FootnoteText"/>
      </w:pPr>
      <w:r>
        <w:rPr>
          <w:rStyle w:val="FootnoteReference"/>
        </w:rPr>
        <w:footnoteRef/>
      </w:r>
      <w:r>
        <w:t xml:space="preserve"> Vol. II, pg. 676.</w:t>
      </w:r>
    </w:p>
  </w:footnote>
  <w:footnote w:id="294">
    <w:p w14:paraId="0D68CCFA" w14:textId="77777777" w:rsidR="00210409" w:rsidRDefault="00210409">
      <w:pPr>
        <w:pStyle w:val="FootnoteText"/>
      </w:pPr>
      <w:r>
        <w:rPr>
          <w:rStyle w:val="FootnoteReference"/>
        </w:rPr>
        <w:footnoteRef/>
      </w:r>
      <w:r>
        <w:t xml:space="preserve"> Eusebius, VI:26.</w:t>
      </w:r>
    </w:p>
  </w:footnote>
  <w:footnote w:id="295">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6">
    <w:p w14:paraId="0D68CCFC" w14:textId="77777777" w:rsidR="00210409" w:rsidRDefault="00210409">
      <w:pPr>
        <w:pStyle w:val="FootnoteText"/>
      </w:pPr>
      <w:r>
        <w:rPr>
          <w:rStyle w:val="FootnoteReference"/>
        </w:rPr>
        <w:footnoteRef/>
      </w:r>
      <w:r>
        <w:t xml:space="preserve"> Routh, Rel. Sac., III, p. 498. Oxford ed., 1846.</w:t>
      </w:r>
    </w:p>
  </w:footnote>
  <w:footnote w:id="297">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8">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9">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0">
    <w:p w14:paraId="0D68CD00" w14:textId="77777777" w:rsidR="00210409" w:rsidRDefault="00210409">
      <w:pPr>
        <w:pStyle w:val="FootnoteText"/>
      </w:pPr>
      <w:r>
        <w:rPr>
          <w:rStyle w:val="FootnoteReference"/>
        </w:rPr>
        <w:footnoteRef/>
      </w:r>
      <w:r>
        <w:t xml:space="preserve"> See sketch of Jerome.</w:t>
      </w:r>
    </w:p>
  </w:footnote>
  <w:footnote w:id="301">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2">
    <w:p w14:paraId="0D68CD02" w14:textId="77777777" w:rsidR="00210409" w:rsidRDefault="00210409">
      <w:pPr>
        <w:pStyle w:val="FootnoteText"/>
      </w:pPr>
      <w:r>
        <w:rPr>
          <w:rStyle w:val="FootnoteReference"/>
        </w:rPr>
        <w:footnoteRef/>
      </w:r>
      <w:r>
        <w:t xml:space="preserve"> Dictionary of Christian Biography, II, p. 150.</w:t>
      </w:r>
    </w:p>
  </w:footnote>
  <w:footnote w:id="303">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4">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5">
    <w:p w14:paraId="0D68CD05" w14:textId="77777777" w:rsidR="00210409" w:rsidRDefault="00210409">
      <w:pPr>
        <w:pStyle w:val="FootnoteText"/>
      </w:pPr>
      <w:r>
        <w:rPr>
          <w:rStyle w:val="FootnoteReference"/>
        </w:rPr>
        <w:footnoteRef/>
      </w:r>
      <w:r>
        <w:t xml:space="preserve"> See pg. 212 in original.</w:t>
      </w:r>
    </w:p>
  </w:footnote>
  <w:footnote w:id="306">
    <w:p w14:paraId="0D68CD06" w14:textId="77777777" w:rsidR="00210409" w:rsidRDefault="00210409">
      <w:pPr>
        <w:pStyle w:val="FootnoteText"/>
      </w:pPr>
      <w:r>
        <w:rPr>
          <w:rStyle w:val="FootnoteReference"/>
        </w:rPr>
        <w:footnoteRef/>
      </w:r>
      <w:r>
        <w:t xml:space="preserve"> See pg. 212 in original.</w:t>
      </w:r>
    </w:p>
  </w:footnote>
  <w:footnote w:id="307">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8">
    <w:p w14:paraId="0D68CD08" w14:textId="77777777" w:rsidR="00210409" w:rsidRDefault="00210409">
      <w:pPr>
        <w:pStyle w:val="FootnoteText"/>
      </w:pPr>
      <w:r>
        <w:rPr>
          <w:rStyle w:val="FootnoteReference"/>
        </w:rPr>
        <w:footnoteRef/>
      </w:r>
      <w:r>
        <w:t xml:space="preserve"> See Newman’s Hist. Essays, Vol. III.</w:t>
      </w:r>
    </w:p>
  </w:footnote>
  <w:footnote w:id="309">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0">
    <w:p w14:paraId="0D68CD0A" w14:textId="77777777" w:rsidR="00210409" w:rsidRDefault="00210409">
      <w:pPr>
        <w:pStyle w:val="FootnoteText"/>
      </w:pPr>
      <w:r>
        <w:rPr>
          <w:rStyle w:val="FootnoteReference"/>
        </w:rPr>
        <w:footnoteRef/>
      </w:r>
      <w:r>
        <w:t xml:space="preserve"> See pg. 215 in original.</w:t>
      </w:r>
    </w:p>
  </w:footnote>
  <w:footnote w:id="311">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2">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3">
    <w:p w14:paraId="0D68CD0D" w14:textId="77777777" w:rsidR="00210409" w:rsidRDefault="00210409">
      <w:pPr>
        <w:pStyle w:val="FootnoteText"/>
      </w:pPr>
      <w:r>
        <w:rPr>
          <w:rStyle w:val="FootnoteReference"/>
        </w:rPr>
        <w:footnoteRef/>
      </w:r>
      <w:r>
        <w:t xml:space="preserve"> Dictionary of Christian Biography, II, p. 194.</w:t>
      </w:r>
    </w:p>
  </w:footnote>
  <w:footnote w:id="314">
    <w:p w14:paraId="0D68CD0E" w14:textId="77777777" w:rsidR="00210409" w:rsidRDefault="00210409">
      <w:pPr>
        <w:pStyle w:val="FootnoteText"/>
      </w:pPr>
      <w:r>
        <w:rPr>
          <w:rStyle w:val="FootnoteReference"/>
        </w:rPr>
        <w:footnoteRef/>
      </w:r>
      <w:r>
        <w:t xml:space="preserve"> Ibid. IV, p. 946.</w:t>
      </w:r>
    </w:p>
  </w:footnote>
  <w:footnote w:id="315">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6">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7">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8">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9">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0">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1">
    <w:p w14:paraId="0D68CD15" w14:textId="77777777" w:rsidR="00210409" w:rsidRDefault="00210409">
      <w:pPr>
        <w:pStyle w:val="FootnoteText"/>
      </w:pPr>
      <w:r>
        <w:rPr>
          <w:rStyle w:val="FootnoteReference"/>
        </w:rPr>
        <w:footnoteRef/>
      </w:r>
      <w:r>
        <w:t xml:space="preserve"> Universalism Asserted, p. 148.</w:t>
      </w:r>
    </w:p>
  </w:footnote>
  <w:footnote w:id="322">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3">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4">
    <w:p w14:paraId="0D68CD18" w14:textId="77777777" w:rsidR="00210409" w:rsidRDefault="00210409">
      <w:pPr>
        <w:pStyle w:val="FootnoteText"/>
      </w:pPr>
      <w:r>
        <w:rPr>
          <w:rStyle w:val="FootnoteReference"/>
        </w:rPr>
        <w:footnoteRef/>
      </w:r>
      <w:r>
        <w:t xml:space="preserve"> Dict. Christ. Biog. III, p. 780.</w:t>
      </w:r>
    </w:p>
  </w:footnote>
  <w:footnote w:id="325">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6">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7">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8">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9">
    <w:p w14:paraId="0D68CD1D" w14:textId="77777777" w:rsidR="00210409" w:rsidRDefault="00210409">
      <w:pPr>
        <w:pStyle w:val="FootnoteText"/>
      </w:pPr>
      <w:r>
        <w:rPr>
          <w:rStyle w:val="FootnoteReference"/>
        </w:rPr>
        <w:footnoteRef/>
      </w:r>
      <w:r>
        <w:t xml:space="preserve"> History of the Church, pg. 176.</w:t>
      </w:r>
    </w:p>
  </w:footnote>
  <w:footnote w:id="330">
    <w:p w14:paraId="0D68CD1E" w14:textId="77777777" w:rsidR="00210409" w:rsidRDefault="00210409">
      <w:pPr>
        <w:pStyle w:val="FootnoteText"/>
      </w:pPr>
      <w:r>
        <w:rPr>
          <w:rStyle w:val="FootnoteReference"/>
        </w:rPr>
        <w:footnoteRef/>
      </w:r>
      <w:r>
        <w:t xml:space="preserve"> Lives of the Fathers, II, p. 451.</w:t>
      </w:r>
    </w:p>
  </w:footnote>
  <w:footnote w:id="331">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2">
    <w:p w14:paraId="0D68CD20" w14:textId="77777777" w:rsidR="00210409" w:rsidRDefault="00210409">
      <w:pPr>
        <w:pStyle w:val="FootnoteText"/>
      </w:pPr>
      <w:r>
        <w:rPr>
          <w:rStyle w:val="FootnoteReference"/>
        </w:rPr>
        <w:footnoteRef/>
      </w:r>
      <w:r>
        <w:t xml:space="preserve"> Cave, Lives of the Fathers, II, 397.</w:t>
      </w:r>
    </w:p>
  </w:footnote>
  <w:footnote w:id="333">
    <w:p w14:paraId="0D68CD21" w14:textId="77777777" w:rsidR="00210409" w:rsidRDefault="00210409">
      <w:pPr>
        <w:pStyle w:val="FootnoteText"/>
      </w:pPr>
      <w:r>
        <w:rPr>
          <w:rStyle w:val="FootnoteReference"/>
        </w:rPr>
        <w:footnoteRef/>
      </w:r>
      <w:r>
        <w:t xml:space="preserve"> De Ascetics.</w:t>
      </w:r>
    </w:p>
  </w:footnote>
  <w:footnote w:id="334">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5">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6">
    <w:p w14:paraId="0D68CD24" w14:textId="77777777" w:rsidR="00210409" w:rsidRDefault="00210409">
      <w:pPr>
        <w:pStyle w:val="FootnoteText"/>
      </w:pPr>
      <w:r>
        <w:rPr>
          <w:rStyle w:val="FootnoteReference"/>
        </w:rPr>
        <w:footnoteRef/>
      </w:r>
      <w:r>
        <w:t xml:space="preserve"> See original pg. 237.</w:t>
      </w:r>
    </w:p>
  </w:footnote>
  <w:footnote w:id="337">
    <w:p w14:paraId="0D68CD25" w14:textId="77777777" w:rsidR="00210409" w:rsidRDefault="00210409">
      <w:pPr>
        <w:pStyle w:val="FootnoteText"/>
      </w:pPr>
      <w:r>
        <w:rPr>
          <w:rStyle w:val="FootnoteReference"/>
        </w:rPr>
        <w:footnoteRef/>
      </w:r>
      <w:r>
        <w:t xml:space="preserve"> See pg. 238 in original.</w:t>
      </w:r>
    </w:p>
  </w:footnote>
  <w:footnote w:id="338">
    <w:p w14:paraId="0D68CD26" w14:textId="77777777" w:rsidR="00210409" w:rsidRDefault="00210409">
      <w:pPr>
        <w:pStyle w:val="FootnoteText"/>
      </w:pPr>
      <w:r>
        <w:rPr>
          <w:rStyle w:val="FootnoteReference"/>
        </w:rPr>
        <w:footnoteRef/>
      </w:r>
      <w:r>
        <w:t xml:space="preserve"> See pg. 238 in original.</w:t>
      </w:r>
    </w:p>
  </w:footnote>
  <w:footnote w:id="339">
    <w:p w14:paraId="0D68CD27" w14:textId="77777777" w:rsidR="00210409" w:rsidRDefault="00210409">
      <w:pPr>
        <w:pStyle w:val="FootnoteText"/>
      </w:pPr>
      <w:r>
        <w:rPr>
          <w:rStyle w:val="FootnoteReference"/>
        </w:rPr>
        <w:footnoteRef/>
      </w:r>
      <w:r>
        <w:t xml:space="preserve"> See pg. 238 in original.</w:t>
      </w:r>
    </w:p>
  </w:footnote>
  <w:footnote w:id="340">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1">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2">
    <w:p w14:paraId="0D68CD2A" w14:textId="77777777" w:rsidR="00210409" w:rsidRDefault="00210409">
      <w:pPr>
        <w:pStyle w:val="FootnoteText"/>
      </w:pPr>
      <w:r>
        <w:rPr>
          <w:rStyle w:val="FootnoteReference"/>
        </w:rPr>
        <w:footnoteRef/>
      </w:r>
      <w:r>
        <w:t xml:space="preserve"> Lecky’s Rationalism in Europe, I, pg. 316.</w:t>
      </w:r>
    </w:p>
  </w:footnote>
  <w:footnote w:id="343">
    <w:p w14:paraId="0D68CD2B" w14:textId="77777777" w:rsidR="00210409" w:rsidRDefault="00210409">
      <w:pPr>
        <w:pStyle w:val="FootnoteText"/>
      </w:pPr>
      <w:r>
        <w:rPr>
          <w:rStyle w:val="FootnoteReference"/>
        </w:rPr>
        <w:footnoteRef/>
      </w:r>
      <w:r>
        <w:t xml:space="preserve"> On the Psalms.</w:t>
      </w:r>
    </w:p>
  </w:footnote>
  <w:footnote w:id="344">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5">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6">
    <w:p w14:paraId="0D68CD2E" w14:textId="77777777" w:rsidR="00210409" w:rsidRDefault="00210409">
      <w:pPr>
        <w:pStyle w:val="FootnoteText"/>
      </w:pPr>
      <w:r>
        <w:rPr>
          <w:rStyle w:val="FootnoteReference"/>
        </w:rPr>
        <w:footnoteRef/>
      </w:r>
      <w:r>
        <w:t xml:space="preserve"> Essays on Church and State.</w:t>
      </w:r>
    </w:p>
  </w:footnote>
  <w:footnote w:id="347">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8">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9">
    <w:p w14:paraId="0D68CD31" w14:textId="77777777" w:rsidR="00210409" w:rsidRDefault="00210409">
      <w:pPr>
        <w:pStyle w:val="FootnoteText"/>
      </w:pPr>
      <w:r>
        <w:rPr>
          <w:rStyle w:val="FootnoteReference"/>
        </w:rPr>
        <w:footnoteRef/>
      </w:r>
      <w:r>
        <w:t xml:space="preserve"> On Psalm 37.</w:t>
      </w:r>
    </w:p>
  </w:footnote>
  <w:footnote w:id="350">
    <w:p w14:paraId="0D68CD32" w14:textId="77777777" w:rsidR="00210409" w:rsidRDefault="00210409">
      <w:pPr>
        <w:pStyle w:val="FootnoteText"/>
      </w:pPr>
      <w:r>
        <w:rPr>
          <w:rStyle w:val="FootnoteReference"/>
        </w:rPr>
        <w:footnoteRef/>
      </w:r>
      <w:r>
        <w:t xml:space="preserve"> Epis. Lib. 1.</w:t>
      </w:r>
    </w:p>
  </w:footnote>
  <w:footnote w:id="351">
    <w:p w14:paraId="0D68CD33" w14:textId="77777777" w:rsidR="00210409" w:rsidRDefault="00210409">
      <w:pPr>
        <w:pStyle w:val="FootnoteText"/>
      </w:pPr>
      <w:r>
        <w:rPr>
          <w:rStyle w:val="FootnoteReference"/>
        </w:rPr>
        <w:footnoteRef/>
      </w:r>
      <w:r>
        <w:t xml:space="preserve"> De Fide.</w:t>
      </w:r>
    </w:p>
  </w:footnote>
  <w:footnote w:id="352">
    <w:p w14:paraId="0D68CD34" w14:textId="77777777" w:rsidR="00210409" w:rsidRDefault="00210409">
      <w:pPr>
        <w:pStyle w:val="FootnoteText"/>
      </w:pPr>
      <w:r>
        <w:rPr>
          <w:rStyle w:val="FootnoteReference"/>
        </w:rPr>
        <w:footnoteRef/>
      </w:r>
      <w:r>
        <w:t xml:space="preserve"> On Psalm 62.</w:t>
      </w:r>
    </w:p>
  </w:footnote>
  <w:footnote w:id="353">
    <w:p w14:paraId="0D68CD35" w14:textId="77777777" w:rsidR="00210409" w:rsidRDefault="00210409">
      <w:pPr>
        <w:pStyle w:val="FootnoteText"/>
      </w:pPr>
      <w:r>
        <w:rPr>
          <w:rStyle w:val="FootnoteReference"/>
        </w:rPr>
        <w:footnoteRef/>
      </w:r>
      <w:r>
        <w:t xml:space="preserve"> On Luke 15:3.</w:t>
      </w:r>
    </w:p>
  </w:footnote>
  <w:footnote w:id="354">
    <w:p w14:paraId="0D68CD36" w14:textId="77777777" w:rsidR="00210409" w:rsidRDefault="00210409">
      <w:pPr>
        <w:pStyle w:val="FootnoteText"/>
      </w:pPr>
      <w:r>
        <w:rPr>
          <w:rStyle w:val="FootnoteReference"/>
        </w:rPr>
        <w:footnoteRef/>
      </w:r>
      <w:r>
        <w:t xml:space="preserve"> Blessing of Death, Chapter 7.</w:t>
      </w:r>
    </w:p>
  </w:footnote>
  <w:footnote w:id="355">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6">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7">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8">
    <w:p w14:paraId="0D68CD3A" w14:textId="77777777" w:rsidR="00210409" w:rsidRDefault="00210409">
      <w:pPr>
        <w:pStyle w:val="FootnoteText"/>
      </w:pPr>
      <w:r>
        <w:rPr>
          <w:rStyle w:val="FootnoteReference"/>
        </w:rPr>
        <w:footnoteRef/>
      </w:r>
      <w:r>
        <w:t xml:space="preserve"> Adv. Man., Ch. iv.</w:t>
      </w:r>
    </w:p>
  </w:footnote>
  <w:footnote w:id="359">
    <w:p w14:paraId="0D68CD3B" w14:textId="77777777" w:rsidR="00210409" w:rsidRDefault="00210409">
      <w:pPr>
        <w:pStyle w:val="FootnoteText"/>
      </w:pPr>
      <w:r>
        <w:rPr>
          <w:rStyle w:val="FootnoteReference"/>
        </w:rPr>
        <w:footnoteRef/>
      </w:r>
      <w:r>
        <w:t xml:space="preserve"> Not. et Frag., xix.</w:t>
      </w:r>
    </w:p>
  </w:footnote>
  <w:footnote w:id="360">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1">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2">
    <w:p w14:paraId="0D68CD3E" w14:textId="77777777" w:rsidR="00210409" w:rsidRDefault="00210409">
      <w:pPr>
        <w:pStyle w:val="FootnoteText"/>
      </w:pPr>
      <w:r>
        <w:rPr>
          <w:rStyle w:val="FootnoteReference"/>
        </w:rPr>
        <w:footnoteRef/>
      </w:r>
      <w:r>
        <w:t xml:space="preserve"> Hist. Christ Ch., ii:628. Hist. Christ. Dogmas, ii:877.</w:t>
      </w:r>
    </w:p>
  </w:footnote>
  <w:footnote w:id="363">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4">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5">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6">
    <w:p w14:paraId="0D68CD42" w14:textId="77777777" w:rsidR="00210409" w:rsidRDefault="00210409">
      <w:pPr>
        <w:pStyle w:val="FootnoteText"/>
      </w:pPr>
      <w:r>
        <w:rPr>
          <w:rStyle w:val="FootnoteReference"/>
        </w:rPr>
        <w:footnoteRef/>
      </w:r>
      <w:r>
        <w:t xml:space="preserve"> Origen. II, p. 160.</w:t>
      </w:r>
    </w:p>
  </w:footnote>
  <w:footnote w:id="367">
    <w:p w14:paraId="0D68CD43" w14:textId="77777777" w:rsidR="00210409" w:rsidRDefault="00210409">
      <w:pPr>
        <w:pStyle w:val="FootnoteText"/>
      </w:pPr>
      <w:r>
        <w:rPr>
          <w:rStyle w:val="FootnoteReference"/>
        </w:rPr>
        <w:footnoteRef/>
      </w:r>
      <w:r>
        <w:t xml:space="preserve"> Anc. Hist. Univ., pg. 265.</w:t>
      </w:r>
    </w:p>
  </w:footnote>
  <w:footnote w:id="368">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9">
    <w:p w14:paraId="0D68CD45" w14:textId="77777777" w:rsidR="00210409" w:rsidRDefault="00210409">
      <w:pPr>
        <w:pStyle w:val="FootnoteText"/>
      </w:pPr>
      <w:r>
        <w:rPr>
          <w:rStyle w:val="FootnoteReference"/>
        </w:rPr>
        <w:footnoteRef/>
      </w:r>
      <w:r>
        <w:t xml:space="preserve"> Robertson’s Hist. Christ. Ch. I, pg. 455.</w:t>
      </w:r>
    </w:p>
  </w:footnote>
  <w:footnote w:id="370">
    <w:p w14:paraId="0D68CD46" w14:textId="77777777" w:rsidR="00210409" w:rsidRDefault="00210409">
      <w:pPr>
        <w:pStyle w:val="FootnoteText"/>
      </w:pPr>
      <w:r>
        <w:rPr>
          <w:rStyle w:val="FootnoteReference"/>
        </w:rPr>
        <w:footnoteRef/>
      </w:r>
      <w:r>
        <w:t xml:space="preserve"> What is of Faith, pg. 231.</w:t>
      </w:r>
    </w:p>
  </w:footnote>
  <w:footnote w:id="371">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2">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3">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4">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5">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6">
    <w:p w14:paraId="0D68CD4C" w14:textId="77777777" w:rsidR="00210409" w:rsidRDefault="00210409">
      <w:pPr>
        <w:pStyle w:val="FootnoteText"/>
      </w:pPr>
      <w:r>
        <w:rPr>
          <w:rStyle w:val="FootnoteReference"/>
        </w:rPr>
        <w:footnoteRef/>
      </w:r>
      <w:r>
        <w:t xml:space="preserve"> Commentary on Amos.</w:t>
      </w:r>
    </w:p>
  </w:footnote>
  <w:footnote w:id="377">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8">
    <w:p w14:paraId="0D68CD4E" w14:textId="77777777" w:rsidR="00210409" w:rsidRDefault="00210409">
      <w:pPr>
        <w:pStyle w:val="FootnoteText"/>
      </w:pPr>
      <w:r>
        <w:rPr>
          <w:rStyle w:val="FootnoteReference"/>
        </w:rPr>
        <w:footnoteRef/>
      </w:r>
      <w:r>
        <w:t xml:space="preserve"> He calls Origen “that immortal intellect.”</w:t>
      </w:r>
    </w:p>
  </w:footnote>
  <w:footnote w:id="379">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0">
    <w:p w14:paraId="0D68CD50" w14:textId="77777777" w:rsidR="00210409" w:rsidRDefault="00210409">
      <w:pPr>
        <w:pStyle w:val="FootnoteText"/>
      </w:pPr>
      <w:r>
        <w:rPr>
          <w:rStyle w:val="FootnoteReference"/>
        </w:rPr>
        <w:footnoteRef/>
      </w:r>
      <w:r>
        <w:t xml:space="preserve"> Homily IX on I Cor. 3:12-18.</w:t>
      </w:r>
    </w:p>
  </w:footnote>
  <w:footnote w:id="381">
    <w:p w14:paraId="0D68CD51" w14:textId="77777777" w:rsidR="00210409" w:rsidRDefault="00210409">
      <w:pPr>
        <w:pStyle w:val="FootnoteText"/>
      </w:pPr>
      <w:r>
        <w:rPr>
          <w:rStyle w:val="FootnoteReference"/>
        </w:rPr>
        <w:footnoteRef/>
      </w:r>
      <w:r>
        <w:t xml:space="preserve"> Homily XI on I Cor. 4:3.</w:t>
      </w:r>
    </w:p>
  </w:footnote>
  <w:footnote w:id="382">
    <w:p w14:paraId="0D68CD52" w14:textId="77777777" w:rsidR="00210409" w:rsidRDefault="00210409">
      <w:pPr>
        <w:pStyle w:val="FootnoteText"/>
      </w:pPr>
      <w:r>
        <w:rPr>
          <w:rStyle w:val="FootnoteReference"/>
        </w:rPr>
        <w:footnoteRef/>
      </w:r>
      <w:r>
        <w:t xml:space="preserve"> Sermon xxxiv; on Psalm 148; Sermon xxx.</w:t>
      </w:r>
    </w:p>
  </w:footnote>
  <w:footnote w:id="383">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4">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5">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6">
    <w:p w14:paraId="0D68CD56" w14:textId="77777777" w:rsidR="00210409" w:rsidRDefault="00210409">
      <w:pPr>
        <w:pStyle w:val="FootnoteText"/>
      </w:pPr>
      <w:r>
        <w:rPr>
          <w:rStyle w:val="FootnoteReference"/>
        </w:rPr>
        <w:footnoteRef/>
      </w:r>
      <w:r>
        <w:t xml:space="preserve"> Allen, Cont. Christ. Thought.</w:t>
      </w:r>
    </w:p>
  </w:footnote>
  <w:footnote w:id="387">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8">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9">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0">
    <w:p w14:paraId="0D68CD5A" w14:textId="77777777" w:rsidR="00210409" w:rsidRPr="00AF07A4" w:rsidRDefault="00210409">
      <w:pPr>
        <w:pStyle w:val="FootnoteText"/>
      </w:pPr>
      <w:r>
        <w:rPr>
          <w:rStyle w:val="FootnoteReference"/>
        </w:rPr>
        <w:footnoteRef/>
      </w:r>
      <w:r>
        <w:t xml:space="preserve"> See Preface to Confessions.</w:t>
      </w:r>
    </w:p>
  </w:footnote>
  <w:footnote w:id="391">
    <w:p w14:paraId="0D68CD5B" w14:textId="77777777" w:rsidR="00210409" w:rsidRDefault="00210409">
      <w:pPr>
        <w:pStyle w:val="FootnoteText"/>
      </w:pPr>
      <w:r>
        <w:rPr>
          <w:rStyle w:val="FootnoteReference"/>
        </w:rPr>
        <w:footnoteRef/>
      </w:r>
      <w:r>
        <w:t xml:space="preserve"> Latin Christ. I.</w:t>
      </w:r>
    </w:p>
  </w:footnote>
  <w:footnote w:id="392">
    <w:p w14:paraId="0D68CD5C" w14:textId="77777777" w:rsidR="00210409" w:rsidRDefault="00210409">
      <w:pPr>
        <w:pStyle w:val="FootnoteText"/>
      </w:pPr>
      <w:r>
        <w:rPr>
          <w:rStyle w:val="FootnoteReference"/>
        </w:rPr>
        <w:footnoteRef/>
      </w:r>
      <w:r>
        <w:t xml:space="preserve"> Allen, Cont. Christ. Thought, pg. 156.</w:t>
      </w:r>
    </w:p>
  </w:footnote>
  <w:footnote w:id="393">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4">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5">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6">
    <w:p w14:paraId="0D68CD5F" w14:textId="77777777" w:rsidR="00210409" w:rsidRDefault="00210409">
      <w:pPr>
        <w:pStyle w:val="FootnoteText"/>
      </w:pPr>
      <w:r>
        <w:rPr>
          <w:rStyle w:val="FootnoteReference"/>
        </w:rPr>
        <w:footnoteRef/>
      </w:r>
      <w:r>
        <w:t xml:space="preserve"> Latin Christianity, I, 127.</w:t>
      </w:r>
    </w:p>
  </w:footnote>
  <w:footnote w:id="397">
    <w:p w14:paraId="0D68CD60" w14:textId="77777777" w:rsidR="00210409" w:rsidRDefault="00210409">
      <w:pPr>
        <w:pStyle w:val="FootnoteText"/>
      </w:pPr>
      <w:r>
        <w:rPr>
          <w:rStyle w:val="FootnoteReference"/>
        </w:rPr>
        <w:footnoteRef/>
      </w:r>
      <w:r>
        <w:t xml:space="preserve"> Farrar’s Lives of the Fathers.</w:t>
      </w:r>
    </w:p>
  </w:footnote>
  <w:footnote w:id="398">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9">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0">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1">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2">
    <w:p w14:paraId="0D68CD65" w14:textId="77777777" w:rsidR="00210409" w:rsidRDefault="00210409">
      <w:pPr>
        <w:pStyle w:val="FootnoteText"/>
      </w:pPr>
      <w:r>
        <w:rPr>
          <w:rStyle w:val="FootnoteReference"/>
        </w:rPr>
        <w:footnoteRef/>
      </w:r>
      <w:r>
        <w:t xml:space="preserve"> See pg. 284 in original.</w:t>
      </w:r>
    </w:p>
  </w:footnote>
  <w:footnote w:id="403">
    <w:p w14:paraId="0D68CD66" w14:textId="77777777" w:rsidR="00210409" w:rsidRDefault="00210409">
      <w:pPr>
        <w:pStyle w:val="FootnoteText"/>
      </w:pPr>
      <w:r>
        <w:rPr>
          <w:rStyle w:val="FootnoteReference"/>
        </w:rPr>
        <w:footnoteRef/>
      </w:r>
      <w:r>
        <w:t xml:space="preserve"> Landon, pp. 177-8.</w:t>
      </w:r>
    </w:p>
  </w:footnote>
  <w:footnote w:id="404">
    <w:p w14:paraId="0D68CD67" w14:textId="77777777" w:rsidR="00210409" w:rsidRDefault="00210409">
      <w:pPr>
        <w:pStyle w:val="FootnoteText"/>
      </w:pPr>
      <w:r>
        <w:rPr>
          <w:rStyle w:val="FootnoteReference"/>
        </w:rPr>
        <w:footnoteRef/>
      </w:r>
      <w:r>
        <w:t xml:space="preserve"> Landon, Manual of Councils, London, 1846, pg. 174.</w:t>
      </w:r>
    </w:p>
  </w:footnote>
  <w:footnote w:id="405">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6">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7">
    <w:p w14:paraId="0D68CD6A" w14:textId="77777777" w:rsidR="00210409" w:rsidRDefault="00210409">
      <w:pPr>
        <w:pStyle w:val="FootnoteText"/>
      </w:pPr>
      <w:r>
        <w:rPr>
          <w:rStyle w:val="FootnoteReference"/>
        </w:rPr>
        <w:footnoteRef/>
      </w:r>
      <w:r>
        <w:t xml:space="preserve"> See pg. 288 in original.</w:t>
      </w:r>
    </w:p>
  </w:footnote>
  <w:footnote w:id="408">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9">
    <w:p w14:paraId="0D68CD6C" w14:textId="77777777" w:rsidR="00210409" w:rsidRDefault="00210409">
      <w:pPr>
        <w:pStyle w:val="FootnoteText"/>
      </w:pPr>
      <w:r>
        <w:rPr>
          <w:rStyle w:val="FootnoteReference"/>
        </w:rPr>
        <w:footnoteRef/>
      </w:r>
      <w:r>
        <w:t xml:space="preserve"> Latin Christ. I, pg. 227.</w:t>
      </w:r>
    </w:p>
  </w:footnote>
  <w:footnote w:id="410">
    <w:p w14:paraId="0D68CD6D" w14:textId="77777777" w:rsidR="00210409" w:rsidRDefault="00210409">
      <w:pPr>
        <w:pStyle w:val="FootnoteText"/>
      </w:pPr>
      <w:r>
        <w:rPr>
          <w:rStyle w:val="FootnoteReference"/>
        </w:rPr>
        <w:footnoteRef/>
      </w:r>
      <w:r>
        <w:t xml:space="preserve"> Outlines Hist. Dog., pp. 204, 208, 320, 323.</w:t>
      </w:r>
    </w:p>
  </w:footnote>
  <w:footnote w:id="411">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2">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3">
    <w:p w14:paraId="0D68CD70" w14:textId="77777777" w:rsidR="00210409" w:rsidRDefault="00210409">
      <w:pPr>
        <w:pStyle w:val="FootnoteText"/>
      </w:pPr>
      <w:r>
        <w:rPr>
          <w:rStyle w:val="FootnoteReference"/>
        </w:rPr>
        <w:footnoteRef/>
      </w:r>
      <w:r>
        <w:t xml:space="preserve"> Alexandria and her Schools.</w:t>
      </w:r>
    </w:p>
  </w:footnote>
  <w:footnote w:id="414">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5">
    <w:p w14:paraId="0D68CD72" w14:textId="77777777" w:rsidR="00210409" w:rsidRDefault="00210409">
      <w:pPr>
        <w:pStyle w:val="FootnoteText"/>
      </w:pPr>
      <w:r>
        <w:rPr>
          <w:rStyle w:val="FootnoteReference"/>
        </w:rPr>
        <w:footnoteRef/>
      </w:r>
      <w:r>
        <w:t xml:space="preserve"> Rev. S. Crane, D.D., in The Universalist.</w:t>
      </w:r>
    </w:p>
  </w:footnote>
  <w:footnote w:id="416">
    <w:p w14:paraId="0D68CD73" w14:textId="77777777" w:rsidR="00210409" w:rsidRDefault="00210409">
      <w:pPr>
        <w:pStyle w:val="FootnoteText"/>
      </w:pPr>
      <w:r>
        <w:rPr>
          <w:rStyle w:val="FootnoteReference"/>
        </w:rPr>
        <w:footnoteRef/>
      </w:r>
      <w:r>
        <w:t xml:space="preserve"> Grimm’s Michael Angelo.</w:t>
      </w:r>
    </w:p>
  </w:footnote>
  <w:footnote w:id="417">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8">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9">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452E7"/>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01CA7"/>
    <w:rsid w:val="00A15C5B"/>
    <w:rsid w:val="00A16B9C"/>
    <w:rsid w:val="00A22938"/>
    <w:rsid w:val="00A24A03"/>
    <w:rsid w:val="00A3156E"/>
    <w:rsid w:val="00A368B9"/>
    <w:rsid w:val="00A370DF"/>
    <w:rsid w:val="00A40991"/>
    <w:rsid w:val="00A6358D"/>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189</Pages>
  <Words>71713</Words>
  <Characters>408767</Characters>
  <Application>Microsoft Office Word</Application>
  <DocSecurity>0</DocSecurity>
  <Lines>3406</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48</cp:revision>
  <cp:lastPrinted>2022-11-05T15:35:00Z</cp:lastPrinted>
  <dcterms:created xsi:type="dcterms:W3CDTF">2021-12-30T21:50:00Z</dcterms:created>
  <dcterms:modified xsi:type="dcterms:W3CDTF">2022-11-05T22:18:00Z</dcterms:modified>
</cp:coreProperties>
</file>