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77777777"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Chambre</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721B79E3"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7"/>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8"/>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19"/>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0"/>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1"/>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2"/>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3"/>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4"/>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5"/>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15A4802B"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6"/>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7"/>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8"/>
      </w:r>
      <w:r w:rsidRPr="002F5DC5">
        <w:rPr>
          <w:rFonts w:ascii="Bookman Old Style" w:hAnsi="Bookman Old Style"/>
        </w:rPr>
        <w:t xml:space="preserve"> </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29"/>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0"/>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1"/>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10" w:name="_Toc118540315"/>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32"/>
      </w:r>
      <w:bookmarkEnd w:id="10"/>
    </w:p>
    <w:p w14:paraId="0D68C987" w14:textId="415E9DF6"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3"/>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4"/>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5"/>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6"/>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E3D305" w:rsidR="00055768" w:rsidRPr="002F5DC5"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7"/>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8"/>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39"/>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0"/>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A7E798A" w:rsidR="008D7A39" w:rsidRDefault="008D7A39" w:rsidP="008D7A39">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41098870" w14:textId="77777777" w:rsidR="004A41F5" w:rsidRPr="004A41F5" w:rsidRDefault="004A41F5" w:rsidP="004A41F5"/>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1"/>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2"/>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3"/>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4"/>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5"/>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6"/>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7"/>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49"/>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0"/>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4A41F5">
        <w:rPr>
          <w:rFonts w:ascii="Bookman Old Style" w:hAnsi="Bookman Old Style"/>
        </w:rPr>
        <w:t>”</w:t>
      </w:r>
      <w:r w:rsidR="001312CD">
        <w:rPr>
          <w:rStyle w:val="FootnoteReference"/>
          <w:rFonts w:ascii="Bookman Old Style" w:hAnsi="Bookman Old Style"/>
        </w:rPr>
        <w:footnoteReference w:id="51"/>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 xml:space="preserve">at once </w:t>
      </w:r>
      <w:r w:rsidRPr="002F5DC5">
        <w:rPr>
          <w:rFonts w:ascii="Bookman Old Style" w:hAnsi="Bookman Old Style"/>
        </w:rPr>
        <w:lastRenderedPageBreak/>
        <w:t>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2"/>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3"/>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0D68C993" w14:textId="7145DE61" w:rsidR="00091D96" w:rsidRPr="002F5DC5"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5"/>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6"/>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7"/>
      </w:r>
      <w:r w:rsidR="00436485" w:rsidRPr="002F5DC5">
        <w:rPr>
          <w:rFonts w:ascii="Bookman Old Style" w:hAnsi="Bookman Old Style"/>
        </w:rPr>
        <w:t xml:space="preserve"> </w:t>
      </w:r>
    </w:p>
    <w:p w14:paraId="0D68C994" w14:textId="620DE7AC" w:rsidR="00091D96" w:rsidRPr="002F5DC5"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 xml:space="preserve">preme. In fact, orientalism was already beginning to mar the </w:t>
      </w:r>
      <w:r w:rsidRPr="002F5DC5">
        <w:rPr>
          <w:rFonts w:ascii="Bookman Old Style" w:hAnsi="Bookman Old Style"/>
        </w:rPr>
        <w:lastRenderedPageBreak/>
        <w:t>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9"/>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0"/>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2"/>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3"/>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4"/>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5"/>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lastRenderedPageBreak/>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7"/>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8"/>
      </w:r>
      <w:r w:rsidR="001D1B82" w:rsidRPr="002F5DC5">
        <w:rPr>
          <w:rFonts w:ascii="Bookman Old Style" w:hAnsi="Bookman Old Style"/>
        </w:rPr>
        <w:t xml:space="preserve"> </w:t>
      </w:r>
    </w:p>
    <w:p w14:paraId="0D68C998" w14:textId="455E1438" w:rsidR="00091D96" w:rsidRPr="002F5DC5"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69"/>
      </w:r>
      <w:r w:rsidR="00091D96"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0"/>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t>
      </w:r>
      <w:r w:rsidR="001D1B82" w:rsidRPr="002F5DC5">
        <w:rPr>
          <w:rFonts w:ascii="Bookman Old Style" w:hAnsi="Bookman Old Style"/>
        </w:rPr>
        <w:lastRenderedPageBreak/>
        <w:t xml:space="preserve">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1"/>
      </w:r>
      <w:r w:rsidR="001D1B82" w:rsidRPr="002F5DC5">
        <w:rPr>
          <w:rFonts w:ascii="Bookman Old Style" w:hAnsi="Bookman Old Style"/>
        </w:rPr>
        <w:t xml:space="preserve"> </w:t>
      </w:r>
    </w:p>
    <w:p w14:paraId="0D68C99A" w14:textId="77B7C6AC" w:rsidR="00091D96" w:rsidRPr="002F5DC5"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2"/>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3"/>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4"/>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lastRenderedPageBreak/>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less was 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 xml:space="preserve">very fallen spirit. </w:t>
      </w:r>
      <w:r w:rsidR="00091D96" w:rsidRPr="002F5DC5">
        <w:rPr>
          <w:rFonts w:ascii="Bookman Old Style" w:hAnsi="Bookman Old Style"/>
        </w:rPr>
        <w:lastRenderedPageBreak/>
        <w:t>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5"/>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6"/>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7"/>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8"/>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9"/>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0"/>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1"/>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3"/>
      </w:r>
    </w:p>
    <w:p w14:paraId="6FA9CF40" w14:textId="77777777" w:rsidR="00BC3FAA" w:rsidRDefault="00BC3FAA"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w:t>
      </w:r>
      <w:r w:rsidRPr="002F5DC5">
        <w:rPr>
          <w:rFonts w:ascii="Bookman Old Style" w:hAnsi="Bookman Old Style"/>
        </w:rPr>
        <w:lastRenderedPageBreak/>
        <w:t xml:space="preserve">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4"/>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5"/>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6"/>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7542F52C"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w:t>
      </w:r>
      <w:r w:rsidR="00A24A03" w:rsidRPr="002F5DC5">
        <w:rPr>
          <w:rFonts w:ascii="Bookman Old Style" w:hAnsi="Bookman Old Style"/>
        </w:rPr>
        <w:lastRenderedPageBreak/>
        <w:t xml:space="preserve">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0"/>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1"/>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2"/>
      </w:r>
      <w:r w:rsidRPr="002F5DC5">
        <w:rPr>
          <w:rFonts w:ascii="Bookman Old Style" w:hAnsi="Bookman Old Style"/>
        </w:rPr>
        <w:t xml:space="preserve"> </w:t>
      </w:r>
    </w:p>
    <w:p w14:paraId="0D68C9B7" w14:textId="7AE35D5D" w:rsidR="00091D96" w:rsidRPr="002F5DC5"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3"/>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lastRenderedPageBreak/>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4"/>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5"/>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7"/>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0"/>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1"/>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2"/>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Plumptre</w:t>
      </w:r>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4"/>
      </w:r>
    </w:p>
    <w:p w14:paraId="0D68C9C5" w14:textId="77777777" w:rsidR="00091D96" w:rsidRPr="002F5DC5" w:rsidRDefault="009A321E" w:rsidP="00FC6659">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5"/>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0"/>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1"/>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6"/>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7"/>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30275C">
        <w:rPr>
          <w:rFonts w:ascii="Bookman Old Style" w:hAnsi="Bookman Old Style"/>
          <w:b/>
          <w:bCs/>
        </w:rPr>
        <w:t>Co</w:t>
      </w:r>
      <w:r w:rsidR="00DC0350" w:rsidRPr="0030275C">
        <w:rPr>
          <w:rFonts w:ascii="Bookman Old Style" w:hAnsi="Bookman Old Style"/>
          <w:b/>
          <w:bCs/>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8"/>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30275C">
        <w:rPr>
          <w:rFonts w:ascii="Bookman Old Style" w:hAnsi="Bookman Old Style"/>
          <w:b/>
          <w:bCs/>
        </w:rPr>
        <w:t>Milman</w:t>
      </w:r>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9"/>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20"/>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r w:rsidRPr="0030275C">
        <w:rPr>
          <w:rFonts w:ascii="Bookman Old Style" w:hAnsi="Bookman Old Style"/>
          <w:b/>
          <w:bCs/>
        </w:rPr>
        <w:t xml:space="preserve">Hagenbach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2"/>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30275C">
        <w:rPr>
          <w:rFonts w:ascii="Bookman Old Style" w:hAnsi="Bookman Old Style"/>
          <w:b/>
          <w:bCs/>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23"/>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4"/>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7"/>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8"/>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9" w:name="_Toc118540324"/>
      <w:r w:rsidRPr="002F5DC5">
        <w:rPr>
          <w:rFonts w:ascii="Bookman Old Style" w:hAnsi="Bookman Old Style"/>
        </w:rPr>
        <w:t>Reserve</w:t>
      </w:r>
      <w:bookmarkEnd w:id="1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0"/>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2"/>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CB42D9">
        <w:rPr>
          <w:rFonts w:ascii="Bookman Old Style" w:hAnsi="Bookman Old Style"/>
          <w:b/>
          <w:bCs/>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3"/>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3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5"/>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r w:rsidRPr="00CB42D9">
        <w:rPr>
          <w:rFonts w:ascii="Bookman Old Style" w:hAnsi="Bookman Old Style"/>
          <w:b/>
          <w:bCs/>
        </w:rPr>
        <w:t>Giesele</w:t>
      </w:r>
      <w:r w:rsidR="00526CC2" w:rsidRPr="00CB42D9">
        <w:rPr>
          <w:rFonts w:ascii="Bookman Old Style" w:hAnsi="Bookman Old Style"/>
          <w:b/>
          <w:bCs/>
        </w:rPr>
        <w:t>r</w:t>
      </w:r>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6"/>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7"/>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and </w:t>
      </w:r>
      <w:r w:rsidR="00091D96" w:rsidRPr="002F5DC5">
        <w:rPr>
          <w:rFonts w:ascii="Bookman Old Style" w:hAnsi="Bookman Old Style"/>
        </w:rPr>
        <w:t xml:space="preserve">also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8"/>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r w:rsidR="00526CC2" w:rsidRPr="004E64CE">
        <w:rPr>
          <w:rFonts w:ascii="Bookman Old Style" w:hAnsi="Bookman Old Style"/>
          <w:b/>
          <w:bCs/>
        </w:rPr>
        <w:t>Synes</w:t>
      </w:r>
      <w:r w:rsidRPr="004E64CE">
        <w:rPr>
          <w:rFonts w:ascii="Bookman Old Style" w:hAnsi="Bookman Old Style"/>
          <w:b/>
          <w:bCs/>
        </w:rPr>
        <w:t>ius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9"/>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4E64CE">
        <w:rPr>
          <w:rFonts w:ascii="Bookman Old Style" w:hAnsi="Bookman Old Style"/>
          <w:b/>
          <w:bCs/>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0"/>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4E64CE">
        <w:rPr>
          <w:rFonts w:ascii="Bookman Old Style" w:hAnsi="Bookman Old Style"/>
          <w:b/>
          <w:bCs/>
        </w:rPr>
        <w:t>Dietelmaier</w:t>
      </w:r>
      <w:r w:rsidRPr="002F5DC5">
        <w:rPr>
          <w:rFonts w:ascii="Bookman Old Style" w:hAnsi="Bookman Old Style"/>
        </w:rPr>
        <w:t xml:space="preserve"> declares</w:t>
      </w:r>
      <w:r w:rsidRPr="002F5DC5">
        <w:rPr>
          <w:rStyle w:val="FootnoteReference"/>
          <w:rFonts w:ascii="Bookman Old Style" w:hAnsi="Bookman Old Style"/>
        </w:rPr>
        <w:footnoteReference w:id="141"/>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4E64CE">
        <w:rPr>
          <w:rFonts w:ascii="Bookman Old Style" w:hAnsi="Bookman Old Style"/>
          <w:b/>
          <w:bCs/>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2"/>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3"/>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4"/>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5"/>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6"/>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4E64CE">
        <w:rPr>
          <w:rFonts w:ascii="Bookman Old Style" w:hAnsi="Bookman Old Style"/>
          <w:b/>
          <w:bCs/>
        </w:rPr>
        <w:t>Uhlhorn</w:t>
      </w:r>
      <w:r w:rsidR="0077208A" w:rsidRPr="002F5DC5">
        <w:rPr>
          <w:rStyle w:val="FootnoteReference"/>
          <w:rFonts w:ascii="Bookman Old Style" w:hAnsi="Bookman Old Style"/>
        </w:rPr>
        <w:footnoteReference w:id="14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8"/>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4E64CE">
        <w:rPr>
          <w:rFonts w:ascii="Bookman Old Style" w:hAnsi="Bookman Old Style"/>
          <w:b/>
          <w:bCs/>
        </w:rPr>
        <w:t>Hagenbach</w:t>
      </w:r>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4E64CE">
        <w:rPr>
          <w:rFonts w:ascii="Bookman Old Style" w:hAnsi="Bookman Old Style"/>
          <w:b/>
          <w:bCs/>
        </w:rPr>
        <w:t>Plumptre</w:t>
      </w:r>
      <w:r w:rsidRPr="002F5DC5">
        <w:rPr>
          <w:rStyle w:val="FootnoteReference"/>
          <w:rFonts w:ascii="Bookman Old Style" w:hAnsi="Bookman Old Style"/>
        </w:rPr>
        <w:footnoteReference w:id="15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4E64CE">
        <w:rPr>
          <w:rFonts w:ascii="Bookman Old Style" w:hAnsi="Bookman Old Style"/>
          <w:b/>
          <w:bCs/>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1"/>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B977A8">
        <w:rPr>
          <w:rFonts w:ascii="Bookman Old Style" w:hAnsi="Bookman Old Style"/>
          <w:b/>
          <w:bCs/>
        </w:rPr>
        <w:t>Uhlhorn</w:t>
      </w:r>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2"/>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Note.—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4"/>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6"/>
      </w:r>
      <w:r w:rsidRPr="002F5DC5">
        <w:rPr>
          <w:rFonts w:ascii="Bookman Old Style" w:hAnsi="Bookman Old Style"/>
        </w:rPr>
        <w:t xml:space="preserve"> refers to </w:t>
      </w:r>
      <w:r w:rsidRPr="00B977A8">
        <w:rPr>
          <w:rFonts w:ascii="Bookman Old Style" w:hAnsi="Bookman Old Style"/>
          <w:b/>
          <w:bCs/>
        </w:rPr>
        <w:t>Ru</w:t>
      </w:r>
      <w:r w:rsidR="00D90996" w:rsidRPr="00B977A8">
        <w:rPr>
          <w:rFonts w:ascii="Bookman Old Style" w:hAnsi="Bookman Old Style"/>
          <w:b/>
          <w:bCs/>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r w:rsidRPr="00B977A8">
        <w:rPr>
          <w:rFonts w:ascii="Bookman Old Style" w:hAnsi="Bookman Old Style"/>
          <w:b/>
          <w:bCs/>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Shepherd of Hermas.</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r w:rsidR="007B2444" w:rsidRPr="00C5038C">
        <w:rPr>
          <w:rFonts w:ascii="Bookman Old Style" w:hAnsi="Bookman Old Style"/>
          <w:b/>
          <w:bCs/>
        </w:rPr>
        <w:t>Eusebius</w:t>
      </w:r>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r w:rsidRPr="00C5038C">
        <w:rPr>
          <w:rFonts w:ascii="Bookman Old Style" w:hAnsi="Bookman Old Style"/>
          <w:b/>
          <w:bCs/>
        </w:rPr>
        <w:t>Rothe</w:t>
      </w:r>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9"/>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0"/>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6"/>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The Epistle to Diognetus.</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502A48">
        <w:rPr>
          <w:rFonts w:ascii="Bookman Old Style" w:hAnsi="Bookman Old Style"/>
          <w:b/>
          <w:bCs/>
        </w:rPr>
        <w:t>Marcion</w:t>
      </w:r>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w:t>
      </w:r>
      <w:r w:rsidRPr="00502A48">
        <w:rPr>
          <w:rFonts w:ascii="Bookman Old Style" w:hAnsi="Bookman Old Style"/>
          <w:b/>
          <w:bCs/>
        </w:rPr>
        <w:t>Diognetus</w:t>
      </w:r>
      <w:r w:rsidRPr="002F5DC5">
        <w:rPr>
          <w:rFonts w:ascii="Bookman Old Style" w:hAnsi="Bookman Old Style"/>
        </w:rPr>
        <w:t xml:space="preserve">'s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3"/>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E04B53">
        <w:rPr>
          <w:rFonts w:ascii="Bookman Old Style" w:hAnsi="Bookman Old Style"/>
          <w:b/>
          <w:bCs/>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E04B53">
        <w:rPr>
          <w:rFonts w:ascii="Bookman Old Style" w:hAnsi="Bookman Old Style"/>
          <w:b/>
          <w:bCs/>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r w:rsidRPr="002F5DC5">
        <w:rPr>
          <w:rFonts w:ascii="Bookman Old Style" w:hAnsi="Bookman Old Style"/>
        </w:rPr>
        <w:t>Basilidians</w:t>
      </w:r>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6"/>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Basilidians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r w:rsidRPr="00E04B53">
        <w:rPr>
          <w:rFonts w:ascii="Bookman Old Style" w:hAnsi="Bookman Old Style"/>
          <w:b/>
          <w:bCs/>
        </w:rPr>
        <w:t>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1"/>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r w:rsidRPr="0017697A">
        <w:rPr>
          <w:rFonts w:ascii="Bookman Old Style" w:hAnsi="Bookman Old Style"/>
          <w:b/>
          <w:bCs/>
        </w:rPr>
        <w:t>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r w:rsidRPr="0017697A">
        <w:rPr>
          <w:rFonts w:ascii="Bookman Old Style" w:hAnsi="Bookman Old Style"/>
          <w:b/>
          <w:bCs/>
        </w:rPr>
        <w:t>Harnack</w:t>
      </w:r>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5"/>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586B23">
        <w:rPr>
          <w:rFonts w:ascii="Bookman Old Style" w:hAnsi="Bookman Old Style"/>
          <w:b/>
          <w:bCs/>
        </w:rPr>
        <w:t>Musardus</w:t>
      </w:r>
      <w:r w:rsidRPr="002F5DC5">
        <w:rPr>
          <w:rFonts w:ascii="Bookman Old Style" w:hAnsi="Bookman Old Style"/>
        </w:rPr>
        <w:t>,</w:t>
      </w:r>
      <w:r w:rsidRPr="002F5DC5">
        <w:rPr>
          <w:rStyle w:val="FootnoteReference"/>
          <w:rFonts w:ascii="Bookman Old Style" w:hAnsi="Bookman Old Style"/>
        </w:rPr>
        <w:footnoteReference w:id="186"/>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586B23">
        <w:rPr>
          <w:rFonts w:ascii="Bookman Old Style" w:hAnsi="Bookman Old Style"/>
          <w:b/>
          <w:bCs/>
        </w:rPr>
        <w:t>Opsopoeus</w:t>
      </w:r>
      <w:r w:rsidRPr="002F5DC5">
        <w:rPr>
          <w:rFonts w:ascii="Bookman Old Style" w:hAnsi="Bookman Old Style"/>
        </w:rPr>
        <w:t xml:space="preserve"> adds</w:t>
      </w:r>
      <w:r w:rsidRPr="002F5DC5">
        <w:rPr>
          <w:rStyle w:val="FootnoteReference"/>
          <w:rFonts w:ascii="Bookman Old Style" w:hAnsi="Bookman Old Style"/>
        </w:rPr>
        <w:footnoteReference w:id="187"/>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8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0"/>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353C2B">
        <w:rPr>
          <w:rFonts w:ascii="Bookman Old Style" w:hAnsi="Bookman Old Style"/>
          <w:b/>
          <w:bCs/>
        </w:rPr>
        <w:t>Lactantius</w:t>
      </w:r>
      <w:r w:rsidRPr="002F5DC5">
        <w:rPr>
          <w:rFonts w:ascii="Bookman Old Style" w:hAnsi="Bookman Old Style"/>
        </w:rPr>
        <w:t xml:space="preserve"> 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r w:rsidRPr="002F5DC5">
        <w:rPr>
          <w:rFonts w:ascii="Bookman Old Style" w:hAnsi="Bookman Old Style"/>
        </w:rPr>
        <w:t>Pantaenus.</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353C2B">
        <w:rPr>
          <w:rFonts w:ascii="Bookman Old Style" w:hAnsi="Bookman Old Style"/>
          <w:b/>
          <w:bCs/>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2"/>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3"/>
      </w:r>
    </w:p>
    <w:p w14:paraId="0D68CA34" w14:textId="10199540" w:rsidR="00091D96" w:rsidRPr="002F5DC5" w:rsidRDefault="00DB5010" w:rsidP="00DB5010">
      <w:pPr>
        <w:ind w:firstLine="720"/>
        <w:rPr>
          <w:rFonts w:ascii="Bookman Old Style" w:hAnsi="Bookman Old Style"/>
        </w:rPr>
      </w:pPr>
      <w:r w:rsidRPr="00353C2B">
        <w:rPr>
          <w:rFonts w:ascii="Bookman Old Style" w:hAnsi="Bookman Old Style"/>
          <w:b/>
          <w:bCs/>
        </w:rPr>
        <w:t>Pantaenus</w:t>
      </w:r>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353C2B">
        <w:rPr>
          <w:rFonts w:ascii="Bookman Old Style" w:hAnsi="Bookman Old Style"/>
          <w:b/>
          <w:bCs/>
        </w:rPr>
        <w:t>Pantaenus</w:t>
      </w:r>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r w:rsidR="00DB5010" w:rsidRPr="00353C2B">
        <w:rPr>
          <w:rFonts w:ascii="Bookman Old Style" w:hAnsi="Bookman Old Style"/>
          <w:b/>
          <w:bCs/>
        </w:rPr>
        <w:t>Pantae</w:t>
      </w:r>
      <w:r w:rsidR="00091D96" w:rsidRPr="00353C2B">
        <w:rPr>
          <w:rFonts w:ascii="Bookman Old Style" w:hAnsi="Bookman Old Style"/>
          <w:b/>
          <w:bCs/>
        </w:rPr>
        <w:t>nus</w:t>
      </w:r>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353C2B">
        <w:rPr>
          <w:rFonts w:ascii="Bookman Old Style" w:hAnsi="Bookman Old Style"/>
          <w:b/>
          <w:bCs/>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r w:rsidR="00DB5010" w:rsidRPr="00353C2B">
        <w:rPr>
          <w:rFonts w:ascii="Bookman Old Style" w:hAnsi="Bookman Old Style"/>
          <w:b/>
          <w:bCs/>
        </w:rPr>
        <w:t>Panta</w:t>
      </w:r>
      <w:r w:rsidRPr="00353C2B">
        <w:rPr>
          <w:rFonts w:ascii="Bookman Old Style" w:hAnsi="Bookman Old Style"/>
          <w:b/>
          <w:bCs/>
        </w:rPr>
        <w:t>enus</w:t>
      </w:r>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4"/>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D670AA">
        <w:rPr>
          <w:rFonts w:ascii="Bookman Old Style" w:hAnsi="Bookman Old Style"/>
          <w:b/>
          <w:bCs/>
        </w:rPr>
        <w:t>Abulpharag</w:t>
      </w:r>
      <w:r w:rsidRPr="00D670AA">
        <w:rPr>
          <w:rFonts w:ascii="Bookman Old Style" w:hAnsi="Bookman Old Style"/>
          <w:b/>
          <w:bCs/>
        </w:rPr>
        <w:t>ius</w:t>
      </w:r>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5"/>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6"/>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7"/>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8"/>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Clemens Alexandrin</w:t>
      </w:r>
      <w:r w:rsidRPr="00272297">
        <w:rPr>
          <w:rFonts w:ascii="Bookman Old Style" w:hAnsi="Bookman Old Style"/>
          <w:b/>
          <w:bCs/>
        </w:rPr>
        <w:t>us</w:t>
      </w:r>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272297">
        <w:rPr>
          <w:rFonts w:ascii="Bookman Old Style" w:hAnsi="Bookman Old Style"/>
          <w:b/>
          <w:bCs/>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9"/>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272297">
        <w:rPr>
          <w:rFonts w:ascii="Bookman Old Style" w:hAnsi="Bookman Old Style"/>
          <w:b/>
          <w:bCs/>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0"/>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272297">
        <w:rPr>
          <w:rFonts w:ascii="Bookman Old Style" w:hAnsi="Bookman Old Style"/>
          <w:b/>
          <w:bCs/>
        </w:rPr>
        <w:t>Pantaenus</w:t>
      </w:r>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1"/>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2"/>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3"/>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4"/>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5"/>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6"/>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7"/>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8"/>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9"/>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0"/>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1"/>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2"/>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C12855">
        <w:rPr>
          <w:rFonts w:ascii="Bookman Old Style" w:hAnsi="Bookman Old Style"/>
          <w:b/>
          <w:bCs/>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3"/>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4"/>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6"/>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7"/>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8"/>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r w:rsidRPr="00F816BA">
        <w:rPr>
          <w:rFonts w:ascii="Bookman Old Style" w:hAnsi="Bookman Old Style"/>
          <w:b/>
          <w:bCs/>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F816BA">
        <w:rPr>
          <w:rFonts w:ascii="Bookman Old Style" w:hAnsi="Bookman Old Style"/>
          <w:b/>
          <w:bCs/>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9"/>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0"/>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r w:rsidR="00D71C14" w:rsidRPr="00F816BA">
        <w:rPr>
          <w:rFonts w:ascii="Bookman Old Style" w:hAnsi="Bookman Old Style"/>
          <w:b/>
          <w:bCs/>
        </w:rPr>
        <w:t>Pantaenus</w:t>
      </w:r>
      <w:r w:rsidR="00D71C14" w:rsidRPr="002F5DC5">
        <w:rPr>
          <w:rFonts w:ascii="Bookman Old Style" w:hAnsi="Bookman Old Style"/>
        </w:rPr>
        <w:t xml:space="preserve">, and, as seems apparent, </w:t>
      </w:r>
      <w:r w:rsidRPr="002F5DC5">
        <w:rPr>
          <w:rFonts w:ascii="Bookman Old Style" w:hAnsi="Bookman Old Style"/>
        </w:rPr>
        <w:t xml:space="preserve">by </w:t>
      </w:r>
      <w:r w:rsidRPr="00F816BA">
        <w:rPr>
          <w:rFonts w:ascii="Bookman Old Style" w:hAnsi="Bookman Old Style"/>
          <w:b/>
          <w:bCs/>
        </w:rPr>
        <w:t>Anathegoras</w:t>
      </w:r>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Origen Adama</w:t>
      </w:r>
      <w:r w:rsidR="00D71C14" w:rsidRPr="00524495">
        <w:rPr>
          <w:rFonts w:ascii="Bookman Old Style" w:hAnsi="Bookman Old Style"/>
          <w:b/>
          <w:bCs/>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1"/>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2"/>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AD</w:t>
      </w:r>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AD</w:t>
      </w:r>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3"/>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4"/>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5"/>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r w:rsidR="00986F4A" w:rsidRPr="00C03035">
        <w:rPr>
          <w:rFonts w:ascii="Bookman Old Style" w:hAnsi="Bookman Old Style"/>
          <w:b/>
          <w:bCs/>
        </w:rPr>
        <w:t>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6"/>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7"/>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C03035">
        <w:rPr>
          <w:rFonts w:ascii="Bookman Old Style" w:hAnsi="Bookman Old Style"/>
          <w:b/>
          <w:bCs/>
        </w:rPr>
        <w:t>Ad</w:t>
      </w:r>
      <w:r w:rsidR="00986F4A" w:rsidRPr="00C03035">
        <w:rPr>
          <w:rFonts w:ascii="Bookman Old Style" w:hAnsi="Bookman Old Style"/>
          <w:b/>
          <w:bCs/>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De P</w:t>
      </w:r>
      <w:r w:rsidR="00986F4A" w:rsidRPr="00C03035">
        <w:rPr>
          <w:rFonts w:ascii="Bookman Old Style" w:hAnsi="Bookman Old Style"/>
          <w:b/>
          <w:bCs/>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8"/>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C03035">
        <w:rPr>
          <w:rFonts w:ascii="Bookman Old Style" w:hAnsi="Bookman Old Style"/>
          <w:b/>
          <w:bCs/>
        </w:rPr>
        <w:t>Gieseler</w:t>
      </w:r>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r w:rsidR="00986F4A" w:rsidRPr="00C03035">
        <w:rPr>
          <w:rFonts w:ascii="Bookman Old Style" w:hAnsi="Bookman Old Style"/>
          <w:b/>
          <w:bCs/>
        </w:rPr>
        <w:t>Heraclas</w:t>
      </w:r>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r w:rsidR="00986F4A" w:rsidRPr="00C03035">
        <w:rPr>
          <w:rFonts w:ascii="Bookman Old Style" w:hAnsi="Bookman Old Style"/>
          <w:b/>
          <w:bCs/>
        </w:rPr>
        <w:t>Pantae</w:t>
      </w:r>
      <w:r w:rsidRPr="00C03035">
        <w:rPr>
          <w:rFonts w:ascii="Bookman Old Style" w:hAnsi="Bookman Old Style"/>
          <w:b/>
          <w:bCs/>
        </w:rPr>
        <w:t>nus</w:t>
      </w:r>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r w:rsidR="00986F4A" w:rsidRPr="00C03035">
        <w:rPr>
          <w:rFonts w:ascii="Bookman Old Style" w:hAnsi="Bookman Old Style"/>
          <w:b/>
          <w:bCs/>
        </w:rPr>
        <w:t>Heraclas</w:t>
      </w:r>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9"/>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0"/>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6C416E">
        <w:rPr>
          <w:rFonts w:ascii="Bookman Old Style" w:hAnsi="Bookman Old Style"/>
          <w:b/>
          <w:bCs/>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De Principiis</w:t>
      </w:r>
      <w:r w:rsidRPr="002F5DC5">
        <w:rPr>
          <w:rFonts w:ascii="Bookman Old Style" w:hAnsi="Bookman Old Style"/>
        </w:rPr>
        <w:t>,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31"/>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r w:rsidR="00CE2A68" w:rsidRPr="006C416E">
        <w:rPr>
          <w:rFonts w:ascii="Bookman Old Style" w:hAnsi="Bookman Old Style"/>
          <w:b/>
          <w:bCs/>
        </w:rPr>
        <w:t>Rufinus</w:t>
      </w:r>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6C416E">
        <w:rPr>
          <w:rFonts w:ascii="Bookman Old Style" w:hAnsi="Bookman Old Style"/>
          <w:b/>
          <w:bCs/>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6C416E">
        <w:rPr>
          <w:rFonts w:ascii="Bookman Old Style" w:hAnsi="Bookman Old Style"/>
          <w:b/>
          <w:bCs/>
        </w:rPr>
        <w:t>Rufinu</w:t>
      </w:r>
      <w:r w:rsidRPr="006C416E">
        <w:rPr>
          <w:rFonts w:ascii="Bookman Old Style" w:hAnsi="Bookman Old Style"/>
          <w:b/>
          <w:bCs/>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r w:rsidR="00CE2A68" w:rsidRPr="006C416E">
        <w:rPr>
          <w:rFonts w:ascii="Bookman Old Style" w:hAnsi="Bookman Old Style"/>
          <w:b/>
          <w:bCs/>
        </w:rPr>
        <w:t>Rufinus</w:t>
      </w:r>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2"/>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3"/>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AD</w:t>
      </w:r>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E303EF">
        <w:rPr>
          <w:rFonts w:ascii="Bookman Old Style" w:hAnsi="Bookman Old Style"/>
          <w:b/>
          <w:bCs/>
        </w:rPr>
        <w:t>Huet</w:t>
      </w:r>
      <w:r w:rsidR="00091D96" w:rsidRPr="002F5DC5">
        <w:rPr>
          <w:rFonts w:ascii="Bookman Old Style" w:hAnsi="Bookman Old Style"/>
        </w:rPr>
        <w:t xml:space="preserve"> quotes </w:t>
      </w:r>
      <w:r w:rsidR="00091D96" w:rsidRPr="00E303EF">
        <w:rPr>
          <w:rFonts w:ascii="Bookman Old Style" w:hAnsi="Bookman Old Style"/>
          <w:b/>
          <w:bCs/>
        </w:rPr>
        <w:t>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23F3BA82" w:rsidR="00091D96" w:rsidRPr="002F5DC5"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6"/>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7"/>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8"/>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9"/>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E303EF">
        <w:rPr>
          <w:rFonts w:ascii="Bookman Old Style" w:hAnsi="Bookman Old Style"/>
          <w:b/>
          <w:bCs/>
        </w:rPr>
        <w:t>Pamphilus</w:t>
      </w:r>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2"/>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3"/>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4"/>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5"/>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6"/>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7"/>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 (greek),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1"/>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2"/>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3"/>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85"/>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6"/>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7"/>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8"/>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9"/>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0"/>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r w:rsidR="00091D96" w:rsidRPr="004A724F">
        <w:rPr>
          <w:rFonts w:ascii="Bookman Old Style" w:hAnsi="Bookman Old Style"/>
          <w:b/>
          <w:bCs/>
        </w:rPr>
        <w:t>Hagenbach</w:t>
      </w:r>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1"/>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r w:rsidRPr="004A724F">
        <w:rPr>
          <w:rFonts w:ascii="Bookman Old Style" w:hAnsi="Bookman Old Style"/>
          <w:b/>
          <w:bCs/>
        </w:rPr>
        <w:t>Hagenbach</w:t>
      </w:r>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r w:rsidR="00091D96" w:rsidRPr="004A724F">
        <w:rPr>
          <w:rFonts w:ascii="Bookman Old Style" w:hAnsi="Bookman Old Style"/>
          <w:b/>
          <w:bCs/>
        </w:rPr>
        <w:t>Hagenbac</w:t>
      </w:r>
      <w:r w:rsidRPr="004A724F">
        <w:rPr>
          <w:rFonts w:ascii="Bookman Old Style" w:hAnsi="Bookman Old Style"/>
          <w:b/>
          <w:bCs/>
        </w:rPr>
        <w:t>h</w:t>
      </w:r>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2"/>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3C42D0">
        <w:rPr>
          <w:rFonts w:ascii="Bookman Old Style" w:hAnsi="Bookman Old Style"/>
          <w:b/>
          <w:bCs/>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3C42D0">
        <w:rPr>
          <w:rFonts w:ascii="Bookman Old Style" w:hAnsi="Bookman Old Style"/>
          <w:b/>
          <w:bCs/>
        </w:rPr>
        <w:t>Ha</w:t>
      </w:r>
      <w:r w:rsidRPr="003C42D0">
        <w:rPr>
          <w:rFonts w:ascii="Bookman Old Style" w:hAnsi="Bookman Old Style"/>
          <w:b/>
          <w:bCs/>
        </w:rPr>
        <w:t>genbach</w:t>
      </w:r>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3"/>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r>
        <w:t>Firmilian.</w:t>
      </w:r>
      <w:bookmarkEnd w:id="63"/>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4"/>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r>
        <w:t>Theognostus and Pierius.</w:t>
      </w:r>
      <w:bookmarkEnd w:id="65"/>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3C42D0">
        <w:rPr>
          <w:rFonts w:ascii="Bookman Old Style" w:hAnsi="Bookman Old Style"/>
          <w:b/>
          <w:bCs/>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r>
        <w:t>Pamphilus.</w:t>
      </w:r>
      <w:bookmarkEnd w:id="67"/>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6"/>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7"/>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8"/>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9"/>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r w:rsidR="00C04506" w:rsidRPr="004B1413">
        <w:rPr>
          <w:rFonts w:ascii="Bookman Old Style" w:hAnsi="Bookman Old Style"/>
          <w:b/>
          <w:bCs/>
        </w:rPr>
        <w:t>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1"/>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4"/>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5"/>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6"/>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7"/>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8"/>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9"/>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0"/>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16. Theodore of Mopsuestia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2"/>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E37426">
        <w:rPr>
          <w:rFonts w:ascii="Bookman Old Style" w:hAnsi="Bookman Old Style"/>
          <w:b/>
          <w:bCs/>
        </w:rPr>
        <w:t>Swete</w:t>
      </w:r>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3"/>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4"/>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5"/>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6"/>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8"/>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9"/>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0"/>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1"/>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r w:rsidRPr="00332CF5">
        <w:rPr>
          <w:rFonts w:ascii="Bookman Old Style" w:hAnsi="Bookman Old Style"/>
          <w:b/>
          <w:bCs/>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2"/>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"Macrina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4"/>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5"/>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6"/>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7"/>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8"/>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9"/>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4"/>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6"/>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8"/>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9"/>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0"/>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1"/>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2"/>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4"/>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6"/>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Titus of Bostra.</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7"/>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9"/>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0"/>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1"/>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2"/>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3"/>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5"/>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6"/>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7"/>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r w:rsidRPr="002F5DC5">
        <w:rPr>
          <w:rFonts w:ascii="Bookman Old Style" w:hAnsi="Bookman Old Style"/>
        </w:rPr>
        <w:t>Serapion.</w:t>
      </w:r>
      <w:bookmarkEnd w:id="85"/>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8"/>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r w:rsidRPr="002F5DC5">
        <w:rPr>
          <w:rFonts w:ascii="Bookman Old Style" w:hAnsi="Bookman Old Style"/>
        </w:rPr>
        <w:t>Macarius Magnes.</w:t>
      </w:r>
      <w:bookmarkEnd w:id="86"/>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0"/>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Hilary, Bishop of Poictiers.</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1"/>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2"/>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r w:rsidRPr="002F5DC5">
        <w:rPr>
          <w:rFonts w:ascii="Bookman Old Style" w:hAnsi="Bookman Old Style"/>
        </w:rPr>
        <w:lastRenderedPageBreak/>
        <w:t>Theodoret, the Blessed.</w:t>
      </w:r>
      <w:bookmarkEnd w:id="90"/>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3"/>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r w:rsidRPr="002F5DC5">
        <w:rPr>
          <w:rFonts w:ascii="Bookman Old Style" w:hAnsi="Bookman Old Style"/>
        </w:rPr>
        <w:t>Evagrius Ponticus.</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4"/>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r w:rsidRPr="002F5DC5">
        <w:rPr>
          <w:rFonts w:ascii="Bookman Old Style" w:hAnsi="Bookman Old Style"/>
        </w:rPr>
        <w:t>Rufinus.</w:t>
      </w:r>
      <w:bookmarkEnd w:id="93"/>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6"/>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7"/>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r w:rsidRPr="002F5DC5">
        <w:rPr>
          <w:rFonts w:ascii="Bookman Old Style" w:hAnsi="Bookman Old Style"/>
        </w:rPr>
        <w:t>Diodore, Bishop of Tarsus.</w:t>
      </w:r>
      <w:bookmarkEnd w:id="95"/>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8"/>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69"/>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0"/>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r w:rsidRPr="002F5DC5">
        <w:rPr>
          <w:rFonts w:ascii="Bookman Old Style" w:hAnsi="Bookman Old Style"/>
        </w:rPr>
        <w:lastRenderedPageBreak/>
        <w:t>Macarius.</w:t>
      </w:r>
      <w:bookmarkEnd w:id="97"/>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Peter Chrysologus.</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Bar-Sudaili.</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1"/>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2"/>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3"/>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4"/>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6"/>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7"/>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8"/>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9"/>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0"/>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2"/>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3"/>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5"/>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8"/>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gainst the Priscillianists 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Milman: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1"/>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2"/>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3"/>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4"/>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5"/>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6"/>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8"/>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4"/>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5"/>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6"/>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7"/>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8"/>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0"/>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1"/>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2"/>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3"/>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4"/>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5"/>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6"/>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7"/>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9"/>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r w:rsidRPr="00377200">
        <w:rPr>
          <w:rFonts w:ascii="Bookman Old Style" w:hAnsi="Bookman Old Style"/>
        </w:rPr>
        <w:t>A</w:t>
      </w:r>
      <w:bookmarkEnd w:id="110"/>
      <w:r w:rsidR="00844304">
        <w:rPr>
          <w:rFonts w:ascii="Bookman Old Style" w:hAnsi="Bookman Old Style"/>
        </w:rPr>
        <w:t>llin,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r w:rsidRPr="00377200">
        <w:rPr>
          <w:rFonts w:ascii="Bookman Old Style" w:hAnsi="Bookman Old Style"/>
        </w:rPr>
        <w:t>Bryennios, Philotheos</w:t>
      </w:r>
      <w:bookmarkEnd w:id="113"/>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6F84B9FB" w:rsidR="00F73648" w:rsidRPr="002F5DC5" w:rsidRDefault="00F73648" w:rsidP="00F73648">
      <w:pPr>
        <w:pStyle w:val="Heading2"/>
        <w:rPr>
          <w:rFonts w:ascii="Bookman Old Style" w:hAnsi="Bookman Old Style"/>
        </w:rPr>
      </w:pPr>
      <w:r w:rsidRPr="002F5DC5">
        <w:rPr>
          <w:rFonts w:ascii="Bookman Old Style" w:hAnsi="Bookman Old Style"/>
        </w:rPr>
        <w:t>Chambre,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r w:rsidRPr="002F5DC5">
        <w:rPr>
          <w:rFonts w:ascii="Bookman Old Style" w:hAnsi="Bookman Old Style"/>
        </w:rPr>
        <w:t>Hagenbach,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r>
        <w:rPr>
          <w:rFonts w:ascii="Bookman Old Style" w:hAnsi="Bookman Old Style"/>
        </w:rPr>
        <w:t>Haweis</w:t>
      </w:r>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r>
        <w:rPr>
          <w:rFonts w:ascii="Bookman Old Style" w:hAnsi="Bookman Old Style"/>
        </w:rPr>
        <w:t>Milman,</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r>
        <w:rPr>
          <w:rFonts w:ascii="Bookman Old Style" w:hAnsi="Bookman Old Style"/>
        </w:rPr>
        <w:t>Pressens</w:t>
      </w:r>
      <w:r w:rsidRPr="004A41F5">
        <w:rPr>
          <w:rFonts w:ascii="Bookman Old Style" w:hAnsi="Bookman Old Style"/>
        </w:rPr>
        <w:t>é</w:t>
      </w:r>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47BBA" w14:textId="77777777" w:rsidR="00EA68C7" w:rsidRDefault="00EA68C7" w:rsidP="00661298">
      <w:pPr>
        <w:spacing w:after="0" w:line="240" w:lineRule="auto"/>
      </w:pPr>
      <w:r>
        <w:separator/>
      </w:r>
    </w:p>
  </w:endnote>
  <w:endnote w:type="continuationSeparator" w:id="0">
    <w:p w14:paraId="01CBD225" w14:textId="77777777" w:rsidR="00EA68C7" w:rsidRDefault="00EA68C7"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BB14" w14:textId="77777777" w:rsidR="00EA68C7" w:rsidRDefault="00EA68C7" w:rsidP="00661298">
      <w:pPr>
        <w:spacing w:after="0" w:line="240" w:lineRule="auto"/>
      </w:pPr>
      <w:r>
        <w:separator/>
      </w:r>
    </w:p>
  </w:footnote>
  <w:footnote w:type="continuationSeparator" w:id="0">
    <w:p w14:paraId="53A97F7A" w14:textId="77777777" w:rsidR="00EA68C7" w:rsidRDefault="00EA68C7"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8">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9">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0">
    <w:p w14:paraId="5E6F6397" w14:textId="034D8A12" w:rsidR="00210409" w:rsidRDefault="00210409">
      <w:pPr>
        <w:pStyle w:val="FootnoteText"/>
      </w:pPr>
      <w:r>
        <w:rPr>
          <w:rStyle w:val="FootnoteReference"/>
        </w:rPr>
        <w:footnoteRef/>
      </w:r>
      <w:r>
        <w:t xml:space="preserve"> DM: Matthew 25:31.</w:t>
      </w:r>
    </w:p>
  </w:footnote>
  <w:footnote w:id="21">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2">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23">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24">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5">
    <w:p w14:paraId="0D68CC0A" w14:textId="2134990E" w:rsidR="00210409" w:rsidRDefault="00210409">
      <w:pPr>
        <w:pStyle w:val="FootnoteText"/>
      </w:pPr>
      <w:r>
        <w:rPr>
          <w:rStyle w:val="FootnoteReference"/>
        </w:rPr>
        <w:footnoteRef/>
      </w:r>
      <w:r>
        <w:t xml:space="preserve"> JW: Aionion, the original of “everlasting.”</w:t>
      </w:r>
    </w:p>
  </w:footnote>
  <w:footnote w:id="26">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7">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8">
    <w:p w14:paraId="799B212E" w14:textId="56048E98" w:rsidR="001927FE" w:rsidRDefault="001927FE">
      <w:pPr>
        <w:pStyle w:val="FootnoteText"/>
      </w:pPr>
      <w:r>
        <w:rPr>
          <w:rStyle w:val="FootnoteReference"/>
        </w:rPr>
        <w:footnoteRef/>
      </w:r>
      <w:r>
        <w:t xml:space="preserve"> DM: Known these days as annihilationism.</w:t>
      </w:r>
    </w:p>
  </w:footnote>
  <w:footnote w:id="29">
    <w:p w14:paraId="0D68CC0D" w14:textId="77777777" w:rsidR="00210409" w:rsidRDefault="00210409">
      <w:pPr>
        <w:pStyle w:val="FootnoteText"/>
      </w:pPr>
      <w:r>
        <w:rPr>
          <w:rStyle w:val="FootnoteReference"/>
        </w:rPr>
        <w:footnoteRef/>
      </w:r>
      <w:r>
        <w:t xml:space="preserve"> See Lamson’s </w:t>
      </w:r>
      <w:r w:rsidRPr="009C36CF">
        <w:rPr>
          <w:i/>
          <w:iCs/>
        </w:rPr>
        <w:t>Church of the First Three Centuries</w:t>
      </w:r>
      <w:r>
        <w:t>.</w:t>
      </w:r>
    </w:p>
  </w:footnote>
  <w:footnote w:id="30">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1">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2">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3">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4">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5">
    <w:p w14:paraId="0D68CC0E" w14:textId="08108BCB" w:rsidR="00210409" w:rsidRDefault="00210409">
      <w:pPr>
        <w:pStyle w:val="FootnoteText"/>
      </w:pPr>
      <w:r>
        <w:rPr>
          <w:rStyle w:val="FootnoteReference"/>
        </w:rPr>
        <w:footnoteRef/>
      </w:r>
      <w:r>
        <w:t xml:space="preserve"> JW: See Socrates’ Ecclesiastical History.</w:t>
      </w:r>
    </w:p>
  </w:footnote>
  <w:footnote w:id="36">
    <w:p w14:paraId="0D68CC0F" w14:textId="77777777" w:rsidR="00210409" w:rsidRDefault="00210409">
      <w:pPr>
        <w:pStyle w:val="FootnoteText"/>
      </w:pPr>
      <w:r>
        <w:rPr>
          <w:rStyle w:val="FootnoteReference"/>
        </w:rPr>
        <w:footnoteRef/>
      </w:r>
      <w:r>
        <w:t xml:space="preserve"> DM: Flavius Julius Constans Augustus (AD 323-350).</w:t>
      </w:r>
    </w:p>
  </w:footnote>
  <w:footnote w:id="37">
    <w:p w14:paraId="0D68CC10" w14:textId="20A0895B" w:rsidR="00210409" w:rsidRDefault="00210409">
      <w:pPr>
        <w:pStyle w:val="FootnoteText"/>
      </w:pPr>
      <w:r>
        <w:rPr>
          <w:rStyle w:val="FootnoteReference"/>
        </w:rPr>
        <w:footnoteRef/>
      </w:r>
      <w:r>
        <w:t xml:space="preserve"> JW: Hort’s Two Dissertations, pp. 106, 138-147.</w:t>
      </w:r>
    </w:p>
  </w:footnote>
  <w:footnote w:id="38">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39">
    <w:p w14:paraId="0D68CC12" w14:textId="77777777" w:rsidR="00210409" w:rsidRDefault="00210409">
      <w:pPr>
        <w:pStyle w:val="FootnoteText"/>
      </w:pPr>
      <w:r>
        <w:rPr>
          <w:rStyle w:val="FootnoteReference"/>
        </w:rPr>
        <w:footnoteRef/>
      </w:r>
      <w:r>
        <w:t xml:space="preserve"> 2 Corinthians 5:19.</w:t>
      </w:r>
    </w:p>
  </w:footnote>
  <w:footnote w:id="40">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footnote>
  <w:footnote w:id="41">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2">
    <w:p w14:paraId="58EE4CF2" w14:textId="62316E81" w:rsidR="00210409" w:rsidRDefault="00210409">
      <w:pPr>
        <w:pStyle w:val="FootnoteText"/>
      </w:pPr>
      <w:r>
        <w:rPr>
          <w:rStyle w:val="FootnoteReference"/>
        </w:rPr>
        <w:footnoteRef/>
      </w:r>
      <w:r>
        <w:t xml:space="preserve"> DM: Probably Hippolyte Taine, a French historian.</w:t>
      </w:r>
    </w:p>
  </w:footnote>
  <w:footnote w:id="43">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4">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45">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6">
    <w:p w14:paraId="0D68CC17" w14:textId="77777777" w:rsidR="00210409" w:rsidRDefault="00210409">
      <w:pPr>
        <w:pStyle w:val="FootnoteText"/>
      </w:pPr>
      <w:r>
        <w:rPr>
          <w:rStyle w:val="FootnoteReference"/>
        </w:rPr>
        <w:footnoteRef/>
      </w:r>
      <w:r>
        <w:t xml:space="preserve"> Matthew 11:28.</w:t>
      </w:r>
    </w:p>
  </w:footnote>
  <w:footnote w:id="47">
    <w:p w14:paraId="0D68CC18" w14:textId="77777777" w:rsidR="00210409" w:rsidRDefault="00210409">
      <w:pPr>
        <w:pStyle w:val="FootnoteText"/>
      </w:pPr>
      <w:r>
        <w:rPr>
          <w:rStyle w:val="FootnoteReference"/>
        </w:rPr>
        <w:footnoteRef/>
      </w:r>
      <w:r>
        <w:t xml:space="preserve"> Philippians 4:4.</w:t>
      </w:r>
    </w:p>
  </w:footnote>
  <w:footnote w:id="48">
    <w:p w14:paraId="0D68CC19" w14:textId="77777777" w:rsidR="00210409" w:rsidRDefault="00210409">
      <w:pPr>
        <w:pStyle w:val="FootnoteText"/>
      </w:pPr>
      <w:r>
        <w:rPr>
          <w:rStyle w:val="FootnoteReference"/>
        </w:rPr>
        <w:footnoteRef/>
      </w:r>
      <w:r>
        <w:t xml:space="preserve"> 1 Peter 1:8.</w:t>
      </w:r>
    </w:p>
  </w:footnote>
  <w:footnote w:id="49">
    <w:p w14:paraId="0D68CC1A" w14:textId="77777777" w:rsidR="00210409" w:rsidRDefault="00210409">
      <w:pPr>
        <w:pStyle w:val="FootnoteText"/>
      </w:pPr>
      <w:r>
        <w:rPr>
          <w:rStyle w:val="FootnoteReference"/>
        </w:rPr>
        <w:footnoteRef/>
      </w:r>
      <w:r>
        <w:t xml:space="preserve"> Luke 7:33-34.</w:t>
      </w:r>
    </w:p>
  </w:footnote>
  <w:footnote w:id="50">
    <w:p w14:paraId="115FA2EC" w14:textId="3420F1E2" w:rsidR="001312CD" w:rsidRDefault="001312CD">
      <w:pPr>
        <w:pStyle w:val="FootnoteText"/>
      </w:pPr>
      <w:r>
        <w:rPr>
          <w:rStyle w:val="FootnoteReference"/>
        </w:rPr>
        <w:footnoteRef/>
      </w:r>
      <w:r>
        <w:t xml:space="preserve"> DM: See Matthew 6:26, 28 and Luke 12:24, 27.</w:t>
      </w:r>
    </w:p>
  </w:footnote>
  <w:footnote w:id="51">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2">
    <w:p w14:paraId="539B9E01" w14:textId="027753AE" w:rsidR="00210409" w:rsidRDefault="00210409">
      <w:pPr>
        <w:pStyle w:val="FootnoteText"/>
      </w:pPr>
      <w:r>
        <w:rPr>
          <w:rStyle w:val="FootnoteReference"/>
        </w:rPr>
        <w:footnoteRef/>
      </w:r>
      <w:r>
        <w:t xml:space="preserve"> DM: Hugh Reginald Haweis.</w:t>
      </w:r>
    </w:p>
  </w:footnote>
  <w:footnote w:id="53">
    <w:p w14:paraId="0D68CC1B" w14:textId="0D2333A2" w:rsidR="00210409" w:rsidRDefault="00210409">
      <w:pPr>
        <w:pStyle w:val="FootnoteText"/>
      </w:pPr>
      <w:r>
        <w:rPr>
          <w:rStyle w:val="FootnoteReference"/>
        </w:rPr>
        <w:footnoteRef/>
      </w:r>
      <w:r>
        <w:t xml:space="preserve"> JW: Hugh Reginald Haweis. The Conquering Cross: The Church. Forewords. 1887</w:t>
      </w:r>
      <w:r w:rsidR="001312CD">
        <w:t>, pg. VI.</w:t>
      </w:r>
    </w:p>
  </w:footnote>
  <w:footnote w:id="54">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5">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6">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7">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8">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59">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0">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1">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2">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3">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4">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5">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8">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9">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0">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1">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2">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3">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4">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75">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6">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7">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8">
    <w:p w14:paraId="0D68CC29" w14:textId="77777777" w:rsidR="00210409" w:rsidRDefault="00210409">
      <w:pPr>
        <w:pStyle w:val="FootnoteText"/>
      </w:pPr>
      <w:r>
        <w:rPr>
          <w:rStyle w:val="FootnoteReference"/>
        </w:rPr>
        <w:footnoteRef/>
      </w:r>
      <w:r>
        <w:t xml:space="preserve"> See footnote 34.</w:t>
      </w:r>
    </w:p>
  </w:footnote>
  <w:footnote w:id="79">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0">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1">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2">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83">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84">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85">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86">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87">
    <w:p w14:paraId="0D68CC30" w14:textId="77777777" w:rsidR="00210409" w:rsidRDefault="00210409">
      <w:pPr>
        <w:pStyle w:val="FootnoteText"/>
      </w:pPr>
      <w:r>
        <w:rPr>
          <w:rStyle w:val="FootnoteReference"/>
        </w:rPr>
        <w:footnoteRef/>
      </w:r>
      <w:r>
        <w:t xml:space="preserve"> Mariott, pg. 186.</w:t>
      </w:r>
    </w:p>
  </w:footnote>
  <w:footnote w:id="88">
    <w:p w14:paraId="0D68CC31" w14:textId="77777777" w:rsidR="00210409" w:rsidRDefault="00210409">
      <w:pPr>
        <w:pStyle w:val="FootnoteText"/>
      </w:pPr>
      <w:r>
        <w:rPr>
          <w:rStyle w:val="FootnoteReference"/>
        </w:rPr>
        <w:footnoteRef/>
      </w:r>
      <w:r>
        <w:t xml:space="preserve"> Schaff, Hist. Christ. Church, Vol 1, p. 342.</w:t>
      </w:r>
    </w:p>
  </w:footnote>
  <w:footnote w:id="89">
    <w:p w14:paraId="0D68CC32" w14:textId="77777777" w:rsidR="00210409" w:rsidRDefault="00210409">
      <w:pPr>
        <w:pStyle w:val="FootnoteText"/>
      </w:pPr>
      <w:r>
        <w:rPr>
          <w:rStyle w:val="FootnoteReference"/>
        </w:rPr>
        <w:footnoteRef/>
      </w:r>
      <w:r>
        <w:t xml:space="preserve"> Maitland.</w:t>
      </w:r>
    </w:p>
  </w:footnote>
  <w:footnote w:id="90">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1">
    <w:p w14:paraId="0D68CC33" w14:textId="77777777" w:rsidR="00210409" w:rsidRDefault="00210409">
      <w:pPr>
        <w:pStyle w:val="FootnoteText"/>
      </w:pPr>
      <w:r>
        <w:rPr>
          <w:rStyle w:val="FootnoteReference"/>
        </w:rPr>
        <w:footnoteRef/>
      </w:r>
      <w:r>
        <w:t xml:space="preserve"> Maitland.</w:t>
      </w:r>
    </w:p>
  </w:footnote>
  <w:footnote w:id="92">
    <w:p w14:paraId="0D68CC34" w14:textId="77777777" w:rsidR="00210409" w:rsidRDefault="00210409">
      <w:pPr>
        <w:pStyle w:val="FootnoteText"/>
      </w:pPr>
      <w:r>
        <w:rPr>
          <w:rStyle w:val="FootnoteReference"/>
        </w:rPr>
        <w:footnoteRef/>
      </w:r>
      <w:r>
        <w:t xml:space="preserve"> Bible of Amiens.</w:t>
      </w:r>
    </w:p>
  </w:footnote>
  <w:footnote w:id="93">
    <w:p w14:paraId="0D68CC35" w14:textId="77777777" w:rsidR="00210409" w:rsidRDefault="00210409">
      <w:pPr>
        <w:pStyle w:val="FootnoteText"/>
      </w:pPr>
      <w:r>
        <w:rPr>
          <w:rStyle w:val="FootnoteReference"/>
        </w:rPr>
        <w:footnoteRef/>
      </w:r>
      <w:r>
        <w:t xml:space="preserve"> Lives of the Fathers.</w:t>
      </w:r>
    </w:p>
  </w:footnote>
  <w:footnote w:id="94">
    <w:p w14:paraId="0D68CC36" w14:textId="77777777" w:rsidR="00210409" w:rsidRDefault="00210409">
      <w:pPr>
        <w:pStyle w:val="FootnoteText"/>
      </w:pPr>
      <w:r>
        <w:rPr>
          <w:rStyle w:val="FootnoteReference"/>
        </w:rPr>
        <w:footnoteRef/>
      </w:r>
      <w:r>
        <w:t xml:space="preserve"> Christian Institutions.</w:t>
      </w:r>
    </w:p>
  </w:footnote>
  <w:footnote w:id="9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6">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 xml:space="preserve">See my “Aion-Aionios,” pp. 109-14; also Josephus, </w:t>
      </w:r>
      <w:r>
        <w:rPr>
          <w:i/>
        </w:rPr>
        <w:t>Antiq.</w:t>
      </w:r>
      <w:r>
        <w:t xml:space="preserve"> and </w:t>
      </w:r>
      <w:r>
        <w:rPr>
          <w:i/>
        </w:rPr>
        <w:t>Jewish Wars.</w:t>
      </w:r>
    </w:p>
  </w:footnote>
  <w:footnote w:id="9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98">
    <w:p w14:paraId="0D68CC3A" w14:textId="77777777" w:rsidR="00210409" w:rsidRDefault="00210409">
      <w:pPr>
        <w:pStyle w:val="FootnoteText"/>
      </w:pPr>
      <w:r>
        <w:rPr>
          <w:rStyle w:val="FootnoteReference"/>
        </w:rPr>
        <w:footnoteRef/>
      </w:r>
      <w:r>
        <w:t xml:space="preserve"> “Solom. Parab.”</w:t>
      </w:r>
    </w:p>
  </w:footnote>
  <w:footnote w:id="9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100">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1">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“Aion-Aionios” and “Bible Hell.”</w:t>
      </w:r>
    </w:p>
  </w:footnote>
  <w:footnote w:id="102">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3">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104">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5">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6">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7">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8">
    <w:p w14:paraId="0D68CC44" w14:textId="77777777" w:rsidR="00210409" w:rsidRDefault="00210409">
      <w:pPr>
        <w:pStyle w:val="FootnoteText"/>
      </w:pPr>
      <w:r>
        <w:rPr>
          <w:rStyle w:val="FootnoteReference"/>
        </w:rPr>
        <w:footnoteRef/>
      </w:r>
      <w:r>
        <w:t xml:space="preserve"> 2 Corinthians 5:19.</w:t>
      </w:r>
    </w:p>
  </w:footnote>
  <w:footnote w:id="10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1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1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12">
    <w:p w14:paraId="0D68CC48" w14:textId="77777777" w:rsidR="00210409" w:rsidRDefault="00210409">
      <w:pPr>
        <w:pStyle w:val="FootnoteText"/>
      </w:pPr>
      <w:r>
        <w:rPr>
          <w:rStyle w:val="FootnoteReference"/>
        </w:rPr>
        <w:footnoteRef/>
      </w:r>
      <w:r>
        <w:t xml:space="preserve"> Mark 7:13; Matthew 16:6, 12; Luke 12:1; Mark 8:15.</w:t>
      </w:r>
    </w:p>
  </w:footnote>
  <w:footnote w:id="11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14">
    <w:p w14:paraId="0D68CC4A" w14:textId="77777777" w:rsidR="00210409" w:rsidRDefault="00210409">
      <w:pPr>
        <w:pStyle w:val="FootnoteText"/>
      </w:pPr>
      <w:r>
        <w:rPr>
          <w:rStyle w:val="FootnoteReference"/>
        </w:rPr>
        <w:footnoteRef/>
      </w:r>
      <w:r>
        <w:t xml:space="preserve"> Warburton. Leland’s Necessity of Divine Revelation.</w:t>
      </w:r>
    </w:p>
  </w:footnote>
  <w:footnote w:id="11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16">
    <w:p w14:paraId="0D68CC4C" w14:textId="77777777" w:rsidR="00210409" w:rsidRDefault="00210409">
      <w:pPr>
        <w:pStyle w:val="FootnoteText"/>
      </w:pPr>
      <w:r>
        <w:rPr>
          <w:rStyle w:val="FootnoteReference"/>
        </w:rPr>
        <w:footnoteRef/>
      </w:r>
      <w:r>
        <w:t xml:space="preserve"> 2 Corinthians 11:3.</w:t>
      </w:r>
    </w:p>
  </w:footnote>
  <w:footnote w:id="11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1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1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2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21">
    <w:p w14:paraId="0D68CC51" w14:textId="77777777" w:rsidR="00210409" w:rsidRDefault="00210409">
      <w:pPr>
        <w:pStyle w:val="FootnoteText"/>
      </w:pPr>
      <w:r>
        <w:rPr>
          <w:rStyle w:val="FootnoteReference"/>
        </w:rPr>
        <w:footnoteRef/>
      </w:r>
      <w:r>
        <w:t xml:space="preserve"> Hist. Doct. I Sec. 22.</w:t>
      </w:r>
    </w:p>
  </w:footnote>
  <w:footnote w:id="12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23">
    <w:p w14:paraId="0D68CC53" w14:textId="77777777" w:rsidR="00210409" w:rsidRDefault="00210409">
      <w:pPr>
        <w:pStyle w:val="FootnoteText"/>
      </w:pPr>
      <w:r>
        <w:rPr>
          <w:rStyle w:val="FootnoteReference"/>
        </w:rPr>
        <w:footnoteRef/>
      </w:r>
      <w:r>
        <w:t xml:space="preserve"> Hist. Doct. Endless Punishment, pp. 192-193.</w:t>
      </w:r>
    </w:p>
  </w:footnote>
  <w:footnote w:id="124">
    <w:p w14:paraId="0D68CC54" w14:textId="77777777" w:rsidR="00210409" w:rsidRDefault="00210409">
      <w:pPr>
        <w:pStyle w:val="FootnoteText"/>
      </w:pPr>
      <w:r>
        <w:rPr>
          <w:rStyle w:val="FootnoteReference"/>
        </w:rPr>
        <w:footnoteRef/>
      </w:r>
      <w:r>
        <w:t xml:space="preserve"> Early Church History, pp. 159-160.</w:t>
      </w:r>
    </w:p>
  </w:footnote>
  <w:footnote w:id="125">
    <w:p w14:paraId="0D68CC55" w14:textId="77777777" w:rsidR="00210409" w:rsidRDefault="00210409">
      <w:pPr>
        <w:pStyle w:val="FootnoteText"/>
      </w:pPr>
      <w:r>
        <w:rPr>
          <w:rStyle w:val="FootnoteReference"/>
        </w:rPr>
        <w:footnoteRef/>
      </w:r>
      <w:r>
        <w:t xml:space="preserve"> Hist. Apos. Ch. p. 23.</w:t>
      </w:r>
    </w:p>
  </w:footnote>
  <w:footnote w:id="12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7">
    <w:p w14:paraId="0D68CC57" w14:textId="77777777" w:rsidR="00210409" w:rsidRDefault="00210409">
      <w:pPr>
        <w:pStyle w:val="FootnoteText"/>
      </w:pPr>
      <w:r>
        <w:rPr>
          <w:rStyle w:val="FootnoteReference"/>
        </w:rPr>
        <w:footnoteRef/>
      </w:r>
      <w:r>
        <w:t xml:space="preserve"> Int. p. xxxi.</w:t>
      </w:r>
    </w:p>
  </w:footnote>
  <w:footnote w:id="128">
    <w:p w14:paraId="0D68CC58" w14:textId="77777777" w:rsidR="00210409" w:rsidRDefault="00210409">
      <w:pPr>
        <w:pStyle w:val="FootnoteText"/>
      </w:pPr>
      <w:r>
        <w:rPr>
          <w:rStyle w:val="FootnoteReference"/>
        </w:rPr>
        <w:footnoteRef/>
      </w:r>
      <w:r>
        <w:t xml:space="preserve"> Universalist Quarterly, January, 1883.</w:t>
      </w:r>
    </w:p>
  </w:footnote>
  <w:footnote w:id="129">
    <w:p w14:paraId="0D68CC59" w14:textId="77777777" w:rsidR="00210409" w:rsidRDefault="00210409">
      <w:pPr>
        <w:pStyle w:val="FootnoteText"/>
      </w:pPr>
      <w:r>
        <w:rPr>
          <w:rStyle w:val="FootnoteReference"/>
        </w:rPr>
        <w:footnoteRef/>
      </w:r>
      <w:r>
        <w:t xml:space="preserve"> Christian History in Three Great Periods, pp. 257, 58.</w:t>
      </w:r>
    </w:p>
  </w:footnote>
  <w:footnote w:id="130">
    <w:p w14:paraId="0D68CC5A" w14:textId="77777777" w:rsidR="00210409" w:rsidRDefault="00210409">
      <w:pPr>
        <w:pStyle w:val="FootnoteText"/>
      </w:pPr>
      <w:r>
        <w:rPr>
          <w:rStyle w:val="FootnoteReference"/>
        </w:rPr>
        <w:footnoteRef/>
      </w:r>
      <w:r>
        <w:t xml:space="preserve"> Bigg’s Platonists of Alexandria, pg. 58.</w:t>
      </w:r>
    </w:p>
  </w:footnote>
  <w:footnote w:id="131">
    <w:p w14:paraId="0D68CC5B" w14:textId="77777777" w:rsidR="00210409" w:rsidRDefault="00210409">
      <w:pPr>
        <w:pStyle w:val="FootnoteText"/>
      </w:pPr>
      <w:r>
        <w:rPr>
          <w:rStyle w:val="FootnoteReference"/>
        </w:rPr>
        <w:footnoteRef/>
      </w:r>
      <w:r>
        <w:t xml:space="preserve"> Grote’s Plato, Vol. III, xxxiii, pp. 56, 57.</w:t>
      </w:r>
    </w:p>
  </w:footnote>
  <w:footnote w:id="132">
    <w:p w14:paraId="0D68CC5C" w14:textId="77777777" w:rsidR="00210409" w:rsidRDefault="00210409">
      <w:pPr>
        <w:pStyle w:val="FootnoteText"/>
      </w:pPr>
      <w:r>
        <w:rPr>
          <w:rStyle w:val="FootnoteReference"/>
        </w:rPr>
        <w:footnoteRef/>
      </w:r>
      <w:r>
        <w:t xml:space="preserve"> J.H. Newman, Arians; Apologia Pro Vita Sua.</w:t>
      </w:r>
    </w:p>
  </w:footnote>
  <w:footnote w:id="13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34">
    <w:p w14:paraId="0D68CC5E" w14:textId="77777777" w:rsidR="00210409" w:rsidRDefault="00210409">
      <w:pPr>
        <w:pStyle w:val="FootnoteText"/>
      </w:pPr>
      <w:r>
        <w:rPr>
          <w:rStyle w:val="FootnoteReference"/>
        </w:rPr>
        <w:footnoteRef/>
      </w:r>
      <w:r>
        <w:t xml:space="preserve"> See original pg. 56 for Greek. Stromata.</w:t>
      </w:r>
    </w:p>
  </w:footnote>
  <w:footnote w:id="135">
    <w:p w14:paraId="0D68CC5F" w14:textId="77777777" w:rsidR="00210409" w:rsidRDefault="00210409">
      <w:pPr>
        <w:pStyle w:val="FootnoteText"/>
      </w:pPr>
      <w:r>
        <w:rPr>
          <w:rStyle w:val="FootnoteReference"/>
        </w:rPr>
        <w:footnoteRef/>
      </w:r>
      <w:r>
        <w:t xml:space="preserve"> Against Celsus I, vii; and on Romans 2.</w:t>
      </w:r>
    </w:p>
  </w:footnote>
  <w:footnote w:id="136">
    <w:p w14:paraId="0D68CC60" w14:textId="77777777" w:rsidR="00210409" w:rsidRDefault="00210409">
      <w:pPr>
        <w:pStyle w:val="FootnoteText"/>
      </w:pPr>
      <w:r>
        <w:rPr>
          <w:rStyle w:val="FootnoteReference"/>
        </w:rPr>
        <w:footnoteRef/>
      </w:r>
      <w:r>
        <w:t xml:space="preserve"> See pg. 56 for original note which includes Greek.</w:t>
      </w:r>
    </w:p>
  </w:footnote>
  <w:footnote w:id="137">
    <w:p w14:paraId="0D68CC61" w14:textId="77777777" w:rsidR="00210409" w:rsidRDefault="00210409">
      <w:pPr>
        <w:pStyle w:val="FootnoteText"/>
      </w:pPr>
      <w:r>
        <w:rPr>
          <w:rStyle w:val="FootnoteReference"/>
        </w:rPr>
        <w:footnoteRef/>
      </w:r>
      <w:r>
        <w:t xml:space="preserve"> Against Celsius; De Prin.</w:t>
      </w:r>
    </w:p>
  </w:footnote>
  <w:footnote w:id="13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9">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4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42">
    <w:p w14:paraId="0D68CC66" w14:textId="77777777" w:rsidR="00210409" w:rsidRDefault="00210409">
      <w:pPr>
        <w:pStyle w:val="FootnoteText"/>
      </w:pPr>
      <w:r>
        <w:rPr>
          <w:rStyle w:val="FootnoteReference"/>
        </w:rPr>
        <w:footnoteRef/>
      </w:r>
      <w:r>
        <w:t xml:space="preserve"> De Passione et Cruce Domini. Migne, XXVIII, 186-240.</w:t>
      </w:r>
    </w:p>
  </w:footnote>
  <w:footnote w:id="143">
    <w:p w14:paraId="0D68CC67" w14:textId="77777777" w:rsidR="00210409" w:rsidRDefault="00210409">
      <w:pPr>
        <w:pStyle w:val="FootnoteText"/>
      </w:pPr>
      <w:r>
        <w:rPr>
          <w:rStyle w:val="FootnoteReference"/>
        </w:rPr>
        <w:footnoteRef/>
      </w:r>
      <w:r>
        <w:t xml:space="preserve"> Carm. XXXV, v. 9.</w:t>
      </w:r>
    </w:p>
  </w:footnote>
  <w:footnote w:id="144">
    <w:p w14:paraId="0D68CC68" w14:textId="77777777" w:rsidR="00210409" w:rsidRDefault="00210409">
      <w:pPr>
        <w:pStyle w:val="FootnoteText"/>
      </w:pPr>
      <w:r>
        <w:rPr>
          <w:rStyle w:val="FootnoteReference"/>
        </w:rPr>
        <w:footnoteRef/>
      </w:r>
      <w:r>
        <w:t xml:space="preserve"> Strom. VI.</w:t>
      </w:r>
    </w:p>
  </w:footnote>
  <w:footnote w:id="145">
    <w:p w14:paraId="0D68CC69" w14:textId="77777777" w:rsidR="00210409" w:rsidRDefault="00210409">
      <w:pPr>
        <w:pStyle w:val="FootnoteText"/>
      </w:pPr>
      <w:r>
        <w:rPr>
          <w:rStyle w:val="FootnoteReference"/>
        </w:rPr>
        <w:footnoteRef/>
      </w:r>
      <w:r>
        <w:t xml:space="preserve"> Farrar’s “Early Days of Christianity,” ch. 7.</w:t>
      </w:r>
    </w:p>
  </w:footnote>
  <w:footnote w:id="14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47">
    <w:p w14:paraId="0D68CC6B" w14:textId="77777777" w:rsidR="00210409" w:rsidRDefault="00210409">
      <w:pPr>
        <w:pStyle w:val="FootnoteText"/>
      </w:pPr>
      <w:r>
        <w:rPr>
          <w:rStyle w:val="FootnoteReference"/>
        </w:rPr>
        <w:footnoteRef/>
      </w:r>
      <w:r>
        <w:t xml:space="preserve"> Book I, ch. 3.</w:t>
      </w:r>
    </w:p>
  </w:footnote>
  <w:footnote w:id="148">
    <w:p w14:paraId="0D68CC6C" w14:textId="77777777" w:rsidR="00210409" w:rsidRDefault="00210409">
      <w:pPr>
        <w:pStyle w:val="FootnoteText"/>
      </w:pPr>
      <w:r>
        <w:rPr>
          <w:rStyle w:val="FootnoteReference"/>
        </w:rPr>
        <w:footnoteRef/>
      </w:r>
      <w:r>
        <w:t xml:space="preserve"> Universalist Quarterly.</w:t>
      </w:r>
    </w:p>
  </w:footnote>
  <w:footnote w:id="14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50">
    <w:p w14:paraId="0D68CC6E" w14:textId="77777777" w:rsidR="00210409" w:rsidRDefault="00210409">
      <w:pPr>
        <w:pStyle w:val="FootnoteText"/>
      </w:pPr>
      <w:r>
        <w:rPr>
          <w:rStyle w:val="FootnoteReference"/>
        </w:rPr>
        <w:footnoteRef/>
      </w:r>
      <w:r>
        <w:t xml:space="preserve"> Spirits in Prison, London, p. 25.</w:t>
      </w:r>
    </w:p>
  </w:footnote>
  <w:footnote w:id="15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2">
    <w:p w14:paraId="0D68CC70" w14:textId="77777777" w:rsidR="00210409" w:rsidRDefault="00210409">
      <w:pPr>
        <w:pStyle w:val="FootnoteText"/>
      </w:pPr>
      <w:r>
        <w:rPr>
          <w:rStyle w:val="FootnoteReference"/>
        </w:rPr>
        <w:footnoteRef/>
      </w:r>
      <w:r>
        <w:t xml:space="preserve"> “Neoplatonism,” by C. Bigg, p. 334.</w:t>
      </w:r>
    </w:p>
  </w:footnote>
  <w:footnote w:id="153">
    <w:p w14:paraId="0D68CC71" w14:textId="77777777" w:rsidR="00210409" w:rsidRDefault="00210409">
      <w:pPr>
        <w:pStyle w:val="FootnoteText"/>
      </w:pPr>
      <w:r>
        <w:rPr>
          <w:rStyle w:val="FootnoteReference"/>
        </w:rPr>
        <w:footnoteRef/>
      </w:r>
      <w:r>
        <w:t xml:space="preserve"> pp. 292-293.</w:t>
      </w:r>
    </w:p>
  </w:footnote>
  <w:footnote w:id="15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5">
    <w:p w14:paraId="0D68CC73" w14:textId="77777777" w:rsidR="00210409" w:rsidRDefault="00210409">
      <w:pPr>
        <w:pStyle w:val="FootnoteText"/>
      </w:pPr>
      <w:r>
        <w:rPr>
          <w:rStyle w:val="FootnoteReference"/>
        </w:rPr>
        <w:footnoteRef/>
      </w:r>
      <w:r>
        <w:t xml:space="preserve"> Anc. Hist. Univ., Note.</w:t>
      </w:r>
    </w:p>
  </w:footnote>
  <w:footnote w:id="156">
    <w:p w14:paraId="0D68CC74" w14:textId="77777777" w:rsidR="00210409" w:rsidRDefault="00210409">
      <w:pPr>
        <w:pStyle w:val="FootnoteText"/>
      </w:pPr>
      <w:r>
        <w:rPr>
          <w:rStyle w:val="FootnoteReference"/>
        </w:rPr>
        <w:footnoteRef/>
      </w:r>
      <w:r>
        <w:t xml:space="preserve"> Univ. Asserted, p. 105.</w:t>
      </w:r>
    </w:p>
  </w:footnote>
  <w:footnote w:id="157">
    <w:p w14:paraId="0D68CC75" w14:textId="77777777" w:rsidR="00210409" w:rsidRDefault="00210409">
      <w:pPr>
        <w:pStyle w:val="FootnoteText"/>
      </w:pPr>
      <w:r>
        <w:rPr>
          <w:rStyle w:val="FootnoteReference"/>
        </w:rPr>
        <w:footnoteRef/>
      </w:r>
      <w:r>
        <w:t xml:space="preserve"> See pg. 74 of the original for Greek footnote.</w:t>
      </w:r>
    </w:p>
  </w:footnote>
  <w:footnote w:id="158">
    <w:p w14:paraId="0D68CC76" w14:textId="77777777" w:rsidR="00210409" w:rsidRDefault="00210409">
      <w:pPr>
        <w:pStyle w:val="FootnoteText"/>
      </w:pPr>
      <w:r>
        <w:rPr>
          <w:rStyle w:val="FootnoteReference"/>
        </w:rPr>
        <w:footnoteRef/>
      </w:r>
      <w:r>
        <w:t xml:space="preserve"> Williams &amp; Norgate, London, 1880.</w:t>
      </w:r>
    </w:p>
  </w:footnote>
  <w:footnote w:id="15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60">
    <w:p w14:paraId="0D68CC77" w14:textId="77777777" w:rsidR="00210409" w:rsidRDefault="00210409">
      <w:pPr>
        <w:pStyle w:val="FootnoteText"/>
      </w:pPr>
      <w:r>
        <w:rPr>
          <w:rStyle w:val="FootnoteReference"/>
        </w:rPr>
        <w:footnoteRef/>
      </w:r>
      <w:r>
        <w:t xml:space="preserve"> Bunsen, Hipp. And His Age, Vol. I, p. 182.</w:t>
      </w:r>
    </w:p>
  </w:footnote>
  <w:footnote w:id="161">
    <w:p w14:paraId="0D68CC78" w14:textId="77777777" w:rsidR="00210409" w:rsidRDefault="00210409">
      <w:pPr>
        <w:pStyle w:val="FootnoteText"/>
      </w:pPr>
      <w:r>
        <w:rPr>
          <w:rStyle w:val="FootnoteReference"/>
        </w:rPr>
        <w:footnoteRef/>
      </w:r>
      <w:r>
        <w:t xml:space="preserve"> Apol. 1, 8.</w:t>
      </w:r>
    </w:p>
  </w:footnote>
  <w:footnote w:id="16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3">
    <w:p w14:paraId="0D68CC7A" w14:textId="77777777" w:rsidR="00210409" w:rsidRDefault="00210409">
      <w:pPr>
        <w:pStyle w:val="FootnoteText"/>
      </w:pPr>
      <w:r>
        <w:rPr>
          <w:rStyle w:val="FootnoteReference"/>
        </w:rPr>
        <w:footnoteRef/>
      </w:r>
      <w:r>
        <w:t xml:space="preserve"> Lives of the Fathers, p. 112.</w:t>
      </w:r>
    </w:p>
  </w:footnote>
  <w:footnote w:id="164">
    <w:p w14:paraId="0D68CC7B" w14:textId="77777777" w:rsidR="00210409" w:rsidRDefault="00210409">
      <w:pPr>
        <w:pStyle w:val="FootnoteText"/>
      </w:pPr>
      <w:r>
        <w:rPr>
          <w:rStyle w:val="FootnoteReference"/>
        </w:rPr>
        <w:footnoteRef/>
      </w:r>
      <w:r>
        <w:t xml:space="preserve"> Eternal Hope, p. 84.</w:t>
      </w:r>
    </w:p>
  </w:footnote>
  <w:footnote w:id="165">
    <w:p w14:paraId="2B6DC103" w14:textId="7E2DE5A7" w:rsidR="00210409" w:rsidRDefault="00210409">
      <w:pPr>
        <w:pStyle w:val="FootnoteText"/>
      </w:pPr>
      <w:r>
        <w:rPr>
          <w:rStyle w:val="FootnoteReference"/>
        </w:rPr>
        <w:footnoteRef/>
      </w:r>
      <w:r>
        <w:t xml:space="preserve"> The second, D.D.</w:t>
      </w:r>
    </w:p>
  </w:footnote>
  <w:footnote w:id="16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7">
    <w:p w14:paraId="0D68CC7D" w14:textId="77777777" w:rsidR="00210409" w:rsidRDefault="00210409">
      <w:pPr>
        <w:pStyle w:val="FootnoteText"/>
      </w:pPr>
      <w:r>
        <w:rPr>
          <w:rStyle w:val="FootnoteReference"/>
        </w:rPr>
        <w:footnoteRef/>
      </w:r>
      <w:r>
        <w:t xml:space="preserve"> Migne, II, p. 1184.</w:t>
      </w:r>
    </w:p>
  </w:footnote>
  <w:footnote w:id="168">
    <w:p w14:paraId="0D68CC7E" w14:textId="77777777" w:rsidR="00210409" w:rsidRDefault="00210409">
      <w:pPr>
        <w:pStyle w:val="FootnoteText"/>
      </w:pPr>
      <w:r>
        <w:rPr>
          <w:rStyle w:val="FootnoteReference"/>
        </w:rPr>
        <w:footnoteRef/>
      </w:r>
      <w:r>
        <w:t xml:space="preserve"> Hipp. and His Age, I, pp. 170-71.</w:t>
      </w:r>
    </w:p>
  </w:footnote>
  <w:footnote w:id="169">
    <w:p w14:paraId="335B93E7" w14:textId="5231BB7A" w:rsidR="00210409" w:rsidRDefault="00210409">
      <w:pPr>
        <w:pStyle w:val="FootnoteText"/>
      </w:pPr>
      <w:r>
        <w:rPr>
          <w:rStyle w:val="FootnoteReference"/>
        </w:rPr>
        <w:footnoteRef/>
      </w:r>
      <w:r>
        <w:t xml:space="preserve"> Schaff’s.</w:t>
      </w:r>
    </w:p>
  </w:footnote>
  <w:footnote w:id="170">
    <w:p w14:paraId="0D68CC7F" w14:textId="77777777" w:rsidR="00210409" w:rsidRDefault="00210409">
      <w:pPr>
        <w:pStyle w:val="FootnoteText"/>
      </w:pPr>
      <w:r>
        <w:rPr>
          <w:rStyle w:val="FootnoteReference"/>
        </w:rPr>
        <w:footnoteRef/>
      </w:r>
      <w:r>
        <w:t xml:space="preserve"> Vol. I, pg. 490.</w:t>
      </w:r>
    </w:p>
  </w:footnote>
  <w:footnote w:id="171">
    <w:p w14:paraId="0D68CC80" w14:textId="77777777" w:rsidR="00210409" w:rsidRDefault="00210409">
      <w:pPr>
        <w:pStyle w:val="FootnoteText"/>
      </w:pPr>
      <w:r>
        <w:rPr>
          <w:rStyle w:val="FootnoteReference"/>
        </w:rPr>
        <w:footnoteRef/>
      </w:r>
      <w:r>
        <w:t xml:space="preserve"> See original, pg. 86 for Greek.</w:t>
      </w:r>
    </w:p>
  </w:footnote>
  <w:footnote w:id="172">
    <w:p w14:paraId="0D68CC81" w14:textId="77777777" w:rsidR="00210409" w:rsidRDefault="00210409">
      <w:pPr>
        <w:pStyle w:val="FootnoteText"/>
      </w:pPr>
      <w:r>
        <w:rPr>
          <w:rStyle w:val="FootnoteReference"/>
        </w:rPr>
        <w:footnoteRef/>
      </w:r>
      <w:r>
        <w:t xml:space="preserve"> See original, pg. 86 for Greek.</w:t>
      </w:r>
    </w:p>
  </w:footnote>
  <w:footnote w:id="173">
    <w:p w14:paraId="0D68CC82" w14:textId="77777777" w:rsidR="00210409" w:rsidRDefault="00210409">
      <w:pPr>
        <w:pStyle w:val="FootnoteText"/>
      </w:pPr>
      <w:r>
        <w:rPr>
          <w:rStyle w:val="FootnoteReference"/>
        </w:rPr>
        <w:footnoteRef/>
      </w:r>
      <w:r>
        <w:t xml:space="preserve"> See the long note in Stieren.</w:t>
      </w:r>
    </w:p>
  </w:footnote>
  <w:footnote w:id="17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5">
    <w:p w14:paraId="0D68CC84" w14:textId="77777777" w:rsidR="00210409" w:rsidRDefault="00210409">
      <w:pPr>
        <w:pStyle w:val="FootnoteText"/>
      </w:pPr>
      <w:r>
        <w:rPr>
          <w:rStyle w:val="FootnoteReference"/>
        </w:rPr>
        <w:footnoteRef/>
      </w:r>
      <w:r>
        <w:t xml:space="preserve"> Westcott, Introduction to the Gospels, pg. 181.</w:t>
      </w:r>
    </w:p>
  </w:footnote>
  <w:footnote w:id="176">
    <w:p w14:paraId="0D68CC85" w14:textId="77777777" w:rsidR="00210409" w:rsidRDefault="00210409">
      <w:pPr>
        <w:pStyle w:val="FootnoteText"/>
      </w:pPr>
      <w:r>
        <w:rPr>
          <w:rStyle w:val="FootnoteReference"/>
        </w:rPr>
        <w:footnoteRef/>
      </w:r>
      <w:r>
        <w:t xml:space="preserve"> Vol. I, pp. 271-2.</w:t>
      </w:r>
    </w:p>
  </w:footnote>
  <w:footnote w:id="177">
    <w:p w14:paraId="0D68CC86" w14:textId="77777777" w:rsidR="00210409" w:rsidRDefault="00210409">
      <w:pPr>
        <w:pStyle w:val="FootnoteText"/>
      </w:pPr>
      <w:r>
        <w:rPr>
          <w:rStyle w:val="FootnoteReference"/>
        </w:rPr>
        <w:footnoteRef/>
      </w:r>
      <w:r>
        <w:t xml:space="preserve"> Bunsen’s Hipp. and His Age, Vol. 1, pg. 107.</w:t>
      </w:r>
    </w:p>
  </w:footnote>
  <w:footnote w:id="17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7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0">
    <w:p w14:paraId="0D68CC89" w14:textId="77777777" w:rsidR="00210409" w:rsidRDefault="00210409">
      <w:pPr>
        <w:pStyle w:val="FootnoteText"/>
      </w:pPr>
      <w:r>
        <w:rPr>
          <w:rStyle w:val="FootnoteReference"/>
        </w:rPr>
        <w:footnoteRef/>
      </w:r>
      <w:r>
        <w:t xml:space="preserve"> Mansel, Baur, etc.</w:t>
      </w:r>
    </w:p>
  </w:footnote>
  <w:footnote w:id="181">
    <w:p w14:paraId="0D68CC8A" w14:textId="77777777" w:rsidR="00210409" w:rsidRDefault="00210409">
      <w:pPr>
        <w:pStyle w:val="FootnoteText"/>
      </w:pPr>
      <w:r>
        <w:rPr>
          <w:rStyle w:val="FootnoteReference"/>
        </w:rPr>
        <w:footnoteRef/>
      </w:r>
      <w:r>
        <w:t xml:space="preserve"> “Neoplatonism” by Rev. Dr. Charles Bigg.</w:t>
      </w:r>
    </w:p>
  </w:footnote>
  <w:footnote w:id="182">
    <w:p w14:paraId="0D68CC8B" w14:textId="77777777" w:rsidR="00210409" w:rsidRDefault="00210409">
      <w:pPr>
        <w:pStyle w:val="FootnoteText"/>
      </w:pPr>
      <w:r>
        <w:rPr>
          <w:rStyle w:val="FootnoteReference"/>
        </w:rPr>
        <w:footnoteRef/>
      </w:r>
      <w:r>
        <w:t xml:space="preserve"> Stieren’s Irenaeus V, 901-903. Clem. Strom. IV, 12.</w:t>
      </w:r>
    </w:p>
  </w:footnote>
  <w:footnote w:id="183">
    <w:p w14:paraId="0D68CC8C" w14:textId="77777777" w:rsidR="00210409" w:rsidRDefault="00210409">
      <w:pPr>
        <w:pStyle w:val="FootnoteText"/>
      </w:pPr>
      <w:r>
        <w:rPr>
          <w:rStyle w:val="FootnoteReference"/>
        </w:rPr>
        <w:footnoteRef/>
      </w:r>
      <w:r>
        <w:t xml:space="preserve"> Outlines of the History of Dogma, pp. 68-69.</w:t>
      </w:r>
    </w:p>
  </w:footnote>
  <w:footnote w:id="184">
    <w:p w14:paraId="0D68CC8D" w14:textId="77777777" w:rsidR="00210409" w:rsidRDefault="00210409">
      <w:pPr>
        <w:pStyle w:val="FootnoteText"/>
      </w:pPr>
      <w:r>
        <w:rPr>
          <w:rStyle w:val="FootnoteReference"/>
        </w:rPr>
        <w:footnoteRef/>
      </w:r>
      <w:r>
        <w:t xml:space="preserve"> See pg. 96 in original for Greek.</w:t>
      </w:r>
    </w:p>
  </w:footnote>
  <w:footnote w:id="185">
    <w:p w14:paraId="0D68CC8E" w14:textId="77777777" w:rsidR="00210409" w:rsidRDefault="00210409">
      <w:pPr>
        <w:pStyle w:val="FootnoteText"/>
      </w:pPr>
      <w:r>
        <w:rPr>
          <w:rStyle w:val="FootnoteReference"/>
        </w:rPr>
        <w:footnoteRef/>
      </w:r>
      <w:r>
        <w:t xml:space="preserve"> B. VIII, ii, verses 195-340 Ed. Opsopoei, Paris 1667.</w:t>
      </w:r>
    </w:p>
  </w:footnote>
  <w:footnote w:id="18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8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88">
    <w:p w14:paraId="0D68CC91" w14:textId="77777777" w:rsidR="00210409" w:rsidRDefault="00210409">
      <w:pPr>
        <w:pStyle w:val="FootnoteText"/>
      </w:pPr>
      <w:r>
        <w:rPr>
          <w:rStyle w:val="FootnoteReference"/>
        </w:rPr>
        <w:footnoteRef/>
      </w:r>
      <w:r>
        <w:t xml:space="preserve"> William J. Deane, Pseudepigrapha, pg. 329.</w:t>
      </w:r>
    </w:p>
  </w:footnote>
  <w:footnote w:id="18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90">
    <w:p w14:paraId="0D68CC93" w14:textId="77777777" w:rsidR="00210409" w:rsidRDefault="00210409">
      <w:pPr>
        <w:pStyle w:val="FootnoteText"/>
      </w:pPr>
      <w:r>
        <w:rPr>
          <w:rStyle w:val="FootnoteReference"/>
        </w:rPr>
        <w:footnoteRef/>
      </w:r>
      <w:r>
        <w:t xml:space="preserve"> B. II, vv: 211-250-340).</w:t>
      </w:r>
    </w:p>
  </w:footnote>
  <w:footnote w:id="191">
    <w:p w14:paraId="0D68CC94" w14:textId="77777777" w:rsidR="00210409" w:rsidRDefault="00210409">
      <w:pPr>
        <w:pStyle w:val="FootnoteText"/>
      </w:pPr>
      <w:r>
        <w:rPr>
          <w:rStyle w:val="FootnoteReference"/>
        </w:rPr>
        <w:footnoteRef/>
      </w:r>
      <w:r>
        <w:t xml:space="preserve"> De Civ. Dei. B., XVIII.</w:t>
      </w:r>
    </w:p>
  </w:footnote>
  <w:footnote w:id="192">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3">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4">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5">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6">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7">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8">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9">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200">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1">
    <w:p w14:paraId="0D68CC9D" w14:textId="77777777" w:rsidR="00210409" w:rsidRDefault="00210409">
      <w:pPr>
        <w:pStyle w:val="FootnoteText"/>
      </w:pPr>
      <w:r>
        <w:rPr>
          <w:rStyle w:val="FootnoteReference"/>
        </w:rPr>
        <w:footnoteRef/>
      </w:r>
      <w:r>
        <w:t xml:space="preserve"> Strom. I; 7.</w:t>
      </w:r>
    </w:p>
  </w:footnote>
  <w:footnote w:id="202">
    <w:p w14:paraId="0D68CC9E" w14:textId="77777777" w:rsidR="00210409" w:rsidRDefault="00210409">
      <w:pPr>
        <w:pStyle w:val="FootnoteText"/>
      </w:pPr>
      <w:r>
        <w:rPr>
          <w:rStyle w:val="FootnoteReference"/>
        </w:rPr>
        <w:footnoteRef/>
      </w:r>
      <w:r>
        <w:t xml:space="preserve"> Hipp. and His Age, I.</w:t>
      </w:r>
    </w:p>
  </w:footnote>
  <w:footnote w:id="203">
    <w:p w14:paraId="0D68CC9F" w14:textId="77777777" w:rsidR="00210409" w:rsidRDefault="00210409">
      <w:pPr>
        <w:pStyle w:val="FootnoteText"/>
      </w:pPr>
      <w:r>
        <w:rPr>
          <w:rStyle w:val="FootnoteReference"/>
        </w:rPr>
        <w:footnoteRef/>
      </w:r>
      <w:r>
        <w:t xml:space="preserve"> Theosophy or Psychological Religion, Preface, p. xiv.</w:t>
      </w:r>
    </w:p>
  </w:footnote>
  <w:footnote w:id="204">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5">
    <w:p w14:paraId="0D68CCA1" w14:textId="77777777" w:rsidR="00210409" w:rsidRDefault="00210409">
      <w:pPr>
        <w:pStyle w:val="FootnoteText"/>
      </w:pPr>
      <w:r>
        <w:rPr>
          <w:rStyle w:val="FootnoteReference"/>
        </w:rPr>
        <w:footnoteRef/>
      </w:r>
      <w:r>
        <w:t xml:space="preserve"> Paed I, viii.</w:t>
      </w:r>
    </w:p>
  </w:footnote>
  <w:footnote w:id="206">
    <w:p w14:paraId="0D68CCA2" w14:textId="77777777" w:rsidR="00210409" w:rsidRDefault="00210409">
      <w:pPr>
        <w:pStyle w:val="FootnoteText"/>
      </w:pPr>
      <w:r>
        <w:rPr>
          <w:rStyle w:val="FootnoteReference"/>
        </w:rPr>
        <w:footnoteRef/>
      </w:r>
      <w:r>
        <w:t xml:space="preserve"> See pg. 117 for Greek. Strom. VII, vi.</w:t>
      </w:r>
    </w:p>
  </w:footnote>
  <w:footnote w:id="207">
    <w:p w14:paraId="62F54D28" w14:textId="77777777" w:rsidR="00F952BC" w:rsidRDefault="00F952BC" w:rsidP="00F952BC">
      <w:pPr>
        <w:pStyle w:val="FootnoteText"/>
      </w:pPr>
      <w:r>
        <w:rPr>
          <w:rStyle w:val="FootnoteReference"/>
        </w:rPr>
        <w:footnoteRef/>
      </w:r>
      <w:r>
        <w:t xml:space="preserve"> VI, vi; VII, xvi; VI, xiv; VII, ii.</w:t>
      </w:r>
    </w:p>
  </w:footnote>
  <w:footnote w:id="208">
    <w:p w14:paraId="0D68CCA4" w14:textId="77777777" w:rsidR="00210409" w:rsidRDefault="00210409">
      <w:pPr>
        <w:pStyle w:val="FootnoteText"/>
      </w:pPr>
      <w:r>
        <w:rPr>
          <w:rStyle w:val="FootnoteReference"/>
        </w:rPr>
        <w:footnoteRef/>
      </w:r>
      <w:r>
        <w:t xml:space="preserve"> Poedag. I, viii.</w:t>
      </w:r>
    </w:p>
  </w:footnote>
  <w:footnote w:id="209">
    <w:p w14:paraId="0D68CCA5" w14:textId="77777777" w:rsidR="00210409" w:rsidRDefault="00210409">
      <w:pPr>
        <w:pStyle w:val="FootnoteText"/>
      </w:pPr>
      <w:r>
        <w:rPr>
          <w:rStyle w:val="FootnoteReference"/>
        </w:rPr>
        <w:footnoteRef/>
      </w:r>
      <w:r>
        <w:t xml:space="preserve"> Strom. IV, xxiv.</w:t>
      </w:r>
    </w:p>
  </w:footnote>
  <w:footnote w:id="210">
    <w:p w14:paraId="0D68CCA6" w14:textId="77777777" w:rsidR="00210409" w:rsidRDefault="00210409">
      <w:pPr>
        <w:pStyle w:val="FootnoteText"/>
      </w:pPr>
      <w:r>
        <w:rPr>
          <w:rStyle w:val="FootnoteReference"/>
        </w:rPr>
        <w:footnoteRef/>
      </w:r>
      <w:r>
        <w:t xml:space="preserve"> Quoted by Neander.</w:t>
      </w:r>
    </w:p>
  </w:footnote>
  <w:footnote w:id="211">
    <w:p w14:paraId="0D68CCA7" w14:textId="77777777" w:rsidR="00210409" w:rsidRDefault="00210409">
      <w:pPr>
        <w:pStyle w:val="FootnoteText"/>
      </w:pPr>
      <w:r>
        <w:rPr>
          <w:rStyle w:val="FootnoteReference"/>
        </w:rPr>
        <w:footnoteRef/>
      </w:r>
      <w:r>
        <w:t xml:space="preserve"> Paed. I, 10. Strom. I, 27.</w:t>
      </w:r>
    </w:p>
  </w:footnote>
  <w:footnote w:id="212">
    <w:p w14:paraId="0D68CCA8" w14:textId="77777777" w:rsidR="00210409" w:rsidRDefault="00210409">
      <w:pPr>
        <w:pStyle w:val="FootnoteText"/>
      </w:pPr>
      <w:r>
        <w:rPr>
          <w:rStyle w:val="FootnoteReference"/>
        </w:rPr>
        <w:footnoteRef/>
      </w:r>
      <w:r>
        <w:t xml:space="preserve"> See pg. 120 in original for Greek.</w:t>
      </w:r>
    </w:p>
  </w:footnote>
  <w:footnote w:id="213">
    <w:p w14:paraId="0D68CCA9" w14:textId="77777777" w:rsidR="00210409" w:rsidRDefault="00210409">
      <w:pPr>
        <w:pStyle w:val="FootnoteText"/>
      </w:pPr>
      <w:r>
        <w:rPr>
          <w:rStyle w:val="FootnoteReference"/>
        </w:rPr>
        <w:footnoteRef/>
      </w:r>
      <w:r>
        <w:t xml:space="preserve"> Christian Doct., Period I, Sec. 89.</w:t>
      </w:r>
    </w:p>
  </w:footnote>
  <w:footnote w:id="214">
    <w:p w14:paraId="0D68CCAA" w14:textId="77777777" w:rsidR="00210409" w:rsidRDefault="00210409">
      <w:pPr>
        <w:pStyle w:val="FootnoteText"/>
      </w:pPr>
      <w:r>
        <w:rPr>
          <w:rStyle w:val="FootnoteReference"/>
        </w:rPr>
        <w:footnoteRef/>
      </w:r>
      <w:r>
        <w:t xml:space="preserve"> Christian Platonists, pp. 75, 89, 112.</w:t>
      </w:r>
    </w:p>
  </w:footnote>
  <w:footnote w:id="215">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16">
    <w:p w14:paraId="0D68CCAC" w14:textId="77777777" w:rsidR="00210409" w:rsidRDefault="00210409">
      <w:pPr>
        <w:pStyle w:val="FootnoteText"/>
      </w:pPr>
      <w:r>
        <w:rPr>
          <w:rStyle w:val="FootnoteReference"/>
        </w:rPr>
        <w:footnoteRef/>
      </w:r>
      <w:r>
        <w:t xml:space="preserve"> Church Hist. First Three Centuries.</w:t>
      </w:r>
    </w:p>
  </w:footnote>
  <w:footnote w:id="217">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18">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19">
    <w:p w14:paraId="0D68CCAF" w14:textId="77777777" w:rsidR="00210409" w:rsidRDefault="00210409">
      <w:pPr>
        <w:pStyle w:val="FootnoteText"/>
      </w:pPr>
      <w:r>
        <w:rPr>
          <w:rStyle w:val="FootnoteReference"/>
        </w:rPr>
        <w:footnoteRef/>
      </w:r>
      <w:r>
        <w:t xml:space="preserve"> Church of the First Three Centuries, p. 158.</w:t>
      </w:r>
    </w:p>
  </w:footnote>
  <w:footnote w:id="220">
    <w:p w14:paraId="0D68CCB0" w14:textId="77777777" w:rsidR="00210409" w:rsidRDefault="00210409">
      <w:pPr>
        <w:pStyle w:val="FootnoteText"/>
      </w:pPr>
      <w:r>
        <w:rPr>
          <w:rStyle w:val="FootnoteReference"/>
        </w:rPr>
        <w:footnoteRef/>
      </w:r>
      <w:r>
        <w:t xml:space="preserve"> Continuity of Christian Thought, p. 19.</w:t>
      </w:r>
    </w:p>
  </w:footnote>
  <w:footnote w:id="221">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22">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3">
    <w:p w14:paraId="0D68CCB3" w14:textId="77777777" w:rsidR="00210409" w:rsidRDefault="00210409">
      <w:pPr>
        <w:pStyle w:val="FootnoteText"/>
      </w:pPr>
      <w:r>
        <w:rPr>
          <w:rStyle w:val="FootnoteReference"/>
        </w:rPr>
        <w:footnoteRef/>
      </w:r>
      <w:r>
        <w:t xml:space="preserve"> Hist. Christ. Church, I, pp. 54-55.</w:t>
      </w:r>
    </w:p>
  </w:footnote>
  <w:footnote w:id="224">
    <w:p w14:paraId="0D68CCB4" w14:textId="77777777" w:rsidR="00210409" w:rsidRDefault="00210409">
      <w:pPr>
        <w:pStyle w:val="FootnoteText"/>
      </w:pPr>
      <w:r>
        <w:rPr>
          <w:rStyle w:val="FootnoteReference"/>
        </w:rPr>
        <w:footnoteRef/>
      </w:r>
      <w:r>
        <w:t xml:space="preserve"> De Pressense Martyrs and Apologists II, p. 340.</w:t>
      </w:r>
    </w:p>
  </w:footnote>
  <w:footnote w:id="225">
    <w:p w14:paraId="0D68CCB5" w14:textId="77777777" w:rsidR="00210409" w:rsidRDefault="00210409">
      <w:pPr>
        <w:pStyle w:val="FootnoteText"/>
      </w:pPr>
      <w:r>
        <w:rPr>
          <w:rStyle w:val="FootnoteReference"/>
        </w:rPr>
        <w:footnoteRef/>
      </w:r>
      <w:r>
        <w:t xml:space="preserve"> Bayle, Dict. Hist. Art. Origene.</w:t>
      </w:r>
    </w:p>
  </w:footnote>
  <w:footnote w:id="226">
    <w:p w14:paraId="0D68CCB6" w14:textId="77777777" w:rsidR="00210409" w:rsidRDefault="00210409">
      <w:pPr>
        <w:pStyle w:val="FootnoteText"/>
      </w:pPr>
      <w:r>
        <w:rPr>
          <w:rStyle w:val="FootnoteReference"/>
        </w:rPr>
        <w:footnoteRef/>
      </w:r>
      <w:r>
        <w:t xml:space="preserve"> Cont. Cels. VI, 25.</w:t>
      </w:r>
    </w:p>
  </w:footnote>
  <w:footnote w:id="227">
    <w:p w14:paraId="0D68CCB7" w14:textId="77777777" w:rsidR="00210409" w:rsidRDefault="00210409">
      <w:pPr>
        <w:pStyle w:val="FootnoteText"/>
      </w:pPr>
      <w:r>
        <w:rPr>
          <w:rStyle w:val="FootnoteReference"/>
        </w:rPr>
        <w:footnoteRef/>
      </w:r>
      <w:r>
        <w:t xml:space="preserve"> Consult also, Mosheim, Dorner, and De Pressense.</w:t>
      </w:r>
    </w:p>
  </w:footnote>
  <w:footnote w:id="228">
    <w:p w14:paraId="0D68CCB8" w14:textId="77777777" w:rsidR="00210409" w:rsidRDefault="00210409">
      <w:pPr>
        <w:pStyle w:val="FootnoteText"/>
      </w:pPr>
      <w:r>
        <w:rPr>
          <w:rStyle w:val="FootnoteReference"/>
        </w:rPr>
        <w:footnoteRef/>
      </w:r>
      <w:r>
        <w:t xml:space="preserve"> Homily XI in Numbers, in Migne.</w:t>
      </w:r>
    </w:p>
  </w:footnote>
  <w:footnote w:id="229">
    <w:p w14:paraId="0D68CCB9" w14:textId="77777777" w:rsidR="00210409" w:rsidRDefault="00210409">
      <w:pPr>
        <w:pStyle w:val="FootnoteText"/>
      </w:pPr>
      <w:r>
        <w:rPr>
          <w:rStyle w:val="FootnoteReference"/>
        </w:rPr>
        <w:footnoteRef/>
      </w:r>
      <w:r>
        <w:t xml:space="preserve"> Neoplatonism, by C. Bigg, D. D., London, 1895, pg. 163.</w:t>
      </w:r>
    </w:p>
  </w:footnote>
  <w:footnote w:id="230">
    <w:p w14:paraId="0D68CCBA" w14:textId="77777777" w:rsidR="00210409" w:rsidRDefault="00210409">
      <w:pPr>
        <w:pStyle w:val="FootnoteText"/>
      </w:pPr>
      <w:r>
        <w:rPr>
          <w:rStyle w:val="FootnoteReference"/>
        </w:rPr>
        <w:footnoteRef/>
      </w:r>
      <w:r>
        <w:t xml:space="preserve"> Harnack’s Outlines, pp. 150-154.</w:t>
      </w:r>
    </w:p>
  </w:footnote>
  <w:footnote w:id="231">
    <w:p w14:paraId="0D68CCBB" w14:textId="77777777" w:rsidR="00210409" w:rsidRDefault="00210409">
      <w:pPr>
        <w:pStyle w:val="FootnoteText"/>
      </w:pPr>
      <w:r>
        <w:rPr>
          <w:rStyle w:val="FootnoteReference"/>
        </w:rPr>
        <w:footnoteRef/>
      </w:r>
      <w:r>
        <w:t xml:space="preserve"> See pg. 140 for Greek original.</w:t>
      </w:r>
    </w:p>
  </w:footnote>
  <w:footnote w:id="232">
    <w:p w14:paraId="0D68CCBC" w14:textId="5966EDDD"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3">
    <w:p w14:paraId="0D68CCBD" w14:textId="77777777" w:rsidR="00210409" w:rsidRDefault="00210409">
      <w:pPr>
        <w:pStyle w:val="FootnoteText"/>
      </w:pPr>
      <w:r>
        <w:rPr>
          <w:rStyle w:val="FootnoteReference"/>
        </w:rPr>
        <w:footnoteRef/>
      </w:r>
      <w:r>
        <w:t xml:space="preserve"> See original pg. 142 for Greek.</w:t>
      </w:r>
    </w:p>
  </w:footnote>
  <w:footnote w:id="234">
    <w:p w14:paraId="0D68CCBE" w14:textId="77777777" w:rsidR="00210409" w:rsidRDefault="00210409">
      <w:pPr>
        <w:pStyle w:val="FootnoteText"/>
      </w:pPr>
      <w:r>
        <w:rPr>
          <w:rStyle w:val="FootnoteReference"/>
        </w:rPr>
        <w:footnoteRef/>
      </w:r>
      <w:r>
        <w:t xml:space="preserve"> Kitto Cyclo; Davidson’s Biblical Criticism, Vol. I.</w:t>
      </w:r>
    </w:p>
  </w:footnote>
  <w:footnote w:id="235">
    <w:p w14:paraId="0D68CCBF" w14:textId="77777777" w:rsidR="00210409" w:rsidRDefault="00210409">
      <w:pPr>
        <w:pStyle w:val="FootnoteText"/>
      </w:pPr>
      <w:r>
        <w:rPr>
          <w:rStyle w:val="FootnoteReference"/>
        </w:rPr>
        <w:footnoteRef/>
      </w:r>
      <w:r>
        <w:t xml:space="preserve"> De Principiis, Crombie’s Translation. Epist. ad Amicos.</w:t>
      </w:r>
    </w:p>
  </w:footnote>
  <w:footnote w:id="236">
    <w:p w14:paraId="0D68CCC0" w14:textId="77777777" w:rsidR="00210409" w:rsidRDefault="00210409">
      <w:pPr>
        <w:pStyle w:val="FootnoteText"/>
      </w:pPr>
      <w:r>
        <w:rPr>
          <w:rStyle w:val="FootnoteReference"/>
        </w:rPr>
        <w:footnoteRef/>
      </w:r>
      <w:r>
        <w:t xml:space="preserve"> De Prin. I, vi: 1, 2.</w:t>
      </w:r>
    </w:p>
  </w:footnote>
  <w:footnote w:id="237">
    <w:p w14:paraId="0D68CCC1" w14:textId="145810E9" w:rsidR="00210409" w:rsidRDefault="00210409">
      <w:pPr>
        <w:pStyle w:val="FootnoteText"/>
      </w:pPr>
      <w:r>
        <w:rPr>
          <w:rStyle w:val="FootnoteReference"/>
        </w:rPr>
        <w:footnoteRef/>
      </w:r>
      <w:r>
        <w:t xml:space="preserve"> Jeremiah Hom. Xviii: 6, </w:t>
      </w:r>
      <w:r w:rsidR="004A329F">
        <w:t>Against Celsus</w:t>
      </w:r>
      <w:r>
        <w:t>. IV. Xxii.</w:t>
      </w:r>
    </w:p>
  </w:footnote>
  <w:footnote w:id="238">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39">
    <w:p w14:paraId="0D68CCC3" w14:textId="77777777" w:rsidR="00210409" w:rsidRDefault="00210409">
      <w:pPr>
        <w:pStyle w:val="FootnoteText"/>
      </w:pPr>
      <w:r>
        <w:rPr>
          <w:rStyle w:val="FootnoteReference"/>
        </w:rPr>
        <w:footnoteRef/>
      </w:r>
      <w:r>
        <w:t xml:space="preserve"> De Prin. II. Iii: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42">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3">
    <w:p w14:paraId="0D68CCC7" w14:textId="7DEDFD14" w:rsidR="00210409" w:rsidRDefault="00210409">
      <w:pPr>
        <w:pStyle w:val="FootnoteText"/>
      </w:pPr>
      <w:r>
        <w:rPr>
          <w:rStyle w:val="FootnoteReference"/>
        </w:rPr>
        <w:footnoteRef/>
      </w:r>
      <w:r>
        <w:t xml:space="preserve"> </w:t>
      </w:r>
      <w:r w:rsidR="004A329F">
        <w:t>Against Celsus</w:t>
      </w:r>
      <w:r>
        <w:t>. V. xv.</w:t>
      </w:r>
    </w:p>
  </w:footnote>
  <w:footnote w:id="244">
    <w:p w14:paraId="0D68CCC8" w14:textId="27D1854E" w:rsidR="00210409" w:rsidRDefault="00210409">
      <w:pPr>
        <w:pStyle w:val="FootnoteText"/>
      </w:pPr>
      <w:r>
        <w:rPr>
          <w:rStyle w:val="FootnoteReference"/>
        </w:rPr>
        <w:footnoteRef/>
      </w:r>
      <w:r>
        <w:t xml:space="preserve"> De Prin. II, x: 3, 4. I, i. </w:t>
      </w:r>
      <w:r w:rsidR="004A329F">
        <w:t>Against Celsus</w:t>
      </w:r>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6">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7">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8">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9">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50">
    <w:p w14:paraId="0D68CCCE" w14:textId="77777777" w:rsidR="00210409" w:rsidRDefault="00210409">
      <w:pPr>
        <w:pStyle w:val="FootnoteText"/>
      </w:pPr>
      <w:r>
        <w:rPr>
          <w:rStyle w:val="FootnoteReference"/>
        </w:rPr>
        <w:footnoteRef/>
      </w:r>
      <w:r>
        <w:t xml:space="preserve"> Com. II, pp. 194, 195.</w:t>
      </w:r>
    </w:p>
  </w:footnote>
  <w:footnote w:id="251">
    <w:p w14:paraId="0D68CCCF" w14:textId="77777777" w:rsidR="00210409" w:rsidRDefault="00210409">
      <w:pPr>
        <w:pStyle w:val="FootnoteText"/>
      </w:pPr>
      <w:r>
        <w:rPr>
          <w:rStyle w:val="FootnoteReference"/>
        </w:rPr>
        <w:footnoteRef/>
      </w:r>
      <w:r>
        <w:t xml:space="preserve"> Hist. Christ. Church, I, p. 114.</w:t>
      </w:r>
    </w:p>
  </w:footnote>
  <w:footnote w:id="252">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3">
    <w:p w14:paraId="0D68CCD1" w14:textId="77777777" w:rsidR="00210409" w:rsidRDefault="00210409">
      <w:pPr>
        <w:pStyle w:val="FootnoteText"/>
      </w:pPr>
      <w:r>
        <w:rPr>
          <w:rStyle w:val="FootnoteReference"/>
        </w:rPr>
        <w:footnoteRef/>
      </w:r>
      <w:r>
        <w:t xml:space="preserve"> Article is written by Dr. A.W.W. Dale.</w:t>
      </w:r>
    </w:p>
  </w:footnote>
  <w:footnote w:id="254">
    <w:p w14:paraId="0D68CCD2" w14:textId="77777777" w:rsidR="00210409" w:rsidRDefault="00210409">
      <w:pPr>
        <w:pStyle w:val="FootnoteText"/>
      </w:pPr>
      <w:r>
        <w:rPr>
          <w:rStyle w:val="FootnoteReference"/>
        </w:rPr>
        <w:footnoteRef/>
      </w:r>
      <w:r>
        <w:t xml:space="preserve"> Ante-Nicene Library, Edinburgh, 1872.</w:t>
      </w:r>
    </w:p>
  </w:footnote>
  <w:footnote w:id="255">
    <w:p w14:paraId="0D68CCD3" w14:textId="438DF4AB" w:rsidR="00210409" w:rsidRDefault="00210409">
      <w:pPr>
        <w:pStyle w:val="FootnoteText"/>
      </w:pPr>
      <w:r>
        <w:rPr>
          <w:rStyle w:val="FootnoteReference"/>
        </w:rPr>
        <w:footnoteRef/>
      </w:r>
      <w:r>
        <w:t xml:space="preserve"> </w:t>
      </w:r>
      <w:r w:rsidR="004A329F">
        <w:t>Against Celsus</w:t>
      </w:r>
      <w:r>
        <w:t>. IV. Xiii; xciv.</w:t>
      </w:r>
    </w:p>
  </w:footnote>
  <w:footnote w:id="256">
    <w:p w14:paraId="0D68CCD4" w14:textId="77777777" w:rsidR="00210409" w:rsidRDefault="00210409">
      <w:pPr>
        <w:pStyle w:val="FootnoteText"/>
      </w:pPr>
      <w:r>
        <w:rPr>
          <w:rStyle w:val="FootnoteReference"/>
        </w:rPr>
        <w:footnoteRef/>
      </w:r>
      <w:r>
        <w:t xml:space="preserve"> De Prin. III, v.</w:t>
      </w:r>
    </w:p>
  </w:footnote>
  <w:footnote w:id="257">
    <w:p w14:paraId="0D68CCD5" w14:textId="77777777" w:rsidR="00210409" w:rsidRDefault="00210409">
      <w:pPr>
        <w:pStyle w:val="FootnoteText"/>
      </w:pPr>
      <w:r>
        <w:rPr>
          <w:rStyle w:val="FootnoteReference"/>
        </w:rPr>
        <w:footnoteRef/>
      </w:r>
      <w:r>
        <w:t xml:space="preserve"> De Prin. III, vi.</w:t>
      </w:r>
    </w:p>
  </w:footnote>
  <w:footnote w:id="258">
    <w:p w14:paraId="0D68CCD6" w14:textId="77777777" w:rsidR="00210409" w:rsidRDefault="00210409">
      <w:pPr>
        <w:pStyle w:val="FootnoteText"/>
      </w:pPr>
      <w:r>
        <w:rPr>
          <w:rStyle w:val="FootnoteReference"/>
        </w:rPr>
        <w:footnoteRef/>
      </w:r>
      <w:r>
        <w:t xml:space="preserve"> De Prin. II, v:1-4.</w:t>
      </w:r>
    </w:p>
  </w:footnote>
  <w:footnote w:id="259">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0">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62">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77777777" w:rsidR="00210409" w:rsidRDefault="00210409">
      <w:pPr>
        <w:pStyle w:val="FootnoteText"/>
      </w:pPr>
      <w:r>
        <w:rPr>
          <w:rStyle w:val="FootnoteReference"/>
        </w:rPr>
        <w:footnoteRef/>
      </w:r>
      <w:r>
        <w:t xml:space="preserve"> Routh, Reliquiae Sacrae, iii, p. 498.</w:t>
      </w:r>
    </w:p>
  </w:footnote>
  <w:footnote w:id="264">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5">
    <w:p w14:paraId="0D68CCDD" w14:textId="77777777" w:rsidR="00210409" w:rsidRDefault="00210409">
      <w:pPr>
        <w:pStyle w:val="FootnoteText"/>
      </w:pPr>
      <w:r>
        <w:rPr>
          <w:rStyle w:val="FootnoteReference"/>
        </w:rPr>
        <w:footnoteRef/>
      </w:r>
      <w:r>
        <w:t xml:space="preserve"> Hist. Doct. Fut. Ret.</w:t>
      </w:r>
    </w:p>
  </w:footnote>
  <w:footnote w:id="266">
    <w:p w14:paraId="0D68CCDE" w14:textId="77777777" w:rsidR="00210409" w:rsidRDefault="00210409">
      <w:pPr>
        <w:pStyle w:val="FootnoteText"/>
      </w:pPr>
      <w:r>
        <w:rPr>
          <w:rStyle w:val="FootnoteReference"/>
        </w:rPr>
        <w:footnoteRef/>
      </w:r>
      <w:r>
        <w:t xml:space="preserve"> Holy Eastern Church, p. 37.</w:t>
      </w:r>
    </w:p>
  </w:footnote>
  <w:footnote w:id="267">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68">
    <w:p w14:paraId="0D68CCE0" w14:textId="77777777" w:rsidR="00210409" w:rsidRDefault="00210409">
      <w:pPr>
        <w:pStyle w:val="FootnoteText"/>
      </w:pPr>
      <w:r>
        <w:rPr>
          <w:rStyle w:val="FootnoteReference"/>
        </w:rPr>
        <w:footnoteRef/>
      </w:r>
      <w:r>
        <w:t xml:space="preserve"> Enchirid. Ch. 112.</w:t>
      </w:r>
    </w:p>
  </w:footnote>
  <w:footnote w:id="269">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0">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1">
    <w:p w14:paraId="0D68CCE3" w14:textId="77777777" w:rsidR="00210409" w:rsidRDefault="00210409">
      <w:pPr>
        <w:pStyle w:val="FootnoteText"/>
      </w:pPr>
      <w:r>
        <w:rPr>
          <w:rStyle w:val="FootnoteReference"/>
        </w:rPr>
        <w:footnoteRef/>
      </w:r>
      <w:r>
        <w:t xml:space="preserve"> Christ. Plat. Of Alex., p. 308.</w:t>
      </w:r>
    </w:p>
  </w:footnote>
  <w:footnote w:id="272">
    <w:p w14:paraId="0D68CCE4" w14:textId="77777777" w:rsidR="00210409" w:rsidRDefault="00210409">
      <w:pPr>
        <w:pStyle w:val="FootnoteText"/>
      </w:pPr>
      <w:r>
        <w:rPr>
          <w:rStyle w:val="FootnoteReference"/>
        </w:rPr>
        <w:footnoteRef/>
      </w:r>
      <w:r>
        <w:t xml:space="preserve"> Hipp. and his Age, pp. 285, 286.</w:t>
      </w:r>
    </w:p>
  </w:footnote>
  <w:footnote w:id="273">
    <w:p w14:paraId="0D68CCE5" w14:textId="77777777" w:rsidR="00210409" w:rsidRDefault="00210409">
      <w:pPr>
        <w:pStyle w:val="FootnoteText"/>
      </w:pPr>
      <w:r>
        <w:rPr>
          <w:rStyle w:val="FootnoteReference"/>
        </w:rPr>
        <w:footnoteRef/>
      </w:r>
      <w:r>
        <w:t xml:space="preserve"> Bunsen, pp. 326-327.</w:t>
      </w:r>
    </w:p>
  </w:footnote>
  <w:footnote w:id="274">
    <w:p w14:paraId="0D68CCE6" w14:textId="77777777" w:rsidR="00210409" w:rsidRDefault="00210409">
      <w:pPr>
        <w:pStyle w:val="FootnoteText"/>
      </w:pPr>
      <w:r>
        <w:rPr>
          <w:rStyle w:val="FootnoteReference"/>
        </w:rPr>
        <w:footnoteRef/>
      </w:r>
      <w:r>
        <w:t xml:space="preserve"> Essays, pp. 236-252.</w:t>
      </w:r>
    </w:p>
  </w:footnote>
  <w:footnote w:id="275">
    <w:p w14:paraId="0D68CCE7" w14:textId="77777777" w:rsidR="00210409" w:rsidRDefault="00210409">
      <w:pPr>
        <w:pStyle w:val="FootnoteText"/>
      </w:pPr>
      <w:r>
        <w:rPr>
          <w:rStyle w:val="FootnoteReference"/>
        </w:rPr>
        <w:footnoteRef/>
      </w:r>
      <w:r>
        <w:t xml:space="preserve"> Cred. Gos. Hist., Vol. II, pg. 488.</w:t>
      </w:r>
    </w:p>
  </w:footnote>
  <w:footnote w:id="276">
    <w:p w14:paraId="0D68CCE8" w14:textId="77777777" w:rsidR="00210409" w:rsidRDefault="00210409">
      <w:pPr>
        <w:pStyle w:val="FootnoteText"/>
      </w:pPr>
      <w:r>
        <w:rPr>
          <w:rStyle w:val="FootnoteReference"/>
        </w:rPr>
        <w:footnoteRef/>
      </w:r>
      <w:r>
        <w:t xml:space="preserve"> April, 1874.</w:t>
      </w:r>
    </w:p>
  </w:footnote>
  <w:footnote w:id="277">
    <w:p w14:paraId="0D68CCE9" w14:textId="77777777" w:rsidR="00210409" w:rsidRDefault="00210409">
      <w:pPr>
        <w:pStyle w:val="FootnoteText"/>
      </w:pPr>
      <w:r>
        <w:rPr>
          <w:rStyle w:val="FootnoteReference"/>
        </w:rPr>
        <w:footnoteRef/>
      </w:r>
      <w:r>
        <w:t xml:space="preserve"> Theos. Or Psych. Rel. Lect. XIII.</w:t>
      </w:r>
    </w:p>
  </w:footnote>
  <w:footnote w:id="278">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9">
    <w:p w14:paraId="0D68CCEB" w14:textId="77777777" w:rsidR="00210409" w:rsidRDefault="00210409">
      <w:pPr>
        <w:pStyle w:val="FootnoteText"/>
      </w:pPr>
      <w:r>
        <w:rPr>
          <w:rStyle w:val="FootnoteReference"/>
        </w:rPr>
        <w:footnoteRef/>
      </w:r>
      <w:r>
        <w:t xml:space="preserve"> Philosophumena or Refutation of Heresy.</w:t>
      </w:r>
    </w:p>
  </w:footnote>
  <w:footnote w:id="280">
    <w:p w14:paraId="0D68CCEC" w14:textId="77777777" w:rsidR="00210409" w:rsidRDefault="00210409">
      <w:pPr>
        <w:pStyle w:val="FootnoteText"/>
      </w:pPr>
      <w:r>
        <w:rPr>
          <w:rStyle w:val="FootnoteReference"/>
        </w:rPr>
        <w:footnoteRef/>
      </w:r>
      <w:r>
        <w:t xml:space="preserve"> See pg. 190 of original.</w:t>
      </w:r>
    </w:p>
  </w:footnote>
  <w:footnote w:id="281">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82">
    <w:p w14:paraId="0D68CCEE" w14:textId="77777777" w:rsidR="00210409" w:rsidRDefault="00210409">
      <w:pPr>
        <w:pStyle w:val="FootnoteText"/>
      </w:pPr>
      <w:r>
        <w:rPr>
          <w:rStyle w:val="FootnoteReference"/>
        </w:rPr>
        <w:footnoteRef/>
      </w:r>
      <w:r>
        <w:t xml:space="preserve"> Ad Autolicum, lib. II, cap. 26, Vol. VI, Migne’s Patrologiae.</w:t>
      </w:r>
    </w:p>
  </w:footnote>
  <w:footnote w:id="283">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84">
    <w:p w14:paraId="0D68CCF0" w14:textId="77777777" w:rsidR="00210409" w:rsidRDefault="00210409">
      <w:pPr>
        <w:pStyle w:val="FootnoteText"/>
      </w:pPr>
      <w:r>
        <w:rPr>
          <w:rStyle w:val="FootnoteReference"/>
        </w:rPr>
        <w:footnoteRef/>
      </w:r>
      <w:r>
        <w:t xml:space="preserve"> Oxford Tracts for the Times, No. XVII.</w:t>
      </w:r>
    </w:p>
  </w:footnote>
  <w:footnote w:id="285">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6">
    <w:p w14:paraId="0D68CCF2" w14:textId="77777777" w:rsidR="00210409" w:rsidRDefault="00210409">
      <w:pPr>
        <w:pStyle w:val="FootnoteText"/>
      </w:pPr>
      <w:r>
        <w:rPr>
          <w:rStyle w:val="FootnoteReference"/>
        </w:rPr>
        <w:footnoteRef/>
      </w:r>
      <w:r>
        <w:t xml:space="preserve"> Apol., cap. 18.</w:t>
      </w:r>
    </w:p>
  </w:footnote>
  <w:footnote w:id="287">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8">
    <w:p w14:paraId="0D68CCF4" w14:textId="77777777" w:rsidR="00210409" w:rsidRDefault="00210409">
      <w:pPr>
        <w:pStyle w:val="FootnoteText"/>
      </w:pPr>
      <w:r>
        <w:rPr>
          <w:rStyle w:val="FootnoteReference"/>
        </w:rPr>
        <w:footnoteRef/>
      </w:r>
      <w:r>
        <w:t xml:space="preserve"> Euseb. Hist. Eccl. B. vi.</w:t>
      </w:r>
    </w:p>
  </w:footnote>
  <w:footnote w:id="289">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90">
    <w:p w14:paraId="0D68CCF6" w14:textId="77777777" w:rsidR="00210409" w:rsidRDefault="00210409">
      <w:pPr>
        <w:pStyle w:val="FootnoteText"/>
      </w:pPr>
      <w:r>
        <w:rPr>
          <w:rStyle w:val="FootnoteReference"/>
        </w:rPr>
        <w:footnoteRef/>
      </w:r>
      <w:r>
        <w:t xml:space="preserve"> Vol. II, pp. 414-416.</w:t>
      </w:r>
    </w:p>
  </w:footnote>
  <w:footnote w:id="291">
    <w:p w14:paraId="0D68CCF7" w14:textId="77777777" w:rsidR="00210409" w:rsidRDefault="00210409">
      <w:pPr>
        <w:pStyle w:val="FootnoteText"/>
      </w:pPr>
      <w:r>
        <w:rPr>
          <w:rStyle w:val="FootnoteReference"/>
        </w:rPr>
        <w:footnoteRef/>
      </w:r>
      <w:r>
        <w:t xml:space="preserve"> Hist. Doct. II, Sec. 142. Edin. Ed. 1884.</w:t>
      </w:r>
    </w:p>
  </w:footnote>
  <w:footnote w:id="292">
    <w:p w14:paraId="0D68CCF8" w14:textId="77777777" w:rsidR="00210409" w:rsidRDefault="00210409">
      <w:pPr>
        <w:pStyle w:val="FootnoteText"/>
      </w:pPr>
      <w:r>
        <w:rPr>
          <w:rStyle w:val="FootnoteReference"/>
        </w:rPr>
        <w:footnoteRef/>
      </w:r>
      <w:r>
        <w:t xml:space="preserve"> P. 349, note.</w:t>
      </w:r>
    </w:p>
  </w:footnote>
  <w:footnote w:id="293">
    <w:p w14:paraId="0D68CCF9" w14:textId="77777777" w:rsidR="00210409" w:rsidRDefault="00210409">
      <w:pPr>
        <w:pStyle w:val="FootnoteText"/>
      </w:pPr>
      <w:r>
        <w:rPr>
          <w:rStyle w:val="FootnoteReference"/>
        </w:rPr>
        <w:footnoteRef/>
      </w:r>
      <w:r>
        <w:t xml:space="preserve"> Vol. II, pg. 676.</w:t>
      </w:r>
    </w:p>
  </w:footnote>
  <w:footnote w:id="294">
    <w:p w14:paraId="0D68CCFA" w14:textId="77777777" w:rsidR="00210409" w:rsidRDefault="00210409">
      <w:pPr>
        <w:pStyle w:val="FootnoteText"/>
      </w:pPr>
      <w:r>
        <w:rPr>
          <w:rStyle w:val="FootnoteReference"/>
        </w:rPr>
        <w:footnoteRef/>
      </w:r>
      <w:r>
        <w:t xml:space="preserve"> Eusebius, VI:26.</w:t>
      </w:r>
    </w:p>
  </w:footnote>
  <w:footnote w:id="295">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6">
    <w:p w14:paraId="0D68CCFC" w14:textId="77777777" w:rsidR="00210409" w:rsidRDefault="00210409">
      <w:pPr>
        <w:pStyle w:val="FootnoteText"/>
      </w:pPr>
      <w:r>
        <w:rPr>
          <w:rStyle w:val="FootnoteReference"/>
        </w:rPr>
        <w:footnoteRef/>
      </w:r>
      <w:r>
        <w:t xml:space="preserve"> Routh, Rel. Sac., III, p. 498. Oxford ed., 1846.</w:t>
      </w:r>
    </w:p>
  </w:footnote>
  <w:footnote w:id="297">
    <w:p w14:paraId="0D68CCFD" w14:textId="77777777" w:rsidR="00210409" w:rsidRDefault="00210409">
      <w:pPr>
        <w:pStyle w:val="FootnoteText"/>
      </w:pPr>
      <w:r>
        <w:rPr>
          <w:rStyle w:val="FootnoteReference"/>
        </w:rPr>
        <w:footnoteRef/>
      </w:r>
      <w:r>
        <w:t xml:space="preserve"> De Eccl. Theol., Migne, Vol. XXIV, pp. 1030-33.</w:t>
      </w:r>
    </w:p>
  </w:footnote>
  <w:footnote w:id="298">
    <w:p w14:paraId="0D68CCFE" w14:textId="77777777" w:rsidR="00210409" w:rsidRDefault="00210409">
      <w:pPr>
        <w:pStyle w:val="FootnoteText"/>
      </w:pPr>
      <w:r>
        <w:rPr>
          <w:rStyle w:val="FootnoteReference"/>
        </w:rPr>
        <w:footnoteRef/>
      </w:r>
      <w:r>
        <w:t xml:space="preserve"> Sermon Major de fide. Migne, vol. XXVI, pp. 1263-1294.</w:t>
      </w:r>
    </w:p>
  </w:footnote>
  <w:footnote w:id="299">
    <w:p w14:paraId="0D68CCFF" w14:textId="77777777" w:rsidR="00210409" w:rsidRDefault="00210409">
      <w:pPr>
        <w:pStyle w:val="FootnoteText"/>
      </w:pPr>
      <w:r>
        <w:rPr>
          <w:rStyle w:val="FootnoteReference"/>
        </w:rPr>
        <w:footnoteRef/>
      </w:r>
      <w:r>
        <w:t xml:space="preserve"> De Spir. Sanct., Ch. 44.</w:t>
      </w:r>
    </w:p>
  </w:footnote>
  <w:footnote w:id="300">
    <w:p w14:paraId="0D68CD00" w14:textId="77777777" w:rsidR="00210409" w:rsidRDefault="00210409">
      <w:pPr>
        <w:pStyle w:val="FootnoteText"/>
      </w:pPr>
      <w:r>
        <w:rPr>
          <w:rStyle w:val="FootnoteReference"/>
        </w:rPr>
        <w:footnoteRef/>
      </w:r>
      <w:r>
        <w:t xml:space="preserve"> See sketch of Jerome.</w:t>
      </w:r>
    </w:p>
  </w:footnote>
  <w:footnote w:id="301">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302">
    <w:p w14:paraId="0D68CD02" w14:textId="77777777" w:rsidR="00210409" w:rsidRDefault="00210409">
      <w:pPr>
        <w:pStyle w:val="FootnoteText"/>
      </w:pPr>
      <w:r>
        <w:rPr>
          <w:rStyle w:val="FootnoteReference"/>
        </w:rPr>
        <w:footnoteRef/>
      </w:r>
      <w:r>
        <w:t xml:space="preserve"> Dictionary of Christian Biography, II, p. 150.</w:t>
      </w:r>
    </w:p>
  </w:footnote>
  <w:footnote w:id="303">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304">
    <w:p w14:paraId="0D68CD04" w14:textId="77777777" w:rsidR="00210409" w:rsidRDefault="00210409">
      <w:pPr>
        <w:pStyle w:val="FootnoteText"/>
      </w:pPr>
      <w:r>
        <w:rPr>
          <w:rStyle w:val="FootnoteReference"/>
        </w:rPr>
        <w:footnoteRef/>
      </w:r>
      <w:r>
        <w:t xml:space="preserve"> De Resurr., VIII.</w:t>
      </w:r>
    </w:p>
  </w:footnote>
  <w:footnote w:id="305">
    <w:p w14:paraId="0D68CD05" w14:textId="77777777" w:rsidR="00210409" w:rsidRDefault="00210409">
      <w:pPr>
        <w:pStyle w:val="FootnoteText"/>
      </w:pPr>
      <w:r>
        <w:rPr>
          <w:rStyle w:val="FootnoteReference"/>
        </w:rPr>
        <w:footnoteRef/>
      </w:r>
      <w:r>
        <w:t xml:space="preserve"> See pg. 212 in original.</w:t>
      </w:r>
    </w:p>
  </w:footnote>
  <w:footnote w:id="306">
    <w:p w14:paraId="0D68CD06" w14:textId="77777777" w:rsidR="00210409" w:rsidRDefault="00210409">
      <w:pPr>
        <w:pStyle w:val="FootnoteText"/>
      </w:pPr>
      <w:r>
        <w:rPr>
          <w:rStyle w:val="FootnoteReference"/>
        </w:rPr>
        <w:footnoteRef/>
      </w:r>
      <w:r>
        <w:t xml:space="preserve"> See pg. 212 in original.</w:t>
      </w:r>
    </w:p>
  </w:footnote>
  <w:footnote w:id="307">
    <w:p w14:paraId="0D68CD07" w14:textId="77777777" w:rsidR="00210409" w:rsidRDefault="00210409">
      <w:pPr>
        <w:pStyle w:val="FootnoteText"/>
      </w:pPr>
      <w:r>
        <w:rPr>
          <w:rStyle w:val="FootnoteReference"/>
        </w:rPr>
        <w:footnoteRef/>
      </w:r>
      <w:r>
        <w:t xml:space="preserve"> Orat. xl, Carm. xlii.; Migne, Vols. XXXVI, XXI.</w:t>
      </w:r>
    </w:p>
  </w:footnote>
  <w:footnote w:id="308">
    <w:p w14:paraId="0D68CD08" w14:textId="77777777" w:rsidR="00210409" w:rsidRDefault="00210409">
      <w:pPr>
        <w:pStyle w:val="FootnoteText"/>
      </w:pPr>
      <w:r>
        <w:rPr>
          <w:rStyle w:val="FootnoteReference"/>
        </w:rPr>
        <w:footnoteRef/>
      </w:r>
      <w:r>
        <w:t xml:space="preserve"> See Newman’s Hist. Essays, Vol. III.</w:t>
      </w:r>
    </w:p>
  </w:footnote>
  <w:footnote w:id="309">
    <w:p w14:paraId="0D68CD09" w14:textId="77777777" w:rsidR="00210409" w:rsidRDefault="00210409">
      <w:pPr>
        <w:pStyle w:val="FootnoteText"/>
      </w:pPr>
      <w:r>
        <w:rPr>
          <w:rStyle w:val="FootnoteReference"/>
        </w:rPr>
        <w:footnoteRef/>
      </w:r>
      <w:r>
        <w:t xml:space="preserve"> Assemani Bibl. Orient. Tom. III, p. 323.</w:t>
      </w:r>
    </w:p>
  </w:footnote>
  <w:footnote w:id="310">
    <w:p w14:paraId="0D68CD0A" w14:textId="77777777" w:rsidR="00210409" w:rsidRDefault="00210409">
      <w:pPr>
        <w:pStyle w:val="FootnoteText"/>
      </w:pPr>
      <w:r>
        <w:rPr>
          <w:rStyle w:val="FootnoteReference"/>
        </w:rPr>
        <w:footnoteRef/>
      </w:r>
      <w:r>
        <w:t xml:space="preserve"> See pg. 215 in original.</w:t>
      </w:r>
    </w:p>
  </w:footnote>
  <w:footnote w:id="311">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12">
    <w:p w14:paraId="0D68CD0C" w14:textId="77777777" w:rsidR="00210409" w:rsidRDefault="00210409">
      <w:pPr>
        <w:pStyle w:val="FootnoteText"/>
      </w:pPr>
      <w:r>
        <w:rPr>
          <w:rStyle w:val="FootnoteReference"/>
        </w:rPr>
        <w:footnoteRef/>
      </w:r>
      <w:r>
        <w:t xml:space="preserve"> Assemani Bib. Orient. Tom. III.</w:t>
      </w:r>
    </w:p>
  </w:footnote>
  <w:footnote w:id="313">
    <w:p w14:paraId="0D68CD0D" w14:textId="77777777" w:rsidR="00210409" w:rsidRDefault="00210409">
      <w:pPr>
        <w:pStyle w:val="FootnoteText"/>
      </w:pPr>
      <w:r>
        <w:rPr>
          <w:rStyle w:val="FootnoteReference"/>
        </w:rPr>
        <w:footnoteRef/>
      </w:r>
      <w:r>
        <w:t xml:space="preserve"> Dictionary of Christian Biography, II, p. 194.</w:t>
      </w:r>
    </w:p>
  </w:footnote>
  <w:footnote w:id="314">
    <w:p w14:paraId="0D68CD0E" w14:textId="77777777" w:rsidR="00210409" w:rsidRDefault="00210409">
      <w:pPr>
        <w:pStyle w:val="FootnoteText"/>
      </w:pPr>
      <w:r>
        <w:rPr>
          <w:rStyle w:val="FootnoteReference"/>
        </w:rPr>
        <w:footnoteRef/>
      </w:r>
      <w:r>
        <w:t xml:space="preserve"> Ibid. IV, p. 946.</w:t>
      </w:r>
    </w:p>
  </w:footnote>
  <w:footnote w:id="315">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6">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7">
    <w:p w14:paraId="0D68CD11" w14:textId="77777777" w:rsidR="00210409" w:rsidRDefault="00210409">
      <w:pPr>
        <w:pStyle w:val="FootnoteText"/>
      </w:pPr>
      <w:r>
        <w:rPr>
          <w:rStyle w:val="FootnoteReference"/>
        </w:rPr>
        <w:footnoteRef/>
      </w:r>
      <w:r>
        <w:t xml:space="preserve"> Doct. And Per. Of Christ., Div. II, Vol. 1, p. 50.</w:t>
      </w:r>
    </w:p>
  </w:footnote>
  <w:footnote w:id="318">
    <w:p w14:paraId="0D68CD12" w14:textId="77777777" w:rsidR="00210409" w:rsidRDefault="00210409">
      <w:pPr>
        <w:pStyle w:val="FootnoteText"/>
      </w:pPr>
      <w:r>
        <w:rPr>
          <w:rStyle w:val="FootnoteReference"/>
        </w:rPr>
        <w:footnoteRef/>
      </w:r>
      <w:r>
        <w:t xml:space="preserve"> Renaudot’s Oriental Liturgies, Vol. II, p. 610.</w:t>
      </w:r>
    </w:p>
  </w:footnote>
  <w:footnote w:id="319">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20">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1">
    <w:p w14:paraId="0D68CD15" w14:textId="77777777" w:rsidR="00210409" w:rsidRDefault="00210409">
      <w:pPr>
        <w:pStyle w:val="FootnoteText"/>
      </w:pPr>
      <w:r>
        <w:rPr>
          <w:rStyle w:val="FootnoteReference"/>
        </w:rPr>
        <w:footnoteRef/>
      </w:r>
      <w:r>
        <w:t xml:space="preserve"> Universalism Asserted, p. 148.</w:t>
      </w:r>
    </w:p>
  </w:footnote>
  <w:footnote w:id="322">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3">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4">
    <w:p w14:paraId="0D68CD18" w14:textId="77777777" w:rsidR="00210409" w:rsidRDefault="00210409">
      <w:pPr>
        <w:pStyle w:val="FootnoteText"/>
      </w:pPr>
      <w:r>
        <w:rPr>
          <w:rStyle w:val="FootnoteReference"/>
        </w:rPr>
        <w:footnoteRef/>
      </w:r>
      <w:r>
        <w:t xml:space="preserve"> Dict. Christ. Biog. III, p. 780.</w:t>
      </w:r>
    </w:p>
  </w:footnote>
  <w:footnote w:id="325">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6">
    <w:p w14:paraId="0D68CD1A" w14:textId="77777777" w:rsidR="00210409" w:rsidRDefault="00210409">
      <w:pPr>
        <w:pStyle w:val="FootnoteText"/>
      </w:pPr>
      <w:r>
        <w:rPr>
          <w:rStyle w:val="FootnoteReference"/>
        </w:rPr>
        <w:footnoteRef/>
      </w:r>
      <w:r>
        <w:t xml:space="preserve"> P. 154. Oehler’s ed. Life and Resurrection.</w:t>
      </w:r>
    </w:p>
  </w:footnote>
  <w:footnote w:id="327">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8">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29">
    <w:p w14:paraId="0D68CD1D" w14:textId="77777777" w:rsidR="00210409" w:rsidRDefault="00210409">
      <w:pPr>
        <w:pStyle w:val="FootnoteText"/>
      </w:pPr>
      <w:r>
        <w:rPr>
          <w:rStyle w:val="FootnoteReference"/>
        </w:rPr>
        <w:footnoteRef/>
      </w:r>
      <w:r>
        <w:t xml:space="preserve"> History of the Church, pg. 176.</w:t>
      </w:r>
    </w:p>
  </w:footnote>
  <w:footnote w:id="330">
    <w:p w14:paraId="0D68CD1E" w14:textId="77777777" w:rsidR="00210409" w:rsidRDefault="00210409">
      <w:pPr>
        <w:pStyle w:val="FootnoteText"/>
      </w:pPr>
      <w:r>
        <w:rPr>
          <w:rStyle w:val="FootnoteReference"/>
        </w:rPr>
        <w:footnoteRef/>
      </w:r>
      <w:r>
        <w:t xml:space="preserve"> Lives of the Fathers, II, p. 451.</w:t>
      </w:r>
    </w:p>
  </w:footnote>
  <w:footnote w:id="331">
    <w:p w14:paraId="0D68CD1F" w14:textId="77777777" w:rsidR="00210409" w:rsidRDefault="00210409">
      <w:pPr>
        <w:pStyle w:val="FootnoteText"/>
      </w:pPr>
      <w:r>
        <w:rPr>
          <w:rStyle w:val="FootnoteReference"/>
        </w:rPr>
        <w:footnoteRef/>
      </w:r>
      <w:r>
        <w:t xml:space="preserve"> Ep. XLVI, Classis I, ad virginem.</w:t>
      </w:r>
    </w:p>
  </w:footnote>
  <w:footnote w:id="332">
    <w:p w14:paraId="0D68CD20" w14:textId="77777777" w:rsidR="00210409" w:rsidRDefault="00210409">
      <w:pPr>
        <w:pStyle w:val="FootnoteText"/>
      </w:pPr>
      <w:r>
        <w:rPr>
          <w:rStyle w:val="FootnoteReference"/>
        </w:rPr>
        <w:footnoteRef/>
      </w:r>
      <w:r>
        <w:t xml:space="preserve"> Cave, Lives of the Fathers, II, 397.</w:t>
      </w:r>
    </w:p>
  </w:footnote>
  <w:footnote w:id="333">
    <w:p w14:paraId="0D68CD21" w14:textId="77777777" w:rsidR="00210409" w:rsidRDefault="00210409">
      <w:pPr>
        <w:pStyle w:val="FootnoteText"/>
      </w:pPr>
      <w:r>
        <w:rPr>
          <w:rStyle w:val="FootnoteReference"/>
        </w:rPr>
        <w:footnoteRef/>
      </w:r>
      <w:r>
        <w:t xml:space="preserve"> De Ascetics.</w:t>
      </w:r>
    </w:p>
  </w:footnote>
  <w:footnote w:id="334">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5">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6">
    <w:p w14:paraId="0D68CD24" w14:textId="77777777" w:rsidR="00210409" w:rsidRDefault="00210409">
      <w:pPr>
        <w:pStyle w:val="FootnoteText"/>
      </w:pPr>
      <w:r>
        <w:rPr>
          <w:rStyle w:val="FootnoteReference"/>
        </w:rPr>
        <w:footnoteRef/>
      </w:r>
      <w:r>
        <w:t xml:space="preserve"> See original pg. 237.</w:t>
      </w:r>
    </w:p>
  </w:footnote>
  <w:footnote w:id="337">
    <w:p w14:paraId="0D68CD25" w14:textId="77777777" w:rsidR="00210409" w:rsidRDefault="00210409">
      <w:pPr>
        <w:pStyle w:val="FootnoteText"/>
      </w:pPr>
      <w:r>
        <w:rPr>
          <w:rStyle w:val="FootnoteReference"/>
        </w:rPr>
        <w:footnoteRef/>
      </w:r>
      <w:r>
        <w:t xml:space="preserve"> See pg. 238 in original.</w:t>
      </w:r>
    </w:p>
  </w:footnote>
  <w:footnote w:id="338">
    <w:p w14:paraId="0D68CD26" w14:textId="77777777" w:rsidR="00210409" w:rsidRDefault="00210409">
      <w:pPr>
        <w:pStyle w:val="FootnoteText"/>
      </w:pPr>
      <w:r>
        <w:rPr>
          <w:rStyle w:val="FootnoteReference"/>
        </w:rPr>
        <w:footnoteRef/>
      </w:r>
      <w:r>
        <w:t xml:space="preserve"> See pg. 238 in original.</w:t>
      </w:r>
    </w:p>
  </w:footnote>
  <w:footnote w:id="339">
    <w:p w14:paraId="0D68CD27" w14:textId="77777777" w:rsidR="00210409" w:rsidRDefault="00210409">
      <w:pPr>
        <w:pStyle w:val="FootnoteText"/>
      </w:pPr>
      <w:r>
        <w:rPr>
          <w:rStyle w:val="FootnoteReference"/>
        </w:rPr>
        <w:footnoteRef/>
      </w:r>
      <w:r>
        <w:t xml:space="preserve"> See pg. 238 in original.</w:t>
      </w:r>
    </w:p>
  </w:footnote>
  <w:footnote w:id="340">
    <w:p w14:paraId="0D68CD28" w14:textId="77777777" w:rsidR="00210409" w:rsidRDefault="00210409">
      <w:pPr>
        <w:pStyle w:val="FootnoteText"/>
      </w:pPr>
      <w:r>
        <w:rPr>
          <w:rStyle w:val="FootnoteReference"/>
        </w:rPr>
        <w:footnoteRef/>
      </w:r>
      <w:r>
        <w:t xml:space="preserve"> Photius, Cod., pg. 233.</w:t>
      </w:r>
    </w:p>
  </w:footnote>
  <w:footnote w:id="341">
    <w:p w14:paraId="0D68CD29" w14:textId="77777777" w:rsidR="00210409" w:rsidRDefault="00210409">
      <w:pPr>
        <w:pStyle w:val="FootnoteText"/>
      </w:pPr>
      <w:r>
        <w:rPr>
          <w:rStyle w:val="FootnoteReference"/>
        </w:rPr>
        <w:footnoteRef/>
      </w:r>
      <w:r>
        <w:t xml:space="preserve"> De Usu Patrum, lib. II, cap. 4.</w:t>
      </w:r>
    </w:p>
  </w:footnote>
  <w:footnote w:id="342">
    <w:p w14:paraId="0D68CD2A" w14:textId="77777777" w:rsidR="00210409" w:rsidRDefault="00210409">
      <w:pPr>
        <w:pStyle w:val="FootnoteText"/>
      </w:pPr>
      <w:r>
        <w:rPr>
          <w:rStyle w:val="FootnoteReference"/>
        </w:rPr>
        <w:footnoteRef/>
      </w:r>
      <w:r>
        <w:t xml:space="preserve"> Lecky’s Rationalism in Europe, I, pg. 316.</w:t>
      </w:r>
    </w:p>
  </w:footnote>
  <w:footnote w:id="343">
    <w:p w14:paraId="0D68CD2B" w14:textId="77777777" w:rsidR="00210409" w:rsidRDefault="00210409">
      <w:pPr>
        <w:pStyle w:val="FootnoteText"/>
      </w:pPr>
      <w:r>
        <w:rPr>
          <w:rStyle w:val="FootnoteReference"/>
        </w:rPr>
        <w:footnoteRef/>
      </w:r>
      <w:r>
        <w:t xml:space="preserve"> On the Psalms.</w:t>
      </w:r>
    </w:p>
  </w:footnote>
  <w:footnote w:id="344">
    <w:p w14:paraId="0D68CD2C" w14:textId="77777777" w:rsidR="00210409" w:rsidRDefault="00210409">
      <w:pPr>
        <w:pStyle w:val="FootnoteText"/>
      </w:pPr>
      <w:r>
        <w:rPr>
          <w:rStyle w:val="FootnoteReference"/>
        </w:rPr>
        <w:footnoteRef/>
      </w:r>
      <w:r>
        <w:t xml:space="preserve"> See original pg. 241. Orat. Catech.</w:t>
      </w:r>
    </w:p>
  </w:footnote>
  <w:footnote w:id="345">
    <w:p w14:paraId="0D68CD2D" w14:textId="77777777" w:rsidR="00210409" w:rsidRDefault="00210409">
      <w:pPr>
        <w:pStyle w:val="FootnoteText"/>
      </w:pPr>
      <w:r>
        <w:rPr>
          <w:rStyle w:val="FootnoteReference"/>
        </w:rPr>
        <w:footnoteRef/>
      </w:r>
      <w:r>
        <w:t xml:space="preserve"> Allin, Universalism Asserted, pg. 189.</w:t>
      </w:r>
    </w:p>
  </w:footnote>
  <w:footnote w:id="346">
    <w:p w14:paraId="0D68CD2E" w14:textId="77777777" w:rsidR="00210409" w:rsidRDefault="00210409">
      <w:pPr>
        <w:pStyle w:val="FootnoteText"/>
      </w:pPr>
      <w:r>
        <w:rPr>
          <w:rStyle w:val="FootnoteReference"/>
        </w:rPr>
        <w:footnoteRef/>
      </w:r>
      <w:r>
        <w:t xml:space="preserve"> Essays on Church and State.</w:t>
      </w:r>
    </w:p>
  </w:footnote>
  <w:footnote w:id="347">
    <w:p w14:paraId="0D68CD2F" w14:textId="77777777" w:rsidR="00210409" w:rsidRDefault="00210409">
      <w:pPr>
        <w:pStyle w:val="FootnoteText"/>
      </w:pPr>
      <w:r>
        <w:rPr>
          <w:rStyle w:val="FootnoteReference"/>
        </w:rPr>
        <w:footnoteRef/>
      </w:r>
      <w:r>
        <w:t xml:space="preserve"> Tillemont, pg. 671. Quoted by Lardner, Vol. III, pg. 273.</w:t>
      </w:r>
    </w:p>
  </w:footnote>
  <w:footnote w:id="348">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49">
    <w:p w14:paraId="0D68CD31" w14:textId="77777777" w:rsidR="00210409" w:rsidRDefault="00210409">
      <w:pPr>
        <w:pStyle w:val="FootnoteText"/>
      </w:pPr>
      <w:r>
        <w:rPr>
          <w:rStyle w:val="FootnoteReference"/>
        </w:rPr>
        <w:footnoteRef/>
      </w:r>
      <w:r>
        <w:t xml:space="preserve"> On Psalm 37.</w:t>
      </w:r>
    </w:p>
  </w:footnote>
  <w:footnote w:id="350">
    <w:p w14:paraId="0D68CD32" w14:textId="77777777" w:rsidR="00210409" w:rsidRDefault="00210409">
      <w:pPr>
        <w:pStyle w:val="FootnoteText"/>
      </w:pPr>
      <w:r>
        <w:rPr>
          <w:rStyle w:val="FootnoteReference"/>
        </w:rPr>
        <w:footnoteRef/>
      </w:r>
      <w:r>
        <w:t xml:space="preserve"> Epis. Lib. 1.</w:t>
      </w:r>
    </w:p>
  </w:footnote>
  <w:footnote w:id="351">
    <w:p w14:paraId="0D68CD33" w14:textId="77777777" w:rsidR="00210409" w:rsidRDefault="00210409">
      <w:pPr>
        <w:pStyle w:val="FootnoteText"/>
      </w:pPr>
      <w:r>
        <w:rPr>
          <w:rStyle w:val="FootnoteReference"/>
        </w:rPr>
        <w:footnoteRef/>
      </w:r>
      <w:r>
        <w:t xml:space="preserve"> De Fide.</w:t>
      </w:r>
    </w:p>
  </w:footnote>
  <w:footnote w:id="352">
    <w:p w14:paraId="0D68CD34" w14:textId="77777777" w:rsidR="00210409" w:rsidRDefault="00210409">
      <w:pPr>
        <w:pStyle w:val="FootnoteText"/>
      </w:pPr>
      <w:r>
        <w:rPr>
          <w:rStyle w:val="FootnoteReference"/>
        </w:rPr>
        <w:footnoteRef/>
      </w:r>
      <w:r>
        <w:t xml:space="preserve"> On Psalm 62.</w:t>
      </w:r>
    </w:p>
  </w:footnote>
  <w:footnote w:id="353">
    <w:p w14:paraId="0D68CD35" w14:textId="77777777" w:rsidR="00210409" w:rsidRDefault="00210409">
      <w:pPr>
        <w:pStyle w:val="FootnoteText"/>
      </w:pPr>
      <w:r>
        <w:rPr>
          <w:rStyle w:val="FootnoteReference"/>
        </w:rPr>
        <w:footnoteRef/>
      </w:r>
      <w:r>
        <w:t xml:space="preserve"> On Luke 15:3.</w:t>
      </w:r>
    </w:p>
  </w:footnote>
  <w:footnote w:id="354">
    <w:p w14:paraId="0D68CD36" w14:textId="77777777" w:rsidR="00210409" w:rsidRDefault="00210409">
      <w:pPr>
        <w:pStyle w:val="FootnoteText"/>
      </w:pPr>
      <w:r>
        <w:rPr>
          <w:rStyle w:val="FootnoteReference"/>
        </w:rPr>
        <w:footnoteRef/>
      </w:r>
      <w:r>
        <w:t xml:space="preserve"> Blessing of Death, Chapter 7.</w:t>
      </w:r>
    </w:p>
  </w:footnote>
  <w:footnote w:id="355">
    <w:p w14:paraId="0D68CD37" w14:textId="77777777" w:rsidR="00210409" w:rsidRDefault="00210409">
      <w:pPr>
        <w:pStyle w:val="FootnoteText"/>
      </w:pPr>
      <w:r>
        <w:rPr>
          <w:rStyle w:val="FootnoteReference"/>
        </w:rPr>
        <w:footnoteRef/>
      </w:r>
      <w:r>
        <w:t xml:space="preserve"> Conf. vi, 3, Ep. xivii, 1.</w:t>
      </w:r>
    </w:p>
  </w:footnote>
  <w:footnote w:id="356">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7">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8">
    <w:p w14:paraId="0D68CD3A" w14:textId="77777777" w:rsidR="00210409" w:rsidRDefault="00210409">
      <w:pPr>
        <w:pStyle w:val="FootnoteText"/>
      </w:pPr>
      <w:r>
        <w:rPr>
          <w:rStyle w:val="FootnoteReference"/>
        </w:rPr>
        <w:footnoteRef/>
      </w:r>
      <w:r>
        <w:t xml:space="preserve"> Adv. Man., Ch. iv.</w:t>
      </w:r>
    </w:p>
  </w:footnote>
  <w:footnote w:id="359">
    <w:p w14:paraId="0D68CD3B" w14:textId="77777777" w:rsidR="00210409" w:rsidRDefault="00210409">
      <w:pPr>
        <w:pStyle w:val="FootnoteText"/>
      </w:pPr>
      <w:r>
        <w:rPr>
          <w:rStyle w:val="FootnoteReference"/>
        </w:rPr>
        <w:footnoteRef/>
      </w:r>
      <w:r>
        <w:t xml:space="preserve"> Not. et Frag., xix.</w:t>
      </w:r>
    </w:p>
  </w:footnote>
  <w:footnote w:id="360">
    <w:p w14:paraId="0D68CD3C" w14:textId="77777777" w:rsidR="00210409" w:rsidRDefault="00210409">
      <w:pPr>
        <w:pStyle w:val="FootnoteText"/>
      </w:pPr>
      <w:r>
        <w:rPr>
          <w:rStyle w:val="FootnoteReference"/>
        </w:rPr>
        <w:footnoteRef/>
      </w:r>
      <w:r>
        <w:t xml:space="preserve"> Adv. Arium, lib. I:25, Migne, viii, p. 1059.</w:t>
      </w:r>
    </w:p>
  </w:footnote>
  <w:footnote w:id="361">
    <w:p w14:paraId="0D68CD3D" w14:textId="77777777" w:rsidR="00210409" w:rsidRDefault="00210409">
      <w:pPr>
        <w:pStyle w:val="FootnoteText"/>
      </w:pPr>
      <w:r>
        <w:rPr>
          <w:rStyle w:val="FootnoteReference"/>
        </w:rPr>
        <w:footnoteRef/>
      </w:r>
      <w:r>
        <w:t xml:space="preserve"> De Trin. lib. IX.</w:t>
      </w:r>
    </w:p>
  </w:footnote>
  <w:footnote w:id="362">
    <w:p w14:paraId="0D68CD3E" w14:textId="77777777" w:rsidR="00210409" w:rsidRDefault="00210409">
      <w:pPr>
        <w:pStyle w:val="FootnoteText"/>
      </w:pPr>
      <w:r>
        <w:rPr>
          <w:rStyle w:val="FootnoteReference"/>
        </w:rPr>
        <w:footnoteRef/>
      </w:r>
      <w:r>
        <w:t xml:space="preserve"> Hist. Christ Ch., ii:628. Hist. Christ. Dogmas, ii:877.</w:t>
      </w:r>
    </w:p>
  </w:footnote>
  <w:footnote w:id="363">
    <w:p w14:paraId="0D68CD3F" w14:textId="77777777" w:rsidR="00210409" w:rsidRDefault="00210409">
      <w:pPr>
        <w:pStyle w:val="FootnoteText"/>
      </w:pPr>
      <w:r>
        <w:rPr>
          <w:rStyle w:val="FootnoteReference"/>
        </w:rPr>
        <w:footnoteRef/>
      </w:r>
      <w:r>
        <w:t xml:space="preserve"> Migne, lxxxii, pg. 360.</w:t>
      </w:r>
    </w:p>
  </w:footnote>
  <w:footnote w:id="364">
    <w:p w14:paraId="0D68CD40" w14:textId="77777777" w:rsidR="00210409" w:rsidRDefault="00210409">
      <w:pPr>
        <w:pStyle w:val="FootnoteText"/>
      </w:pPr>
      <w:r>
        <w:rPr>
          <w:rStyle w:val="FootnoteReference"/>
        </w:rPr>
        <w:footnoteRef/>
      </w:r>
      <w:r>
        <w:t xml:space="preserve"> Homilia. Pasch. xx. Migne, lxxvii.</w:t>
      </w:r>
    </w:p>
  </w:footnote>
  <w:footnote w:id="365">
    <w:p w14:paraId="0D68CD41" w14:textId="77777777" w:rsidR="00210409" w:rsidRDefault="00210409">
      <w:pPr>
        <w:pStyle w:val="FootnoteText"/>
      </w:pPr>
      <w:r>
        <w:rPr>
          <w:rStyle w:val="FootnoteReference"/>
        </w:rPr>
        <w:footnoteRef/>
      </w:r>
      <w:r>
        <w:t xml:space="preserve"> Glaph. in Ex., lib. II.</w:t>
      </w:r>
    </w:p>
  </w:footnote>
  <w:footnote w:id="366">
    <w:p w14:paraId="0D68CD42" w14:textId="77777777" w:rsidR="00210409" w:rsidRDefault="00210409">
      <w:pPr>
        <w:pStyle w:val="FootnoteText"/>
      </w:pPr>
      <w:r>
        <w:rPr>
          <w:rStyle w:val="FootnoteReference"/>
        </w:rPr>
        <w:footnoteRef/>
      </w:r>
      <w:r>
        <w:t xml:space="preserve"> Origen. II, p. 160.</w:t>
      </w:r>
    </w:p>
  </w:footnote>
  <w:footnote w:id="367">
    <w:p w14:paraId="0D68CD43" w14:textId="77777777" w:rsidR="00210409" w:rsidRDefault="00210409">
      <w:pPr>
        <w:pStyle w:val="FootnoteText"/>
      </w:pPr>
      <w:r>
        <w:rPr>
          <w:rStyle w:val="FootnoteReference"/>
        </w:rPr>
        <w:footnoteRef/>
      </w:r>
      <w:r>
        <w:t xml:space="preserve"> Anc. Hist. Univ., pg. 265.</w:t>
      </w:r>
    </w:p>
  </w:footnote>
  <w:footnote w:id="368">
    <w:p w14:paraId="0D68CD44" w14:textId="77777777" w:rsidR="00210409" w:rsidRDefault="00210409">
      <w:pPr>
        <w:pStyle w:val="FootnoteText"/>
      </w:pPr>
      <w:r>
        <w:rPr>
          <w:rStyle w:val="FootnoteReference"/>
        </w:rPr>
        <w:footnoteRef/>
      </w:r>
      <w:r>
        <w:t xml:space="preserve"> Assemani Bib. Orientalis, III, pg. 324.</w:t>
      </w:r>
    </w:p>
  </w:footnote>
  <w:footnote w:id="369">
    <w:p w14:paraId="0D68CD45" w14:textId="77777777" w:rsidR="00210409" w:rsidRDefault="00210409">
      <w:pPr>
        <w:pStyle w:val="FootnoteText"/>
      </w:pPr>
      <w:r>
        <w:rPr>
          <w:rStyle w:val="FootnoteReference"/>
        </w:rPr>
        <w:footnoteRef/>
      </w:r>
      <w:r>
        <w:t xml:space="preserve"> Robertson’s Hist. Christ. Ch. I, pg. 455.</w:t>
      </w:r>
    </w:p>
  </w:footnote>
  <w:footnote w:id="370">
    <w:p w14:paraId="0D68CD46" w14:textId="77777777" w:rsidR="00210409" w:rsidRDefault="00210409">
      <w:pPr>
        <w:pStyle w:val="FootnoteText"/>
      </w:pPr>
      <w:r>
        <w:rPr>
          <w:rStyle w:val="FootnoteReference"/>
        </w:rPr>
        <w:footnoteRef/>
      </w:r>
      <w:r>
        <w:t xml:space="preserve"> What is of Faith, pg. 231.</w:t>
      </w:r>
    </w:p>
  </w:footnote>
  <w:footnote w:id="371">
    <w:p w14:paraId="0D68CD47" w14:textId="77777777" w:rsidR="00210409" w:rsidRDefault="00210409">
      <w:pPr>
        <w:pStyle w:val="FootnoteText"/>
      </w:pPr>
      <w:r>
        <w:rPr>
          <w:rStyle w:val="FootnoteReference"/>
        </w:rPr>
        <w:footnoteRef/>
      </w:r>
      <w:r>
        <w:t xml:space="preserve"> Assemani Bibl. Orient., II, pg. 291.</w:t>
      </w:r>
    </w:p>
  </w:footnote>
  <w:footnote w:id="372">
    <w:p w14:paraId="0D68CD48" w14:textId="77777777" w:rsidR="00210409" w:rsidRDefault="00210409">
      <w:pPr>
        <w:pStyle w:val="FootnoteText"/>
      </w:pPr>
      <w:r>
        <w:rPr>
          <w:rStyle w:val="FootnoteReference"/>
        </w:rPr>
        <w:footnoteRef/>
      </w:r>
      <w:r>
        <w:t xml:space="preserve"> Hipp. and His Age.</w:t>
      </w:r>
    </w:p>
  </w:footnote>
  <w:footnote w:id="373">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4">
    <w:p w14:paraId="0D68CD4A" w14:textId="77777777" w:rsidR="00210409" w:rsidRDefault="00210409">
      <w:pPr>
        <w:pStyle w:val="FootnoteText"/>
      </w:pPr>
      <w:r>
        <w:rPr>
          <w:rStyle w:val="FootnoteReference"/>
        </w:rPr>
        <w:footnoteRef/>
      </w:r>
      <w:r>
        <w:t xml:space="preserve"> Epist. xxxiii. Migne Vol. XXII.</w:t>
      </w:r>
    </w:p>
  </w:footnote>
  <w:footnote w:id="375">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6">
    <w:p w14:paraId="0D68CD4C" w14:textId="77777777" w:rsidR="00210409" w:rsidRDefault="00210409">
      <w:pPr>
        <w:pStyle w:val="FootnoteText"/>
      </w:pPr>
      <w:r>
        <w:rPr>
          <w:rStyle w:val="FootnoteReference"/>
        </w:rPr>
        <w:footnoteRef/>
      </w:r>
      <w:r>
        <w:t xml:space="preserve"> Commentary on Amos.</w:t>
      </w:r>
    </w:p>
  </w:footnote>
  <w:footnote w:id="377">
    <w:p w14:paraId="0D68CD4D" w14:textId="77777777" w:rsidR="00210409" w:rsidRDefault="00210409">
      <w:pPr>
        <w:pStyle w:val="FootnoteText"/>
      </w:pPr>
      <w:r>
        <w:rPr>
          <w:rStyle w:val="FootnoteReference"/>
        </w:rPr>
        <w:footnoteRef/>
      </w:r>
      <w:r>
        <w:t xml:space="preserve"> “alterum post apostolum ecclesarium magistrum.”</w:t>
      </w:r>
    </w:p>
  </w:footnote>
  <w:footnote w:id="378">
    <w:p w14:paraId="0D68CD4E" w14:textId="77777777" w:rsidR="00210409" w:rsidRDefault="00210409">
      <w:pPr>
        <w:pStyle w:val="FootnoteText"/>
      </w:pPr>
      <w:r>
        <w:rPr>
          <w:rStyle w:val="FootnoteReference"/>
        </w:rPr>
        <w:footnoteRef/>
      </w:r>
      <w:r>
        <w:t xml:space="preserve"> He calls Origen “that immortal intellect.”</w:t>
      </w:r>
    </w:p>
  </w:footnote>
  <w:footnote w:id="379">
    <w:p w14:paraId="0D68CD4F" w14:textId="77777777" w:rsidR="00210409" w:rsidRDefault="00210409">
      <w:pPr>
        <w:pStyle w:val="FootnoteText"/>
      </w:pPr>
      <w:r>
        <w:rPr>
          <w:rStyle w:val="FootnoteReference"/>
        </w:rPr>
        <w:footnoteRef/>
      </w:r>
      <w:r>
        <w:t xml:space="preserve"> Universalist Quarterly, May, 1838.</w:t>
      </w:r>
    </w:p>
  </w:footnote>
  <w:footnote w:id="380">
    <w:p w14:paraId="0D68CD50" w14:textId="77777777" w:rsidR="00210409" w:rsidRDefault="00210409">
      <w:pPr>
        <w:pStyle w:val="FootnoteText"/>
      </w:pPr>
      <w:r>
        <w:rPr>
          <w:rStyle w:val="FootnoteReference"/>
        </w:rPr>
        <w:footnoteRef/>
      </w:r>
      <w:r>
        <w:t xml:space="preserve"> Homily IX on I Cor. 3:12-18.</w:t>
      </w:r>
    </w:p>
  </w:footnote>
  <w:footnote w:id="381">
    <w:p w14:paraId="0D68CD51" w14:textId="77777777" w:rsidR="00210409" w:rsidRDefault="00210409">
      <w:pPr>
        <w:pStyle w:val="FootnoteText"/>
      </w:pPr>
      <w:r>
        <w:rPr>
          <w:rStyle w:val="FootnoteReference"/>
        </w:rPr>
        <w:footnoteRef/>
      </w:r>
      <w:r>
        <w:t xml:space="preserve"> Homily XI on I Cor. 4:3.</w:t>
      </w:r>
    </w:p>
  </w:footnote>
  <w:footnote w:id="382">
    <w:p w14:paraId="0D68CD52" w14:textId="77777777" w:rsidR="00210409" w:rsidRDefault="00210409">
      <w:pPr>
        <w:pStyle w:val="FootnoteText"/>
      </w:pPr>
      <w:r>
        <w:rPr>
          <w:rStyle w:val="FootnoteReference"/>
        </w:rPr>
        <w:footnoteRef/>
      </w:r>
      <w:r>
        <w:t xml:space="preserve"> Sermon xxxiv; on Psalm 148; Sermon xxx.</w:t>
      </w:r>
    </w:p>
  </w:footnote>
  <w:footnote w:id="383">
    <w:p w14:paraId="0D68CD53" w14:textId="77777777" w:rsidR="00210409" w:rsidRDefault="00210409">
      <w:pPr>
        <w:pStyle w:val="FootnoteText"/>
      </w:pPr>
      <w:r>
        <w:rPr>
          <w:rStyle w:val="FootnoteReference"/>
        </w:rPr>
        <w:footnoteRef/>
      </w:r>
      <w:r>
        <w:t xml:space="preserve"> Confessions, III, Chap. i-iii.</w:t>
      </w:r>
    </w:p>
  </w:footnote>
  <w:footnote w:id="384">
    <w:p w14:paraId="0D68CD54" w14:textId="77777777" w:rsidR="00210409" w:rsidRDefault="00210409">
      <w:pPr>
        <w:pStyle w:val="FootnoteText"/>
      </w:pPr>
      <w:r>
        <w:rPr>
          <w:rStyle w:val="FootnoteReference"/>
        </w:rPr>
        <w:footnoteRef/>
      </w:r>
      <w:r>
        <w:t xml:space="preserve"> Robert Burns’ Address to the De’il.</w:t>
      </w:r>
    </w:p>
  </w:footnote>
  <w:footnote w:id="385">
    <w:p w14:paraId="0D68CD55" w14:textId="77777777" w:rsidR="00210409" w:rsidRDefault="00210409">
      <w:pPr>
        <w:pStyle w:val="FootnoteText"/>
      </w:pPr>
      <w:r>
        <w:rPr>
          <w:rStyle w:val="FootnoteReference"/>
        </w:rPr>
        <w:footnoteRef/>
      </w:r>
      <w:r>
        <w:t xml:space="preserve"> Conspersio damnata, massa perditionis.</w:t>
      </w:r>
    </w:p>
  </w:footnote>
  <w:footnote w:id="386">
    <w:p w14:paraId="0D68CD56" w14:textId="77777777" w:rsidR="00210409" w:rsidRDefault="00210409">
      <w:pPr>
        <w:pStyle w:val="FootnoteText"/>
      </w:pPr>
      <w:r>
        <w:rPr>
          <w:rStyle w:val="FootnoteReference"/>
        </w:rPr>
        <w:footnoteRef/>
      </w:r>
      <w:r>
        <w:t xml:space="preserve"> Allen, Cont. Christ. Thought.</w:t>
      </w:r>
    </w:p>
  </w:footnote>
  <w:footnote w:id="387">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8">
    <w:p w14:paraId="0D68CD58" w14:textId="77777777" w:rsidR="00210409" w:rsidRDefault="00210409">
      <w:pPr>
        <w:pStyle w:val="FootnoteText"/>
      </w:pPr>
      <w:r>
        <w:rPr>
          <w:rStyle w:val="FootnoteReference"/>
        </w:rPr>
        <w:footnoteRef/>
      </w:r>
      <w:r>
        <w:t xml:space="preserve"> Misercordibus nostris. De Civ., Dei., xxi:17.</w:t>
      </w:r>
    </w:p>
  </w:footnote>
  <w:footnote w:id="389">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0">
    <w:p w14:paraId="0D68CD5A" w14:textId="77777777" w:rsidR="00210409" w:rsidRPr="00AF07A4" w:rsidRDefault="00210409">
      <w:pPr>
        <w:pStyle w:val="FootnoteText"/>
      </w:pPr>
      <w:r>
        <w:rPr>
          <w:rStyle w:val="FootnoteReference"/>
        </w:rPr>
        <w:footnoteRef/>
      </w:r>
      <w:r>
        <w:t xml:space="preserve"> See Preface to Confessions.</w:t>
      </w:r>
    </w:p>
  </w:footnote>
  <w:footnote w:id="391">
    <w:p w14:paraId="0D68CD5B" w14:textId="77777777" w:rsidR="00210409" w:rsidRDefault="00210409">
      <w:pPr>
        <w:pStyle w:val="FootnoteText"/>
      </w:pPr>
      <w:r>
        <w:rPr>
          <w:rStyle w:val="FootnoteReference"/>
        </w:rPr>
        <w:footnoteRef/>
      </w:r>
      <w:r>
        <w:t xml:space="preserve"> Latin Christ. I.</w:t>
      </w:r>
    </w:p>
  </w:footnote>
  <w:footnote w:id="392">
    <w:p w14:paraId="0D68CD5C" w14:textId="77777777" w:rsidR="00210409" w:rsidRDefault="00210409">
      <w:pPr>
        <w:pStyle w:val="FootnoteText"/>
      </w:pPr>
      <w:r>
        <w:rPr>
          <w:rStyle w:val="FootnoteReference"/>
        </w:rPr>
        <w:footnoteRef/>
      </w:r>
      <w:r>
        <w:t xml:space="preserve"> Allen, Cont. Christ. Thought, pg. 156.</w:t>
      </w:r>
    </w:p>
  </w:footnote>
  <w:footnote w:id="393">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94">
    <w:p w14:paraId="0D68CD5E" w14:textId="77777777" w:rsidR="00210409" w:rsidRDefault="00210409">
      <w:pPr>
        <w:pStyle w:val="FootnoteText"/>
      </w:pPr>
      <w:r>
        <w:rPr>
          <w:rStyle w:val="FootnoteReference"/>
        </w:rPr>
        <w:footnoteRef/>
      </w:r>
      <w:r>
        <w:t xml:space="preserve"> De Civ. Del. “non redarguo, quia forsitan verum est.”</w:t>
      </w:r>
    </w:p>
  </w:footnote>
  <w:footnote w:id="395">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6">
    <w:p w14:paraId="0D68CD5F" w14:textId="77777777" w:rsidR="00210409" w:rsidRDefault="00210409">
      <w:pPr>
        <w:pStyle w:val="FootnoteText"/>
      </w:pPr>
      <w:r>
        <w:rPr>
          <w:rStyle w:val="FootnoteReference"/>
        </w:rPr>
        <w:footnoteRef/>
      </w:r>
      <w:r>
        <w:t xml:space="preserve"> Latin Christianity, I, 127.</w:t>
      </w:r>
    </w:p>
  </w:footnote>
  <w:footnote w:id="397">
    <w:p w14:paraId="0D68CD60" w14:textId="77777777" w:rsidR="00210409" w:rsidRDefault="00210409">
      <w:pPr>
        <w:pStyle w:val="FootnoteText"/>
      </w:pPr>
      <w:r>
        <w:rPr>
          <w:rStyle w:val="FootnoteReference"/>
        </w:rPr>
        <w:footnoteRef/>
      </w:r>
      <w:r>
        <w:t xml:space="preserve"> Farrar’s Lives of the Fathers.</w:t>
      </w:r>
    </w:p>
  </w:footnote>
  <w:footnote w:id="398">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99">
    <w:p w14:paraId="0D68CD62" w14:textId="77777777" w:rsidR="00210409" w:rsidRDefault="00210409">
      <w:pPr>
        <w:pStyle w:val="FootnoteText"/>
      </w:pPr>
      <w:r>
        <w:rPr>
          <w:rStyle w:val="FootnoteReference"/>
        </w:rPr>
        <w:footnoteRef/>
      </w:r>
      <w:r>
        <w:t xml:space="preserve"> Nicephorus, Eccle. Hist., xvii: 27. Hefele, iv: 220.</w:t>
      </w:r>
    </w:p>
  </w:footnote>
  <w:footnote w:id="400">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401">
    <w:p w14:paraId="0D68CD64" w14:textId="77777777" w:rsidR="00210409" w:rsidRDefault="00210409">
      <w:pPr>
        <w:pStyle w:val="FootnoteText"/>
      </w:pPr>
      <w:r>
        <w:rPr>
          <w:rStyle w:val="FootnoteReference"/>
        </w:rPr>
        <w:footnoteRef/>
      </w:r>
      <w:r>
        <w:t xml:space="preserve"> Vol. I, pg. 282. Ideler’s edition.</w:t>
      </w:r>
    </w:p>
  </w:footnote>
  <w:footnote w:id="402">
    <w:p w14:paraId="0D68CD65" w14:textId="77777777" w:rsidR="00210409" w:rsidRDefault="00210409">
      <w:pPr>
        <w:pStyle w:val="FootnoteText"/>
      </w:pPr>
      <w:r>
        <w:rPr>
          <w:rStyle w:val="FootnoteReference"/>
        </w:rPr>
        <w:footnoteRef/>
      </w:r>
      <w:r>
        <w:t xml:space="preserve"> See pg. 284 in original.</w:t>
      </w:r>
    </w:p>
  </w:footnote>
  <w:footnote w:id="403">
    <w:p w14:paraId="0D68CD66" w14:textId="77777777" w:rsidR="00210409" w:rsidRDefault="00210409">
      <w:pPr>
        <w:pStyle w:val="FootnoteText"/>
      </w:pPr>
      <w:r>
        <w:rPr>
          <w:rStyle w:val="FootnoteReference"/>
        </w:rPr>
        <w:footnoteRef/>
      </w:r>
      <w:r>
        <w:t xml:space="preserve"> Landon, pp. 177-8.</w:t>
      </w:r>
    </w:p>
  </w:footnote>
  <w:footnote w:id="404">
    <w:p w14:paraId="0D68CD67" w14:textId="77777777" w:rsidR="00210409" w:rsidRDefault="00210409">
      <w:pPr>
        <w:pStyle w:val="FootnoteText"/>
      </w:pPr>
      <w:r>
        <w:rPr>
          <w:rStyle w:val="FootnoteReference"/>
        </w:rPr>
        <w:footnoteRef/>
      </w:r>
      <w:r>
        <w:t xml:space="preserve"> Landon, Manual of Councils, London, 1846, pg. 174.</w:t>
      </w:r>
    </w:p>
  </w:footnote>
  <w:footnote w:id="405">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6">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7">
    <w:p w14:paraId="0D68CD6A" w14:textId="77777777" w:rsidR="00210409" w:rsidRDefault="00210409">
      <w:pPr>
        <w:pStyle w:val="FootnoteText"/>
      </w:pPr>
      <w:r>
        <w:rPr>
          <w:rStyle w:val="FootnoteReference"/>
        </w:rPr>
        <w:footnoteRef/>
      </w:r>
      <w:r>
        <w:t xml:space="preserve"> See pg. 288 in original.</w:t>
      </w:r>
    </w:p>
  </w:footnote>
  <w:footnote w:id="408">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9">
    <w:p w14:paraId="0D68CD6C" w14:textId="77777777" w:rsidR="00210409" w:rsidRDefault="00210409">
      <w:pPr>
        <w:pStyle w:val="FootnoteText"/>
      </w:pPr>
      <w:r>
        <w:rPr>
          <w:rStyle w:val="FootnoteReference"/>
        </w:rPr>
        <w:footnoteRef/>
      </w:r>
      <w:r>
        <w:t xml:space="preserve"> Latin Christ. I, pg. 227.</w:t>
      </w:r>
    </w:p>
  </w:footnote>
  <w:footnote w:id="410">
    <w:p w14:paraId="0D68CD6D" w14:textId="77777777" w:rsidR="00210409" w:rsidRDefault="00210409">
      <w:pPr>
        <w:pStyle w:val="FootnoteText"/>
      </w:pPr>
      <w:r>
        <w:rPr>
          <w:rStyle w:val="FootnoteReference"/>
        </w:rPr>
        <w:footnoteRef/>
      </w:r>
      <w:r>
        <w:t xml:space="preserve"> Outlines Hist. Dog., pp. 204, 208, 320, 323.</w:t>
      </w:r>
    </w:p>
  </w:footnote>
  <w:footnote w:id="411">
    <w:p w14:paraId="0D68CD6E" w14:textId="77777777" w:rsidR="00210409" w:rsidRDefault="00210409">
      <w:pPr>
        <w:pStyle w:val="FootnoteText"/>
      </w:pPr>
      <w:r>
        <w:rPr>
          <w:rStyle w:val="FootnoteReference"/>
        </w:rPr>
        <w:footnoteRef/>
      </w:r>
      <w:r>
        <w:t xml:space="preserve"> Sozomen, Eccl. Hist.; Gibbon, Decline and Fall.</w:t>
      </w:r>
    </w:p>
  </w:footnote>
  <w:footnote w:id="412">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3">
    <w:p w14:paraId="0D68CD70" w14:textId="77777777" w:rsidR="00210409" w:rsidRDefault="00210409">
      <w:pPr>
        <w:pStyle w:val="FootnoteText"/>
      </w:pPr>
      <w:r>
        <w:rPr>
          <w:rStyle w:val="FootnoteReference"/>
        </w:rPr>
        <w:footnoteRef/>
      </w:r>
      <w:r>
        <w:t xml:space="preserve"> Alexandria and her Schools.</w:t>
      </w:r>
    </w:p>
  </w:footnote>
  <w:footnote w:id="414">
    <w:p w14:paraId="0D68CD71" w14:textId="77777777" w:rsidR="00210409" w:rsidRDefault="00210409">
      <w:pPr>
        <w:pStyle w:val="FootnoteText"/>
      </w:pPr>
      <w:r>
        <w:rPr>
          <w:rStyle w:val="FootnoteReference"/>
        </w:rPr>
        <w:footnoteRef/>
      </w:r>
      <w:r>
        <w:t xml:space="preserve"> Rev. S. S. Hebberd.</w:t>
      </w:r>
    </w:p>
  </w:footnote>
  <w:footnote w:id="415">
    <w:p w14:paraId="0D68CD72" w14:textId="77777777" w:rsidR="00210409" w:rsidRDefault="00210409">
      <w:pPr>
        <w:pStyle w:val="FootnoteText"/>
      </w:pPr>
      <w:r>
        <w:rPr>
          <w:rStyle w:val="FootnoteReference"/>
        </w:rPr>
        <w:footnoteRef/>
      </w:r>
      <w:r>
        <w:t xml:space="preserve"> Rev. S. Crane, D.D., in The Universalist.</w:t>
      </w:r>
    </w:p>
  </w:footnote>
  <w:footnote w:id="416">
    <w:p w14:paraId="0D68CD73" w14:textId="77777777" w:rsidR="00210409" w:rsidRDefault="00210409">
      <w:pPr>
        <w:pStyle w:val="FootnoteText"/>
      </w:pPr>
      <w:r>
        <w:rPr>
          <w:rStyle w:val="FootnoteReference"/>
        </w:rPr>
        <w:footnoteRef/>
      </w:r>
      <w:r>
        <w:t xml:space="preserve"> Grimm’s Michael Angelo.</w:t>
      </w:r>
    </w:p>
  </w:footnote>
  <w:footnote w:id="417">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8">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19">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65C8"/>
    <w:rsid w:val="007F461A"/>
    <w:rsid w:val="00807897"/>
    <w:rsid w:val="008262B2"/>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A68C7"/>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187</Pages>
  <Words>71368</Words>
  <Characters>406801</Characters>
  <Application>Microsoft Office Word</Application>
  <DocSecurity>0</DocSecurity>
  <Lines>3390</Lines>
  <Paragraphs>954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33</cp:revision>
  <cp:lastPrinted>2022-11-05T15:35:00Z</cp:lastPrinted>
  <dcterms:created xsi:type="dcterms:W3CDTF">2021-12-30T21:50:00Z</dcterms:created>
  <dcterms:modified xsi:type="dcterms:W3CDTF">2022-11-05T17:53:00Z</dcterms:modified>
</cp:coreProperties>
</file>