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Edited and Expanded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θε</w:t>
      </w:r>
      <w:r w:rsidRPr="003A0864">
        <w:rPr>
          <w:rFonts w:ascii="Times New Roman" w:hAnsi="Times New Roman" w:cs="Times New Roman"/>
        </w:rPr>
        <w:t>ὸ</w:t>
      </w:r>
      <w:r w:rsidRPr="003A0864">
        <w:rPr>
          <w:rFonts w:ascii="Cambria" w:hAnsi="Cambria" w:cs="Cambria"/>
        </w:rPr>
        <w:t>ϛ</w:t>
      </w:r>
      <w:r w:rsidRPr="003A0864">
        <w:rPr>
          <w:rFonts w:ascii="Bookman Old Style" w:hAnsi="Bookman Old Style"/>
        </w:rPr>
        <w:t xml:space="preserve"> πάντα </w:t>
      </w:r>
      <w:r w:rsidRPr="003A0864">
        <w:rPr>
          <w:rFonts w:ascii="Times New Roman" w:hAnsi="Times New Roman" w:cs="Times New Roman"/>
        </w:rPr>
        <w:t>ἐ</w:t>
      </w:r>
      <w:r w:rsidRPr="003A0864">
        <w:rPr>
          <w:rFonts w:ascii="Bookman Old Style" w:hAnsi="Bookman Old Style"/>
        </w:rPr>
        <w:t>ν π</w:t>
      </w:r>
      <w:r w:rsidRPr="003A0864">
        <w:rPr>
          <w:rFonts w:ascii="Times New Roman" w:hAnsi="Times New Roman" w:cs="Times New Roman"/>
        </w:rPr>
        <w:t>ᾱ</w:t>
      </w:r>
      <w:r w:rsidRPr="003A0864">
        <w:rPr>
          <w:rFonts w:ascii="Bookman Old Style" w:hAnsi="Bookman Old Style"/>
        </w:rPr>
        <w:t>σιν</w:t>
      </w:r>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To the Revs. Don Lyons and Bob Sheldon and to all those who led and loved me at First Baptist Church of Westerlo. They may not agree with this universalistic stance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I believe there is value in this approach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Note: You can see the end of this volume for details on what has changed from the original version and various details of my methodology for choosing what to change and how. I have been obsessive in my attempt to respect the text while improving it’s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w:t>
      </w:r>
      <w:r w:rsidR="007E057D" w:rsidRPr="007E057D">
        <w:rPr>
          <w:rFonts w:ascii="Bookman Old Style" w:hAnsi="Bookman Old Style"/>
        </w:rPr>
        <w:t>é</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April,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With the ex</w:t>
      </w:r>
      <w:r w:rsidR="00091D96" w:rsidRPr="002F5DC5">
        <w:rPr>
          <w:rFonts w:ascii="Bookman Old Style" w:hAnsi="Bookman Old Style"/>
        </w:rPr>
        <w:t>ception of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r w:rsidR="00091D96" w:rsidRPr="00D20E66">
        <w:rPr>
          <w:rFonts w:ascii="Bookman Old Style" w:hAnsi="Bookman Old Style"/>
        </w:rPr>
        <w:t>Augustine</w:t>
      </w:r>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Thomas Allin</w:t>
      </w:r>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Allin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r w:rsidR="00091D96" w:rsidRPr="002F5DC5">
        <w:rPr>
          <w:rFonts w:ascii="Bookman Old Style" w:hAnsi="Bookman Old Style"/>
        </w:rPr>
        <w:t xml:space="preserve">Allin's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w:t>
      </w:r>
      <w:r w:rsidR="00657085" w:rsidRPr="002F5DC5">
        <w:rPr>
          <w:rFonts w:ascii="Bookman Old Style" w:hAnsi="Bookman Old Style"/>
        </w:rPr>
        <w:lastRenderedPageBreak/>
        <w:t xml:space="preserve">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752C1B">
        <w:rPr>
          <w:rFonts w:ascii="Bookman Old Style" w:hAnsi="Bookman Old Style"/>
        </w:rPr>
        <w:t>Philotheos Bryenn</w:t>
      </w:r>
      <w:r w:rsidR="00657085" w:rsidRPr="00752C1B">
        <w:rPr>
          <w:rFonts w:ascii="Bookman Old Style" w:hAnsi="Bookman Old Style"/>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r w:rsidR="00BA51ED" w:rsidRPr="002F5DC5">
        <w:rPr>
          <w:rFonts w:ascii="Bookman Old Style" w:hAnsi="Bookman Old Style"/>
          <w:i/>
        </w:rPr>
        <w:t>aeonian</w:t>
      </w:r>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is first found in Rufinu</w:t>
      </w:r>
      <w:r w:rsidR="00BA51ED" w:rsidRPr="002F5DC5">
        <w:rPr>
          <w:rFonts w:ascii="Bookman Old Style" w:hAnsi="Bookman Old Style"/>
        </w:rPr>
        <w:t xml:space="preserve">s,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r w:rsidR="005F1C9D" w:rsidRPr="0035026F">
        <w:rPr>
          <w:rFonts w:ascii="Bookman Old Style" w:hAnsi="Bookman Old Style"/>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r w:rsidRPr="002F5DC5">
        <w:rPr>
          <w:rFonts w:ascii="Bookman Old Style" w:hAnsi="Bookman Old Style"/>
          <w:i/>
        </w:rPr>
        <w:t>aionian</w:t>
      </w:r>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AD</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The Niceo-Constantinopolitan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Gregories,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r w:rsidRPr="002F5DC5">
        <w:rPr>
          <w:rFonts w:ascii="Bookman Old Style" w:hAnsi="Bookman Old Style"/>
          <w:i/>
        </w:rPr>
        <w:t>homoiousion</w:t>
      </w:r>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r the Concilium Chalcedonenese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Rejoice in the Lord always; again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r w:rsidR="00091D96" w:rsidRPr="004A41F5">
        <w:rPr>
          <w:rFonts w:ascii="Bookman Old Style" w:hAnsi="Bookman Old Style"/>
        </w:rPr>
        <w:t>Haweis</w:t>
      </w:r>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e Pressens</w:t>
      </w:r>
      <w:r w:rsidRPr="004A41F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language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Against Celsus</w:t>
      </w:r>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r w:rsidRPr="00BC3FAA">
        <w:rPr>
          <w:rFonts w:ascii="Bookman Old Style" w:hAnsi="Bookman Old Style"/>
        </w:rPr>
        <w:t>Arnobius</w:t>
      </w:r>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BC3FAA">
        <w:rPr>
          <w:rFonts w:ascii="Bookman Old Style" w:hAnsi="Bookman Old Style"/>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BC3FAA">
        <w:rPr>
          <w:rFonts w:ascii="Bookman Old Style" w:hAnsi="Bookman Old Style"/>
        </w:rPr>
        <w:t>Milman</w:t>
      </w:r>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r w:rsidR="00091D96" w:rsidRPr="00BC3FAA">
        <w:rPr>
          <w:rFonts w:ascii="Bookman Old Style" w:hAnsi="Bookman Old Style"/>
        </w:rPr>
        <w:t>Minucius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BC3FAA">
        <w:rPr>
          <w:rFonts w:ascii="Bookman Old Style" w:hAnsi="Bookman Old Style"/>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Thus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e applause even of gently-nur</w:t>
      </w:r>
      <w:r w:rsidR="00091D96" w:rsidRPr="002F5DC5">
        <w:rPr>
          <w:rFonts w:ascii="Bookman Old Style" w:hAnsi="Bookman Old Style"/>
        </w:rPr>
        <w:t>tured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If,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horror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00091D96" w:rsidRPr="002F5DC5">
        <w:rPr>
          <w:rFonts w:ascii="Bookman Old Style" w:hAnsi="Bookman Old Style"/>
          <w:i/>
        </w:rPr>
        <w:t>ternam</w:t>
      </w:r>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the majority of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w:t>
      </w:r>
      <w:r w:rsidRPr="002F5DC5">
        <w:rPr>
          <w:rFonts w:ascii="Bookman Old Style" w:hAnsi="Bookman Old Style"/>
        </w:rPr>
        <w:lastRenderedPageBreak/>
        <w:t xml:space="preserve">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Plumptre</w:t>
      </w:r>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FE4790">
        <w:rPr>
          <w:rFonts w:ascii="Bookman Old Style" w:hAnsi="Bookman Old Style"/>
        </w:rPr>
        <w:t>Co</w:t>
      </w:r>
      <w:r w:rsidR="00DC0350" w:rsidRPr="00FE4790">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FE4790">
        <w:rPr>
          <w:rFonts w:ascii="Bookman Old Style" w:hAnsi="Bookman Old Style"/>
        </w:rPr>
        <w:t>Milman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r w:rsidRPr="00FE4790">
        <w:rPr>
          <w:rFonts w:ascii="Bookman Old Style" w:hAnsi="Bookman Old Style"/>
        </w:rPr>
        <w:t>Hagenbach</w:t>
      </w:r>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FE4790">
        <w:rPr>
          <w:rFonts w:ascii="Bookman Old Style" w:hAnsi="Bookman Old Style"/>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BF4849">
        <w:rPr>
          <w:rFonts w:ascii="Bookman Old Style" w:hAnsi="Bookman Old Style"/>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r w:rsidRPr="00BF4849">
        <w:rPr>
          <w:rFonts w:ascii="Bookman Old Style" w:hAnsi="Bookman Old Style"/>
        </w:rPr>
        <w:t>Giesele</w:t>
      </w:r>
      <w:r w:rsidR="00526CC2" w:rsidRPr="00BF4849">
        <w:rPr>
          <w:rFonts w:ascii="Bookman Old Style" w:hAnsi="Bookman Old Style"/>
        </w:rPr>
        <w:t xml:space="preserve">r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and </w:t>
      </w:r>
      <w:r w:rsidR="00091D96" w:rsidRPr="0084195D">
        <w:rPr>
          <w:rFonts w:ascii="Bookman Old Style" w:hAnsi="Bookman Old Style"/>
        </w:rPr>
        <w:t>also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Synes</w:t>
      </w:r>
      <w:r w:rsidRPr="00D94373">
        <w:rPr>
          <w:rFonts w:ascii="Bookman Old Style" w:hAnsi="Bookman Old Style"/>
        </w:rPr>
        <w:t>ius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3A369B">
        <w:rPr>
          <w:rFonts w:ascii="Bookman Old Style" w:hAnsi="Bookman Old Style"/>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3A369B">
        <w:rPr>
          <w:rFonts w:ascii="Bookman Old Style" w:hAnsi="Bookman Old Style"/>
        </w:rPr>
        <w:t xml:space="preserve">Dietelmaier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3A369B">
        <w:rPr>
          <w:rFonts w:ascii="Bookman Old Style" w:hAnsi="Bookman Old Style"/>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3A369B">
        <w:rPr>
          <w:rFonts w:ascii="Bookman Old Style" w:hAnsi="Bookman Old Style"/>
        </w:rPr>
        <w:t>Uhlhorn</w:t>
      </w:r>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3A369B">
        <w:rPr>
          <w:rFonts w:ascii="Bookman Old Style" w:hAnsi="Bookman Old Style"/>
        </w:rPr>
        <w:t xml:space="preserve">Hagenbach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3A369B">
        <w:rPr>
          <w:rFonts w:ascii="Bookman Old Style" w:hAnsi="Bookman Old Style"/>
        </w:rPr>
        <w:t>Plumptre</w:t>
      </w:r>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3A369B">
        <w:rPr>
          <w:rFonts w:ascii="Bookman Old Style" w:hAnsi="Bookman Old Style"/>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3A369B">
        <w:rPr>
          <w:rFonts w:ascii="Bookman Old Style" w:hAnsi="Bookman Old Style"/>
        </w:rPr>
        <w:t xml:space="preserve">Uhlhorn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r w:rsidR="007E057D" w:rsidRPr="00595517">
        <w:rPr>
          <w:rFonts w:ascii="Bookman Old Style" w:hAnsi="Bookman Old Style"/>
        </w:rPr>
        <w:t>Chambré</w:t>
      </w:r>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r w:rsidRPr="00595517">
        <w:rPr>
          <w:rFonts w:ascii="Bookman Old Style" w:hAnsi="Bookman Old Style"/>
        </w:rPr>
        <w:t>Ru</w:t>
      </w:r>
      <w:r w:rsidR="00D90996" w:rsidRPr="00595517">
        <w:rPr>
          <w:rFonts w:ascii="Bookman Old Style" w:hAnsi="Bookman Old Style"/>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7E057D" w:rsidRPr="00595517">
        <w:rPr>
          <w:rFonts w:ascii="Bookman Old Style" w:hAnsi="Bookman Old Style"/>
        </w:rPr>
        <w:t>Chambré</w:t>
      </w:r>
      <w:r w:rsidR="00D90996" w:rsidRPr="00595517">
        <w:rPr>
          <w:rFonts w:ascii="Bookman Old Style" w:hAnsi="Bookman Old Style"/>
        </w:rPr>
        <w:t xml:space="preserve"> and </w:t>
      </w:r>
      <w:r w:rsidRPr="00595517">
        <w:rPr>
          <w:rFonts w:ascii="Bookman Old Style" w:hAnsi="Bookman Old Style"/>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r w:rsidR="007B2444" w:rsidRPr="002F5DC5">
        <w:rPr>
          <w:rFonts w:ascii="Bookman Old Style" w:hAnsi="Bookman Old Style"/>
          <w:i/>
        </w:rPr>
        <w:t>aionion</w:t>
      </w:r>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of Hermas.</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Eusebius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Rothe,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The Epistle to Diognetus.</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F82BFD">
        <w:rPr>
          <w:rFonts w:ascii="Bookman Old Style" w:hAnsi="Bookman Old Style"/>
        </w:rPr>
        <w:t>Marcion</w:t>
      </w:r>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as Diognetus's</w:t>
      </w:r>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0A3846">
        <w:rPr>
          <w:rFonts w:ascii="Bookman Old Style" w:hAnsi="Bookman Old Style"/>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0A3846">
        <w:rPr>
          <w:rFonts w:ascii="Bookman Old Style" w:hAnsi="Bookman Old Style"/>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r w:rsidR="0040099B" w:rsidRPr="002F5DC5">
        <w:rPr>
          <w:rFonts w:ascii="Bookman Old Style" w:hAnsi="Bookman Old Style"/>
        </w:rPr>
        <w:t>Basilidians</w:t>
      </w:r>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Basilidians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of 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that 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r w:rsidRPr="00B44D23">
        <w:rPr>
          <w:rFonts w:ascii="Bookman Old Style" w:hAnsi="Bookman Old Style"/>
        </w:rPr>
        <w:t xml:space="preserve">Harnack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586B23">
        <w:rPr>
          <w:rFonts w:ascii="Bookman Old Style" w:hAnsi="Bookman Old Style"/>
          <w:b/>
          <w:bCs/>
        </w:rPr>
        <w:t>Musardus</w:t>
      </w:r>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586B23">
        <w:rPr>
          <w:rFonts w:ascii="Bookman Old Style" w:hAnsi="Bookman Old Style"/>
          <w:b/>
          <w:bCs/>
        </w:rPr>
        <w:t>Opsopoeus</w:t>
      </w:r>
      <w:r w:rsidRPr="002F5DC5">
        <w:rPr>
          <w:rFonts w:ascii="Bookman Old Style" w:hAnsi="Bookman Old Style"/>
        </w:rPr>
        <w:t xml:space="preserve"> 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353C2B">
        <w:rPr>
          <w:rFonts w:ascii="Bookman Old Style" w:hAnsi="Bookman Old Style"/>
          <w:b/>
          <w:bCs/>
        </w:rPr>
        <w:t>Lactantius</w:t>
      </w:r>
      <w:r w:rsidRPr="002F5DC5">
        <w:rPr>
          <w:rFonts w:ascii="Bookman Old Style" w:hAnsi="Bookman Old Style"/>
        </w:rPr>
        <w:t xml:space="preserve"> 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540350"/>
      <w:r w:rsidRPr="002F5DC5">
        <w:rPr>
          <w:rFonts w:ascii="Bookman Old Style" w:hAnsi="Bookman Old Style"/>
        </w:rPr>
        <w:t>Pantaenus.</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353C2B">
        <w:rPr>
          <w:rFonts w:ascii="Bookman Old Style" w:hAnsi="Bookman Old Style"/>
          <w:b/>
          <w:bCs/>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r w:rsidRPr="00353C2B">
        <w:rPr>
          <w:rFonts w:ascii="Bookman Old Style" w:hAnsi="Bookman Old Style"/>
          <w:b/>
          <w:bCs/>
        </w:rPr>
        <w:t>Pantaenus</w:t>
      </w:r>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353C2B">
        <w:rPr>
          <w:rFonts w:ascii="Bookman Old Style" w:hAnsi="Bookman Old Style"/>
          <w:b/>
          <w:bCs/>
        </w:rPr>
        <w:t>Pantaenus</w:t>
      </w:r>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r w:rsidR="00DB5010" w:rsidRPr="00353C2B">
        <w:rPr>
          <w:rFonts w:ascii="Bookman Old Style" w:hAnsi="Bookman Old Style"/>
          <w:b/>
          <w:bCs/>
        </w:rPr>
        <w:t>Pantae</w:t>
      </w:r>
      <w:r w:rsidR="00091D96" w:rsidRPr="00353C2B">
        <w:rPr>
          <w:rFonts w:ascii="Bookman Old Style" w:hAnsi="Bookman Old Style"/>
          <w:b/>
          <w:bCs/>
        </w:rPr>
        <w:t>nus</w:t>
      </w:r>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353C2B">
        <w:rPr>
          <w:rFonts w:ascii="Bookman Old Style" w:hAnsi="Bookman Old Style"/>
          <w:b/>
          <w:bCs/>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540351"/>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D670AA">
        <w:rPr>
          <w:rFonts w:ascii="Bookman Old Style" w:hAnsi="Bookman Old Style"/>
          <w:b/>
          <w:bCs/>
        </w:rPr>
        <w:t>Abulpharag</w:t>
      </w:r>
      <w:r w:rsidRPr="00D670AA">
        <w:rPr>
          <w:rFonts w:ascii="Bookman Old Style" w:hAnsi="Bookman Old Style"/>
          <w:b/>
          <w:bCs/>
        </w:rPr>
        <w:t>ius</w:t>
      </w:r>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Clemens Alexandrin</w:t>
      </w:r>
      <w:r w:rsidRPr="00272297">
        <w:rPr>
          <w:rFonts w:ascii="Bookman Old Style" w:hAnsi="Bookman Old Style"/>
          <w:b/>
          <w:bCs/>
        </w:rPr>
        <w:t>us</w:t>
      </w:r>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272297">
        <w:rPr>
          <w:rFonts w:ascii="Bookman Old Style" w:hAnsi="Bookman Old Style"/>
          <w:b/>
          <w:bCs/>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272297">
        <w:rPr>
          <w:rFonts w:ascii="Bookman Old Style" w:hAnsi="Bookman Old Style"/>
          <w:b/>
          <w:bCs/>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272297">
        <w:rPr>
          <w:rFonts w:ascii="Bookman Old Style" w:hAnsi="Bookman Old Style"/>
          <w:b/>
          <w:bCs/>
        </w:rPr>
        <w:t>Pantaenus</w:t>
      </w:r>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C12855">
        <w:rPr>
          <w:rFonts w:ascii="Bookman Old Style" w:hAnsi="Bookman Old Style"/>
          <w:b/>
          <w:bCs/>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r w:rsidRPr="00F816BA">
        <w:rPr>
          <w:rFonts w:ascii="Bookman Old Style" w:hAnsi="Bookman Old Style"/>
          <w:b/>
          <w:bCs/>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F816BA">
        <w:rPr>
          <w:rFonts w:ascii="Bookman Old Style" w:hAnsi="Bookman Old Style"/>
          <w:b/>
          <w:bCs/>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r w:rsidR="00D71C14" w:rsidRPr="00F816BA">
        <w:rPr>
          <w:rFonts w:ascii="Bookman Old Style" w:hAnsi="Bookman Old Style"/>
          <w:b/>
          <w:bCs/>
        </w:rPr>
        <w:t>Pantaenus</w:t>
      </w:r>
      <w:r w:rsidR="00D71C14" w:rsidRPr="002F5DC5">
        <w:rPr>
          <w:rFonts w:ascii="Bookman Old Style" w:hAnsi="Bookman Old Style"/>
        </w:rPr>
        <w:t xml:space="preserve">, and, as seems apparent, </w:t>
      </w:r>
      <w:r w:rsidRPr="002F5DC5">
        <w:rPr>
          <w:rFonts w:ascii="Bookman Old Style" w:hAnsi="Bookman Old Style"/>
        </w:rPr>
        <w:t xml:space="preserve">by </w:t>
      </w:r>
      <w:r w:rsidRPr="00F816BA">
        <w:rPr>
          <w:rFonts w:ascii="Bookman Old Style" w:hAnsi="Bookman Old Style"/>
          <w:b/>
          <w:bCs/>
        </w:rPr>
        <w:t>Anathegoras</w:t>
      </w:r>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Origen Adama</w:t>
      </w:r>
      <w:r w:rsidR="00D71C14" w:rsidRPr="00524495">
        <w:rPr>
          <w:rFonts w:ascii="Bookman Old Style" w:hAnsi="Bookman Old Style"/>
          <w:b/>
          <w:bCs/>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AD</w:t>
      </w:r>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AD</w:t>
      </w:r>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r w:rsidR="00986F4A" w:rsidRPr="00C03035">
        <w:rPr>
          <w:rFonts w:ascii="Bookman Old Style" w:hAnsi="Bookman Old Style"/>
          <w:b/>
          <w:bCs/>
        </w:rPr>
        <w:t>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C03035">
        <w:rPr>
          <w:rFonts w:ascii="Bookman Old Style" w:hAnsi="Bookman Old Style"/>
          <w:b/>
          <w:bCs/>
        </w:rPr>
        <w:t>Ad</w:t>
      </w:r>
      <w:r w:rsidR="00986F4A" w:rsidRPr="00C03035">
        <w:rPr>
          <w:rFonts w:ascii="Bookman Old Style" w:hAnsi="Bookman Old Style"/>
          <w:b/>
          <w:bCs/>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De P</w:t>
      </w:r>
      <w:r w:rsidR="00986F4A" w:rsidRPr="00C03035">
        <w:rPr>
          <w:rFonts w:ascii="Bookman Old Style" w:hAnsi="Bookman Old Style"/>
          <w:b/>
          <w:bCs/>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C03035">
        <w:rPr>
          <w:rFonts w:ascii="Bookman Old Style" w:hAnsi="Bookman Old Style"/>
          <w:b/>
          <w:bCs/>
        </w:rPr>
        <w:t>Gieseler</w:t>
      </w:r>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r w:rsidR="00986F4A" w:rsidRPr="00C03035">
        <w:rPr>
          <w:rFonts w:ascii="Bookman Old Style" w:hAnsi="Bookman Old Style"/>
          <w:b/>
          <w:bCs/>
        </w:rPr>
        <w:t>Heraclas</w:t>
      </w:r>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r w:rsidR="00986F4A" w:rsidRPr="00C03035">
        <w:rPr>
          <w:rFonts w:ascii="Bookman Old Style" w:hAnsi="Bookman Old Style"/>
          <w:b/>
          <w:bCs/>
        </w:rPr>
        <w:t>Pantae</w:t>
      </w:r>
      <w:r w:rsidRPr="00C03035">
        <w:rPr>
          <w:rFonts w:ascii="Bookman Old Style" w:hAnsi="Bookman Old Style"/>
          <w:b/>
          <w:bCs/>
        </w:rPr>
        <w:t>nus</w:t>
      </w:r>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r w:rsidR="00986F4A" w:rsidRPr="00C03035">
        <w:rPr>
          <w:rFonts w:ascii="Bookman Old Style" w:hAnsi="Bookman Old Style"/>
          <w:b/>
          <w:bCs/>
        </w:rPr>
        <w:t>Heraclas</w:t>
      </w:r>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6C416E">
        <w:rPr>
          <w:rFonts w:ascii="Bookman Old Style" w:hAnsi="Bookman Old Style"/>
          <w:b/>
          <w:bCs/>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De Principiis</w:t>
      </w:r>
      <w:r w:rsidRPr="002F5DC5">
        <w:rPr>
          <w:rFonts w:ascii="Bookman Old Style" w:hAnsi="Bookman Old Style"/>
        </w:rPr>
        <w:t>,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r w:rsidR="00CE2A68" w:rsidRPr="006C416E">
        <w:rPr>
          <w:rFonts w:ascii="Bookman Old Style" w:hAnsi="Bookman Old Style"/>
          <w:b/>
          <w:bCs/>
        </w:rPr>
        <w:t>Rufinus</w:t>
      </w:r>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6C416E">
        <w:rPr>
          <w:rFonts w:ascii="Bookman Old Style" w:hAnsi="Bookman Old Style"/>
          <w:b/>
          <w:bCs/>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6C416E">
        <w:rPr>
          <w:rFonts w:ascii="Bookman Old Style" w:hAnsi="Bookman Old Style"/>
          <w:b/>
          <w:bCs/>
        </w:rPr>
        <w:t>Rufinu</w:t>
      </w:r>
      <w:r w:rsidRPr="006C416E">
        <w:rPr>
          <w:rFonts w:ascii="Bookman Old Style" w:hAnsi="Bookman Old Style"/>
          <w:b/>
          <w:bCs/>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r w:rsidR="00CE2A68" w:rsidRPr="006C416E">
        <w:rPr>
          <w:rFonts w:ascii="Bookman Old Style" w:hAnsi="Bookman Old Style"/>
          <w:b/>
          <w:bCs/>
        </w:rPr>
        <w:t>Rufinus</w:t>
      </w:r>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AD</w:t>
      </w:r>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E303EF">
        <w:rPr>
          <w:rFonts w:ascii="Bookman Old Style" w:hAnsi="Bookman Old Style"/>
          <w:b/>
          <w:bCs/>
        </w:rPr>
        <w:t>Huet</w:t>
      </w:r>
      <w:r w:rsidR="00091D96" w:rsidRPr="002F5DC5">
        <w:rPr>
          <w:rFonts w:ascii="Bookman Old Style" w:hAnsi="Bookman Old Style"/>
        </w:rPr>
        <w:t xml:space="preserve"> quotes </w:t>
      </w:r>
      <w:r w:rsidR="00091D96" w:rsidRPr="00E303EF">
        <w:rPr>
          <w:rFonts w:ascii="Bookman Old Style" w:hAnsi="Bookman Old Style"/>
          <w:b/>
          <w:bCs/>
        </w:rPr>
        <w:t>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E303EF">
        <w:rPr>
          <w:rFonts w:ascii="Bookman Old Style" w:hAnsi="Bookman Old Style"/>
          <w:b/>
          <w:bCs/>
        </w:rPr>
        <w:t>Pamphilus</w:t>
      </w:r>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(greek</w:t>
      </w:r>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(greek),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r w:rsidR="00091D96" w:rsidRPr="004A724F">
        <w:rPr>
          <w:rFonts w:ascii="Bookman Old Style" w:hAnsi="Bookman Old Style"/>
          <w:b/>
          <w:bCs/>
        </w:rPr>
        <w:t>Hagenbach</w:t>
      </w:r>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r w:rsidRPr="004A724F">
        <w:rPr>
          <w:rFonts w:ascii="Bookman Old Style" w:hAnsi="Bookman Old Style"/>
          <w:b/>
          <w:bCs/>
        </w:rPr>
        <w:t>Hagenbach</w:t>
      </w:r>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r w:rsidR="00091D96" w:rsidRPr="004A724F">
        <w:rPr>
          <w:rFonts w:ascii="Bookman Old Style" w:hAnsi="Bookman Old Style"/>
          <w:b/>
          <w:bCs/>
        </w:rPr>
        <w:t>Hagenbac</w:t>
      </w:r>
      <w:r w:rsidRPr="004A724F">
        <w:rPr>
          <w:rFonts w:ascii="Bookman Old Style" w:hAnsi="Bookman Old Style"/>
          <w:b/>
          <w:bCs/>
        </w:rPr>
        <w:t>h</w:t>
      </w:r>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3C42D0">
        <w:rPr>
          <w:rFonts w:ascii="Bookman Old Style" w:hAnsi="Bookman Old Style"/>
          <w:b/>
          <w:bCs/>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3C42D0">
        <w:rPr>
          <w:rFonts w:ascii="Bookman Old Style" w:hAnsi="Bookman Old Style"/>
          <w:b/>
          <w:bCs/>
        </w:rPr>
        <w:t>Ha</w:t>
      </w:r>
      <w:r w:rsidRPr="003C42D0">
        <w:rPr>
          <w:rFonts w:ascii="Bookman Old Style" w:hAnsi="Bookman Old Style"/>
          <w:b/>
          <w:bCs/>
        </w:rPr>
        <w:t>genbach</w:t>
      </w:r>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r>
        <w:t>Firmilian.</w:t>
      </w:r>
      <w:bookmarkEnd w:id="62"/>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r>
        <w:t>Theognostus and Pierius.</w:t>
      </w:r>
      <w:bookmarkEnd w:id="64"/>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3C42D0">
        <w:rPr>
          <w:rFonts w:ascii="Bookman Old Style" w:hAnsi="Bookman Old Style"/>
          <w:b/>
          <w:bCs/>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r>
        <w:t>Pamphilus.</w:t>
      </w:r>
      <w:bookmarkEnd w:id="66"/>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r w:rsidR="00C04506" w:rsidRPr="004B1413">
        <w:rPr>
          <w:rFonts w:ascii="Bookman Old Style" w:hAnsi="Bookman Old Style"/>
          <w:b/>
          <w:bCs/>
        </w:rPr>
        <w:t>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16. Theodore of Mopsuestia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E37426">
        <w:rPr>
          <w:rFonts w:ascii="Bookman Old Style" w:hAnsi="Bookman Old Style"/>
          <w:b/>
          <w:bCs/>
        </w:rPr>
        <w:t>Swete</w:t>
      </w:r>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r w:rsidRPr="00332CF5">
        <w:rPr>
          <w:rFonts w:ascii="Bookman Old Style" w:hAnsi="Bookman Old Style"/>
          <w:b/>
          <w:bCs/>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"Macrina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Titus of Bostra.</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r w:rsidRPr="002F5DC5">
        <w:rPr>
          <w:rFonts w:ascii="Bookman Old Style" w:hAnsi="Bookman Old Style"/>
        </w:rPr>
        <w:t>Serapion.</w:t>
      </w:r>
      <w:bookmarkEnd w:id="8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r w:rsidRPr="002F5DC5">
        <w:rPr>
          <w:rFonts w:ascii="Bookman Old Style" w:hAnsi="Bookman Old Style"/>
        </w:rPr>
        <w:t>Macarius Magnes.</w:t>
      </w:r>
      <w:bookmarkEnd w:id="8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Hilary, Bishop of Poictiers.</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r w:rsidRPr="002F5DC5">
        <w:rPr>
          <w:rFonts w:ascii="Bookman Old Style" w:hAnsi="Bookman Old Style"/>
        </w:rPr>
        <w:lastRenderedPageBreak/>
        <w:t>Theodoret, the Blessed.</w:t>
      </w:r>
      <w:bookmarkEnd w:id="8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r w:rsidRPr="002F5DC5">
        <w:rPr>
          <w:rFonts w:ascii="Bookman Old Style" w:hAnsi="Bookman Old Style"/>
        </w:rPr>
        <w:t>Evagrius Ponticus.</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r w:rsidRPr="002F5DC5">
        <w:rPr>
          <w:rFonts w:ascii="Bookman Old Style" w:hAnsi="Bookman Old Style"/>
        </w:rPr>
        <w:t>Rufinus.</w:t>
      </w:r>
      <w:bookmarkEnd w:id="92"/>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r w:rsidRPr="002F5DC5">
        <w:rPr>
          <w:rFonts w:ascii="Bookman Old Style" w:hAnsi="Bookman Old Style"/>
        </w:rPr>
        <w:t>Diodore, Bishop of Tarsus.</w:t>
      </w:r>
      <w:bookmarkEnd w:id="94"/>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r w:rsidRPr="002F5DC5">
        <w:rPr>
          <w:rFonts w:ascii="Bookman Old Style" w:hAnsi="Bookman Old Style"/>
        </w:rPr>
        <w:lastRenderedPageBreak/>
        <w:t>Macarius.</w:t>
      </w:r>
      <w:bookmarkEnd w:id="96"/>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Peter Chrysologus.</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Bar-Sudaili.</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gainst the Priscillianists 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Milman: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r w:rsidR="007E057D">
        <w:rPr>
          <w:rFonts w:ascii="Bookman Old Style" w:hAnsi="Bookman Old Style"/>
        </w:rPr>
        <w:t>Chambré</w:t>
      </w:r>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its lost ground, and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r w:rsidRPr="00377200">
        <w:rPr>
          <w:rFonts w:ascii="Bookman Old Style" w:hAnsi="Bookman Old Style"/>
        </w:rPr>
        <w:t>A</w:t>
      </w:r>
      <w:bookmarkEnd w:id="109"/>
      <w:r w:rsidR="00844304">
        <w:rPr>
          <w:rFonts w:ascii="Bookman Old Style" w:hAnsi="Bookman Old Style"/>
        </w:rPr>
        <w:t>llin,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r w:rsidRPr="00377200">
        <w:rPr>
          <w:rFonts w:ascii="Bookman Old Style" w:hAnsi="Bookman Old Style"/>
        </w:rPr>
        <w:t>Bryennios, Philotheos</w:t>
      </w:r>
      <w:bookmarkEnd w:id="112"/>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r>
        <w:rPr>
          <w:rFonts w:ascii="Bookman Old Style" w:hAnsi="Bookman Old Style"/>
        </w:rPr>
        <w:t>Chambré</w:t>
      </w:r>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r w:rsidRPr="002F5DC5">
        <w:rPr>
          <w:rFonts w:ascii="Bookman Old Style" w:hAnsi="Bookman Old Style"/>
        </w:rPr>
        <w:t>Hagenbach,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r>
        <w:rPr>
          <w:rFonts w:ascii="Bookman Old Style" w:hAnsi="Bookman Old Style"/>
        </w:rPr>
        <w:t>Haweis</w:t>
      </w:r>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r>
        <w:rPr>
          <w:rFonts w:ascii="Bookman Old Style" w:hAnsi="Bookman Old Style"/>
        </w:rPr>
        <w:t>Milman,</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r>
        <w:rPr>
          <w:rFonts w:ascii="Bookman Old Style" w:hAnsi="Bookman Old Style"/>
        </w:rPr>
        <w:t>Pressens</w:t>
      </w:r>
      <w:r w:rsidRPr="004A41F5">
        <w:rPr>
          <w:rFonts w:ascii="Bookman Old Style" w:hAnsi="Bookman Old Style"/>
        </w:rPr>
        <w:t>é</w:t>
      </w:r>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r>
        <w:rPr>
          <w:rFonts w:ascii="Bookman Old Style" w:hAnsi="Bookman Old Style"/>
        </w:rPr>
        <w:t>Chambré</w:t>
      </w:r>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1BCD" w14:textId="77777777" w:rsidR="003D260F" w:rsidRDefault="003D260F" w:rsidP="00661298">
      <w:pPr>
        <w:spacing w:after="0" w:line="240" w:lineRule="auto"/>
      </w:pPr>
      <w:r>
        <w:separator/>
      </w:r>
    </w:p>
  </w:endnote>
  <w:endnote w:type="continuationSeparator" w:id="0">
    <w:p w14:paraId="3862A304" w14:textId="77777777" w:rsidR="003D260F" w:rsidRDefault="003D260F"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0444" w14:textId="77777777" w:rsidR="003D260F" w:rsidRDefault="003D260F" w:rsidP="00661298">
      <w:pPr>
        <w:spacing w:after="0" w:line="240" w:lineRule="auto"/>
      </w:pPr>
      <w:r>
        <w:separator/>
      </w:r>
    </w:p>
  </w:footnote>
  <w:footnote w:type="continuationSeparator" w:id="0">
    <w:p w14:paraId="348D3979" w14:textId="77777777" w:rsidR="003D260F" w:rsidRDefault="003D260F"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it’s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r w:rsidRPr="000628B5">
        <w:rPr>
          <w:i/>
        </w:rPr>
        <w:t>Text-book of Christian Doctrine</w:t>
      </w:r>
      <w:r w:rsidR="007E057D">
        <w:rPr>
          <w:i/>
        </w:rPr>
        <w:t>; Gieseler’s Text Book: Neander.</w:t>
      </w:r>
      <w:r>
        <w:t xml:space="preserve"> – th</w:t>
      </w:r>
      <w:r w:rsidR="007E057D">
        <w:t>e first</w:t>
      </w:r>
      <w:r>
        <w:t xml:space="preserve"> might be </w:t>
      </w:r>
      <w:r>
        <w:rPr>
          <w:i/>
        </w:rPr>
        <w:t>A Text-book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Aionion,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Constans Augustus (AD 323-350).</w:t>
      </w:r>
    </w:p>
  </w:footnote>
  <w:footnote w:id="38">
    <w:p w14:paraId="0D68CC10" w14:textId="20A0895B" w:rsidR="00210409" w:rsidRDefault="00210409">
      <w:pPr>
        <w:pStyle w:val="FootnoteText"/>
      </w:pPr>
      <w:r>
        <w:rPr>
          <w:rStyle w:val="FootnoteReference"/>
        </w:rPr>
        <w:footnoteRef/>
      </w:r>
      <w:r>
        <w:t xml:space="preserve"> JW: Hort’s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69">
    <w:p w14:paraId="0D68CC7E" w14:textId="77777777" w:rsidR="00210409" w:rsidRDefault="00210409">
      <w:pPr>
        <w:pStyle w:val="FootnoteText"/>
      </w:pPr>
      <w:r>
        <w:rPr>
          <w:rStyle w:val="FootnoteReference"/>
        </w:rPr>
        <w:footnoteRef/>
      </w:r>
      <w:r>
        <w:t xml:space="preserve"> Hipp.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77777777" w:rsidR="00210409" w:rsidRDefault="00210409">
      <w:pPr>
        <w:pStyle w:val="FootnoteText"/>
      </w:pPr>
      <w:r>
        <w:rPr>
          <w:rStyle w:val="FootnoteReference"/>
        </w:rPr>
        <w:footnoteRef/>
      </w:r>
      <w:r>
        <w:t xml:space="preserve"> See pg. 96 in original for Greek.</w:t>
      </w:r>
    </w:p>
  </w:footnote>
  <w:footnote w:id="186">
    <w:p w14:paraId="0D68CC8E" w14:textId="77777777" w:rsidR="00210409" w:rsidRDefault="00210409">
      <w:pPr>
        <w:pStyle w:val="FootnoteText"/>
      </w:pPr>
      <w:r>
        <w:rPr>
          <w:rStyle w:val="FootnoteReference"/>
        </w:rPr>
        <w:footnoteRef/>
      </w:r>
      <w:r>
        <w:t xml:space="preserve"> B. VIII, ii, verses 195-340 Ed. Opsopoei, Paris 1667.</w:t>
      </w:r>
    </w:p>
  </w:footnote>
  <w:footnote w:id="187">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88">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89">
    <w:p w14:paraId="0D68CC91" w14:textId="77777777" w:rsidR="00210409" w:rsidRDefault="00210409">
      <w:pPr>
        <w:pStyle w:val="FootnoteText"/>
      </w:pPr>
      <w:r>
        <w:rPr>
          <w:rStyle w:val="FootnoteReference"/>
        </w:rPr>
        <w:footnoteRef/>
      </w:r>
      <w:r>
        <w:t xml:space="preserve"> William J. Deane, Pseudepigrapha, pg. 329.</w:t>
      </w:r>
    </w:p>
  </w:footnote>
  <w:footnote w:id="190">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91">
    <w:p w14:paraId="0D68CC93" w14:textId="77777777" w:rsidR="00210409" w:rsidRDefault="00210409">
      <w:pPr>
        <w:pStyle w:val="FootnoteText"/>
      </w:pPr>
      <w:r>
        <w:rPr>
          <w:rStyle w:val="FootnoteReference"/>
        </w:rPr>
        <w:footnoteRef/>
      </w:r>
      <w:r>
        <w:t xml:space="preserve"> B. II, vv: 211-250-340).</w:t>
      </w:r>
    </w:p>
  </w:footnote>
  <w:footnote w:id="192">
    <w:p w14:paraId="0D68CC94" w14:textId="77777777" w:rsidR="00210409" w:rsidRDefault="00210409">
      <w:pPr>
        <w:pStyle w:val="FootnoteText"/>
      </w:pPr>
      <w:r>
        <w:rPr>
          <w:rStyle w:val="FootnoteReference"/>
        </w:rPr>
        <w:footnoteRef/>
      </w:r>
      <w:r>
        <w:t xml:space="preserve"> 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201">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2">
    <w:p w14:paraId="0D68CC9D" w14:textId="77777777" w:rsidR="00210409" w:rsidRDefault="00210409">
      <w:pPr>
        <w:pStyle w:val="FootnoteText"/>
      </w:pPr>
      <w:r>
        <w:rPr>
          <w:rStyle w:val="FootnoteReference"/>
        </w:rPr>
        <w:footnoteRef/>
      </w:r>
      <w:r>
        <w:t xml:space="preserve"> Strom. I; 7.</w:t>
      </w:r>
    </w:p>
  </w:footnote>
  <w:footnote w:id="203">
    <w:p w14:paraId="0D68CC9E" w14:textId="77777777" w:rsidR="00210409" w:rsidRDefault="00210409">
      <w:pPr>
        <w:pStyle w:val="FootnoteText"/>
      </w:pPr>
      <w:r>
        <w:rPr>
          <w:rStyle w:val="FootnoteReference"/>
        </w:rPr>
        <w:footnoteRef/>
      </w:r>
      <w:r>
        <w:t xml:space="preserve"> Hipp. and His Age, I.</w:t>
      </w:r>
    </w:p>
  </w:footnote>
  <w:footnote w:id="204">
    <w:p w14:paraId="0D68CC9F" w14:textId="77777777" w:rsidR="00210409" w:rsidRDefault="00210409">
      <w:pPr>
        <w:pStyle w:val="FootnoteText"/>
      </w:pPr>
      <w:r>
        <w:rPr>
          <w:rStyle w:val="FootnoteReference"/>
        </w:rPr>
        <w:footnoteRef/>
      </w:r>
      <w:r>
        <w:t xml:space="preserve"> Theosophy or Psychological Religion, Preface, p. xiv.</w:t>
      </w:r>
    </w:p>
  </w:footnote>
  <w:footnote w:id="205">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6">
    <w:p w14:paraId="0D68CCA1" w14:textId="77777777" w:rsidR="00210409" w:rsidRDefault="00210409">
      <w:pPr>
        <w:pStyle w:val="FootnoteText"/>
      </w:pPr>
      <w:r>
        <w:rPr>
          <w:rStyle w:val="FootnoteReference"/>
        </w:rPr>
        <w:footnoteRef/>
      </w:r>
      <w:r>
        <w:t xml:space="preserve"> Paed I, viii.</w:t>
      </w:r>
    </w:p>
  </w:footnote>
  <w:footnote w:id="207">
    <w:p w14:paraId="0D68CCA2" w14:textId="77777777" w:rsidR="00210409" w:rsidRDefault="00210409">
      <w:pPr>
        <w:pStyle w:val="FootnoteText"/>
      </w:pPr>
      <w:r>
        <w:rPr>
          <w:rStyle w:val="FootnoteReference"/>
        </w:rPr>
        <w:footnoteRef/>
      </w:r>
      <w:r>
        <w:t xml:space="preserve"> See pg. 117 for Greek. Strom. VII, vi.</w:t>
      </w:r>
    </w:p>
  </w:footnote>
  <w:footnote w:id="208">
    <w:p w14:paraId="62F54D28" w14:textId="77777777" w:rsidR="00F952BC" w:rsidRDefault="00F952BC" w:rsidP="00F952BC">
      <w:pPr>
        <w:pStyle w:val="FootnoteText"/>
      </w:pPr>
      <w:r>
        <w:rPr>
          <w:rStyle w:val="FootnoteReference"/>
        </w:rPr>
        <w:footnoteRef/>
      </w:r>
      <w:r>
        <w:t xml:space="preserve"> VI, vi; VII, xvi; VI, xiv; VII, ii.</w:t>
      </w:r>
    </w:p>
  </w:footnote>
  <w:footnote w:id="209">
    <w:p w14:paraId="0D68CCA4" w14:textId="77777777" w:rsidR="00210409" w:rsidRDefault="00210409">
      <w:pPr>
        <w:pStyle w:val="FootnoteText"/>
      </w:pPr>
      <w:r>
        <w:rPr>
          <w:rStyle w:val="FootnoteReference"/>
        </w:rPr>
        <w:footnoteRef/>
      </w:r>
      <w:r>
        <w:t xml:space="preserve"> Poedag. I, viii.</w:t>
      </w:r>
    </w:p>
  </w:footnote>
  <w:footnote w:id="210">
    <w:p w14:paraId="0D68CCA5" w14:textId="77777777" w:rsidR="00210409" w:rsidRDefault="00210409">
      <w:pPr>
        <w:pStyle w:val="FootnoteText"/>
      </w:pPr>
      <w:r>
        <w:rPr>
          <w:rStyle w:val="FootnoteReference"/>
        </w:rPr>
        <w:footnoteRef/>
      </w:r>
      <w:r>
        <w:t xml:space="preserve"> Strom. IV, xxiv.</w:t>
      </w:r>
    </w:p>
  </w:footnote>
  <w:footnote w:id="211">
    <w:p w14:paraId="0D68CCA6" w14:textId="77777777" w:rsidR="00210409" w:rsidRDefault="00210409">
      <w:pPr>
        <w:pStyle w:val="FootnoteText"/>
      </w:pPr>
      <w:r>
        <w:rPr>
          <w:rStyle w:val="FootnoteReference"/>
        </w:rPr>
        <w:footnoteRef/>
      </w:r>
      <w:r>
        <w:t xml:space="preserve"> Quoted by Neander.</w:t>
      </w:r>
    </w:p>
  </w:footnote>
  <w:footnote w:id="212">
    <w:p w14:paraId="0D68CCA7" w14:textId="77777777" w:rsidR="00210409" w:rsidRDefault="00210409">
      <w:pPr>
        <w:pStyle w:val="FootnoteText"/>
      </w:pPr>
      <w:r>
        <w:rPr>
          <w:rStyle w:val="FootnoteReference"/>
        </w:rPr>
        <w:footnoteRef/>
      </w:r>
      <w:r>
        <w:t xml:space="preserve"> Paed. I, 10. Strom. I, 27.</w:t>
      </w:r>
    </w:p>
  </w:footnote>
  <w:footnote w:id="213">
    <w:p w14:paraId="0D68CCA8" w14:textId="77777777" w:rsidR="00210409" w:rsidRDefault="00210409">
      <w:pPr>
        <w:pStyle w:val="FootnoteText"/>
      </w:pPr>
      <w:r>
        <w:rPr>
          <w:rStyle w:val="FootnoteReference"/>
        </w:rPr>
        <w:footnoteRef/>
      </w:r>
      <w:r>
        <w:t xml:space="preserve"> See pg. 120 in original for Greek.</w:t>
      </w:r>
    </w:p>
  </w:footnote>
  <w:footnote w:id="214">
    <w:p w14:paraId="0D68CCA9" w14:textId="77777777" w:rsidR="00210409" w:rsidRDefault="00210409">
      <w:pPr>
        <w:pStyle w:val="FootnoteText"/>
      </w:pPr>
      <w:r>
        <w:rPr>
          <w:rStyle w:val="FootnoteReference"/>
        </w:rPr>
        <w:footnoteRef/>
      </w:r>
      <w:r>
        <w:t xml:space="preserve"> Christian Doct., Period I, Sec. 89.</w:t>
      </w:r>
    </w:p>
  </w:footnote>
  <w:footnote w:id="215">
    <w:p w14:paraId="0D68CCAA" w14:textId="77777777" w:rsidR="00210409" w:rsidRDefault="00210409">
      <w:pPr>
        <w:pStyle w:val="FootnoteText"/>
      </w:pPr>
      <w:r>
        <w:rPr>
          <w:rStyle w:val="FootnoteReference"/>
        </w:rPr>
        <w:footnoteRef/>
      </w:r>
      <w:r>
        <w:t xml:space="preserve"> Christian Platonists, pp. 75, 89, 112.</w:t>
      </w:r>
    </w:p>
  </w:footnote>
  <w:footnote w:id="216">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17">
    <w:p w14:paraId="0D68CCAC" w14:textId="77777777" w:rsidR="00210409" w:rsidRDefault="00210409">
      <w:pPr>
        <w:pStyle w:val="FootnoteText"/>
      </w:pPr>
      <w:r>
        <w:rPr>
          <w:rStyle w:val="FootnoteReference"/>
        </w:rPr>
        <w:footnoteRef/>
      </w:r>
      <w:r>
        <w:t xml:space="preserve"> Church Hist. First Three Centuries.</w:t>
      </w:r>
    </w:p>
  </w:footnote>
  <w:footnote w:id="218">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19">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20">
    <w:p w14:paraId="0D68CCAF" w14:textId="77777777" w:rsidR="00210409" w:rsidRDefault="00210409">
      <w:pPr>
        <w:pStyle w:val="FootnoteText"/>
      </w:pPr>
      <w:r>
        <w:rPr>
          <w:rStyle w:val="FootnoteReference"/>
        </w:rPr>
        <w:footnoteRef/>
      </w:r>
      <w:r>
        <w:t xml:space="preserve"> Church of the First Three Centuries, p. 158.</w:t>
      </w:r>
    </w:p>
  </w:footnote>
  <w:footnote w:id="221">
    <w:p w14:paraId="0D68CCB0" w14:textId="77777777" w:rsidR="00210409" w:rsidRDefault="00210409">
      <w:pPr>
        <w:pStyle w:val="FootnoteText"/>
      </w:pPr>
      <w:r>
        <w:rPr>
          <w:rStyle w:val="FootnoteReference"/>
        </w:rPr>
        <w:footnoteRef/>
      </w:r>
      <w:r>
        <w:t xml:space="preserve"> 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Pressense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Origene.</w:t>
      </w:r>
    </w:p>
  </w:footnote>
  <w:footnote w:id="227">
    <w:p w14:paraId="0D68CCB6" w14:textId="77777777" w:rsidR="00210409" w:rsidRDefault="00210409">
      <w:pPr>
        <w:pStyle w:val="FootnoteText"/>
      </w:pPr>
      <w:r>
        <w:rPr>
          <w:rStyle w:val="FootnoteReference"/>
        </w:rPr>
        <w:footnoteRef/>
      </w:r>
      <w:r>
        <w:t xml:space="preserve"> Cont. Cels. VI, 25.</w:t>
      </w:r>
    </w:p>
  </w:footnote>
  <w:footnote w:id="228">
    <w:p w14:paraId="0D68CCB7" w14:textId="77777777" w:rsidR="00210409" w:rsidRDefault="00210409">
      <w:pPr>
        <w:pStyle w:val="FootnoteText"/>
      </w:pPr>
      <w:r>
        <w:rPr>
          <w:rStyle w:val="FootnoteReference"/>
        </w:rPr>
        <w:footnoteRef/>
      </w:r>
      <w:r>
        <w:t xml:space="preserve"> Consult also, Mosheim, Dorner, and De Pressense.</w:t>
      </w:r>
    </w:p>
  </w:footnote>
  <w:footnote w:id="229">
    <w:p w14:paraId="0D68CCB8" w14:textId="77777777" w:rsidR="00210409" w:rsidRDefault="00210409">
      <w:pPr>
        <w:pStyle w:val="FootnoteText"/>
      </w:pPr>
      <w:r>
        <w:rPr>
          <w:rStyle w:val="FootnoteReference"/>
        </w:rPr>
        <w:footnoteRef/>
      </w:r>
      <w:r>
        <w:t xml:space="preserve"> Homily XI in Numbers, in Migne.</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Harnack’s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Kitto Cyclo; Davidson’s Biblical Criticism, Vol. I.</w:t>
      </w:r>
    </w:p>
  </w:footnote>
  <w:footnote w:id="236">
    <w:p w14:paraId="0D68CCBF" w14:textId="77777777" w:rsidR="00210409" w:rsidRDefault="00210409">
      <w:pPr>
        <w:pStyle w:val="FootnoteText"/>
      </w:pPr>
      <w:r>
        <w:rPr>
          <w:rStyle w:val="FootnoteReference"/>
        </w:rPr>
        <w:footnoteRef/>
      </w:r>
      <w:r>
        <w:t xml:space="preserve"> De Principiis, Crombie’s Translation. Epist. ad Amicos.</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Hom. Xviii: 6, </w:t>
      </w:r>
      <w:r w:rsidR="004A329F">
        <w:t>Against Celsus</w:t>
      </w:r>
      <w:r>
        <w:t>. IV. Xxii.</w:t>
      </w:r>
    </w:p>
  </w:footnote>
  <w:footnote w:id="239">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Iii: 5.</w:t>
      </w:r>
    </w:p>
  </w:footnote>
  <w:footnote w:id="241">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Against Celsus</w:t>
      </w:r>
      <w:r>
        <w:t>. V. xv.</w:t>
      </w:r>
    </w:p>
  </w:footnote>
  <w:footnote w:id="245">
    <w:p w14:paraId="0D68CCC8" w14:textId="27D1854E" w:rsidR="00210409" w:rsidRDefault="00210409">
      <w:pPr>
        <w:pStyle w:val="FootnoteText"/>
      </w:pPr>
      <w:r>
        <w:rPr>
          <w:rStyle w:val="FootnoteReference"/>
        </w:rPr>
        <w:footnoteRef/>
      </w:r>
      <w:r>
        <w:t xml:space="preserve"> De Prin. II, x: 3, 4. I, i. </w:t>
      </w:r>
      <w:r w:rsidR="004A329F">
        <w:t>Against Celsus</w:t>
      </w:r>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Against Celsus</w:t>
      </w:r>
      <w:r>
        <w:t>. IV. Xiii;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Sacrae,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6">
    <w:p w14:paraId="0D68CCDD" w14:textId="77777777" w:rsidR="00210409" w:rsidRDefault="00210409">
      <w:pPr>
        <w:pStyle w:val="FootnoteText"/>
      </w:pPr>
      <w:r>
        <w:rPr>
          <w:rStyle w:val="FootnoteReference"/>
        </w:rPr>
        <w:footnoteRef/>
      </w:r>
      <w:r>
        <w:t xml:space="preserve"> Hist. Doct.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69">
    <w:p w14:paraId="0D68CCE0" w14:textId="77777777" w:rsidR="00210409" w:rsidRDefault="00210409">
      <w:pPr>
        <w:pStyle w:val="FootnoteText"/>
      </w:pPr>
      <w:r>
        <w:rPr>
          <w:rStyle w:val="FootnoteReference"/>
        </w:rPr>
        <w:footnoteRef/>
      </w:r>
      <w:r>
        <w:t xml:space="preserve"> Enchirid.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Hipp.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Gos. Hist., Vol. II, pg. 488.</w:t>
      </w:r>
    </w:p>
  </w:footnote>
  <w:footnote w:id="277">
    <w:p w14:paraId="0D68CCE8" w14:textId="77777777" w:rsidR="00210409" w:rsidRDefault="00210409">
      <w:pPr>
        <w:pStyle w:val="FootnoteText"/>
      </w:pPr>
      <w:r>
        <w:rPr>
          <w:rStyle w:val="FootnoteReference"/>
        </w:rPr>
        <w:footnoteRef/>
      </w:r>
      <w:r>
        <w:t xml:space="preserve"> April,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Philosophumena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Autolicum, lib. II, cap. 26, Vol. VI, Migne’s Patrologiae.</w:t>
      </w:r>
    </w:p>
  </w:footnote>
  <w:footnote w:id="284">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Apol., cap. 18.</w:t>
      </w:r>
    </w:p>
  </w:footnote>
  <w:footnote w:id="288">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89">
    <w:p w14:paraId="0D68CCF4" w14:textId="77777777" w:rsidR="00210409" w:rsidRDefault="00210409">
      <w:pPr>
        <w:pStyle w:val="FootnoteText"/>
      </w:pPr>
      <w:r>
        <w:rPr>
          <w:rStyle w:val="FootnoteReference"/>
        </w:rPr>
        <w:footnoteRef/>
      </w:r>
      <w:r>
        <w:t xml:space="preserve"> Euseb. Hist. Eccl. B. vi.</w:t>
      </w:r>
    </w:p>
  </w:footnote>
  <w:footnote w:id="290">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Doct.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Migne, Vol. XXIV, pp. 1030-33.</w:t>
      </w:r>
    </w:p>
  </w:footnote>
  <w:footnote w:id="299">
    <w:p w14:paraId="0D68CCFE" w14:textId="77777777" w:rsidR="00210409" w:rsidRDefault="00210409">
      <w:pPr>
        <w:pStyle w:val="FootnoteText"/>
      </w:pPr>
      <w:r>
        <w:rPr>
          <w:rStyle w:val="FootnoteReference"/>
        </w:rPr>
        <w:footnoteRef/>
      </w:r>
      <w:r>
        <w:t xml:space="preserve"> Sermon Major de fide. Migne, vol. XXVI, pp. 1263-1294.</w:t>
      </w:r>
    </w:p>
  </w:footnote>
  <w:footnote w:id="300">
    <w:p w14:paraId="0D68CCFF" w14:textId="77777777" w:rsidR="00210409" w:rsidRDefault="00210409">
      <w:pPr>
        <w:pStyle w:val="FootnoteText"/>
      </w:pPr>
      <w:r>
        <w:rPr>
          <w:rStyle w:val="FootnoteReference"/>
        </w:rPr>
        <w:footnoteRef/>
      </w:r>
      <w:r>
        <w:t xml:space="preserve"> De Spir. Sanct.,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305">
    <w:p w14:paraId="0D68CD04" w14:textId="77777777" w:rsidR="00210409" w:rsidRDefault="00210409">
      <w:pPr>
        <w:pStyle w:val="FootnoteText"/>
      </w:pPr>
      <w:r>
        <w:rPr>
          <w:rStyle w:val="FootnoteReference"/>
        </w:rPr>
        <w:footnoteRef/>
      </w:r>
      <w:r>
        <w:t xml:space="preserve"> De Resurr.,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Orat. xl, Carm. xlii.; Migne,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Assemani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13">
    <w:p w14:paraId="0D68CD0C" w14:textId="77777777" w:rsidR="00210409" w:rsidRDefault="00210409">
      <w:pPr>
        <w:pStyle w:val="FootnoteText"/>
      </w:pPr>
      <w:r>
        <w:rPr>
          <w:rStyle w:val="FootnoteReference"/>
        </w:rPr>
        <w:footnoteRef/>
      </w:r>
      <w:r>
        <w:t xml:space="preserve"> Assemani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Doct. And Per. Of Christ., Div. II, Vol. 1, p. 50.</w:t>
      </w:r>
    </w:p>
  </w:footnote>
  <w:footnote w:id="319">
    <w:p w14:paraId="0D68CD12" w14:textId="77777777" w:rsidR="00210409" w:rsidRDefault="00210409">
      <w:pPr>
        <w:pStyle w:val="FootnoteText"/>
      </w:pPr>
      <w:r>
        <w:rPr>
          <w:rStyle w:val="FootnoteReference"/>
        </w:rPr>
        <w:footnoteRef/>
      </w:r>
      <w:r>
        <w:t xml:space="preserve"> Renaudot’s Oriental Liturgies, Vol. II, p. 610.</w:t>
      </w:r>
    </w:p>
  </w:footnote>
  <w:footnote w:id="320">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Oehler’s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virginem.</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36">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Photius, Cod., pg. 233.</w:t>
      </w:r>
    </w:p>
  </w:footnote>
  <w:footnote w:id="342">
    <w:p w14:paraId="0D68CD29" w14:textId="77777777" w:rsidR="00210409" w:rsidRDefault="00210409">
      <w:pPr>
        <w:pStyle w:val="FootnoteText"/>
      </w:pPr>
      <w:r>
        <w:rPr>
          <w:rStyle w:val="FootnoteReference"/>
        </w:rPr>
        <w:footnoteRef/>
      </w:r>
      <w:r>
        <w:t xml:space="preserve"> De Usu Patrum,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Orat. Catech.</w:t>
      </w:r>
    </w:p>
  </w:footnote>
  <w:footnote w:id="346">
    <w:p w14:paraId="0D68CD2D" w14:textId="77777777" w:rsidR="00210409" w:rsidRDefault="00210409">
      <w:pPr>
        <w:pStyle w:val="FootnoteText"/>
      </w:pPr>
      <w:r>
        <w:rPr>
          <w:rStyle w:val="FootnoteReference"/>
        </w:rPr>
        <w:footnoteRef/>
      </w:r>
      <w:r>
        <w:t xml:space="preserve"> Allin,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Tillemont, pg. 671. Quoted by Lardner, Vol. III, pg. 273.</w:t>
      </w:r>
    </w:p>
  </w:footnote>
  <w:footnote w:id="349">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xivii,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Arium, lib. I:25, Migne, viii, p. 1059.</w:t>
      </w:r>
    </w:p>
  </w:footnote>
  <w:footnote w:id="362">
    <w:p w14:paraId="0D68CD3D" w14:textId="77777777" w:rsidR="00210409" w:rsidRDefault="00210409">
      <w:pPr>
        <w:pStyle w:val="FootnoteText"/>
      </w:pPr>
      <w:r>
        <w:rPr>
          <w:rStyle w:val="FootnoteReference"/>
        </w:rPr>
        <w:footnoteRef/>
      </w:r>
      <w:r>
        <w:t xml:space="preserve"> De Trin.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Migne, lxxxii, pg. 360.</w:t>
      </w:r>
    </w:p>
  </w:footnote>
  <w:footnote w:id="365">
    <w:p w14:paraId="0D68CD40" w14:textId="77777777" w:rsidR="00210409" w:rsidRDefault="00210409">
      <w:pPr>
        <w:pStyle w:val="FootnoteText"/>
      </w:pPr>
      <w:r>
        <w:rPr>
          <w:rStyle w:val="FootnoteReference"/>
        </w:rPr>
        <w:footnoteRef/>
      </w:r>
      <w:r>
        <w:t xml:space="preserve"> Homilia. Pasch. xx. Migne, lxxvii.</w:t>
      </w:r>
    </w:p>
  </w:footnote>
  <w:footnote w:id="366">
    <w:p w14:paraId="0D68CD41" w14:textId="77777777" w:rsidR="00210409" w:rsidRDefault="00210409">
      <w:pPr>
        <w:pStyle w:val="FootnoteText"/>
      </w:pPr>
      <w:r>
        <w:rPr>
          <w:rStyle w:val="FootnoteReference"/>
        </w:rPr>
        <w:footnoteRef/>
      </w:r>
      <w:r>
        <w:t xml:space="preserve"> Glaph.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Assemani Bib. Orientalis,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Assemani Bibl. Orient., II, pg. 291.</w:t>
      </w:r>
    </w:p>
  </w:footnote>
  <w:footnote w:id="373">
    <w:p w14:paraId="0D68CD48" w14:textId="77777777" w:rsidR="00210409" w:rsidRDefault="00210409">
      <w:pPr>
        <w:pStyle w:val="FootnoteText"/>
      </w:pPr>
      <w:r>
        <w:rPr>
          <w:rStyle w:val="FootnoteReference"/>
        </w:rPr>
        <w:footnoteRef/>
      </w:r>
      <w:r>
        <w:t xml:space="preserve"> Hipp.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Migne Vol. XXII.</w:t>
      </w:r>
    </w:p>
  </w:footnote>
  <w:footnote w:id="376">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“alterum post apostolum ecclesarium magistrum.”</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May,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i-iii.</w:t>
      </w:r>
    </w:p>
  </w:footnote>
  <w:footnote w:id="385">
    <w:p w14:paraId="0D68CD54" w14:textId="77777777" w:rsidR="00210409" w:rsidRDefault="00210409">
      <w:pPr>
        <w:pStyle w:val="FootnoteText"/>
      </w:pPr>
      <w:r>
        <w:rPr>
          <w:rStyle w:val="FootnoteReference"/>
        </w:rPr>
        <w:footnoteRef/>
      </w:r>
      <w:r>
        <w:t xml:space="preserve"> Robert Burns’ Address to the De’il.</w:t>
      </w:r>
    </w:p>
  </w:footnote>
  <w:footnote w:id="386">
    <w:p w14:paraId="0D68CD55" w14:textId="77777777" w:rsidR="00210409" w:rsidRDefault="00210409">
      <w:pPr>
        <w:pStyle w:val="FootnoteText"/>
      </w:pPr>
      <w:r>
        <w:rPr>
          <w:rStyle w:val="FootnoteReference"/>
        </w:rPr>
        <w:footnoteRef/>
      </w:r>
      <w:r>
        <w:t xml:space="preserve"> Conspersio damnata, massa perditionis.</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89">
    <w:p w14:paraId="0D68CD58" w14:textId="77777777" w:rsidR="00210409" w:rsidRDefault="00210409">
      <w:pPr>
        <w:pStyle w:val="FootnoteText"/>
      </w:pPr>
      <w:r>
        <w:rPr>
          <w:rStyle w:val="FootnoteReference"/>
        </w:rPr>
        <w:footnoteRef/>
      </w:r>
      <w:r>
        <w:t xml:space="preserve"> Misercordibus nostris. De Civ., Dei., xxi:17.</w:t>
      </w:r>
    </w:p>
  </w:footnote>
  <w:footnote w:id="390">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redarguo, quia forsitan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400">
    <w:p w14:paraId="0D68CD62" w14:textId="77777777" w:rsidR="00210409" w:rsidRDefault="00210409">
      <w:pPr>
        <w:pStyle w:val="FootnoteText"/>
      </w:pPr>
      <w:r>
        <w:rPr>
          <w:rStyle w:val="FootnoteReference"/>
        </w:rPr>
        <w:footnoteRef/>
      </w:r>
      <w:r>
        <w:t xml:space="preserve"> Nicephorus, Eccle.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402">
    <w:p w14:paraId="0D68CD64" w14:textId="77777777" w:rsidR="00210409" w:rsidRDefault="00210409">
      <w:pPr>
        <w:pStyle w:val="FootnoteText"/>
      </w:pPr>
      <w:r>
        <w:rPr>
          <w:rStyle w:val="FootnoteReference"/>
        </w:rPr>
        <w:footnoteRef/>
      </w:r>
      <w:r>
        <w:t xml:space="preserve"> Vol. I, pg. 282. Ideler’s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407">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Sozomen,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Hebberd.</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D260F"/>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195D"/>
    <w:rsid w:val="00844304"/>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189</Pages>
  <Words>71537</Words>
  <Characters>407764</Characters>
  <Application>Microsoft Office Word</Application>
  <DocSecurity>0</DocSecurity>
  <Lines>3398</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42</cp:revision>
  <cp:lastPrinted>2022-11-05T15:35:00Z</cp:lastPrinted>
  <dcterms:created xsi:type="dcterms:W3CDTF">2021-12-30T21:50:00Z</dcterms:created>
  <dcterms:modified xsi:type="dcterms:W3CDTF">2022-11-05T21:23:00Z</dcterms:modified>
</cp:coreProperties>
</file>