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A7E798A" w:rsidR="008D7A39" w:rsidRDefault="008D7A39" w:rsidP="008D7A39">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41098870" w14:textId="77777777" w:rsidR="004A41F5" w:rsidRPr="004A41F5" w:rsidRDefault="004A41F5" w:rsidP="004A41F5"/>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 xml:space="preserve">at once </w:t>
      </w:r>
      <w:r w:rsidRPr="002F5DC5">
        <w:rPr>
          <w:rFonts w:ascii="Bookman Old Style" w:hAnsi="Bookman Old Style"/>
        </w:rPr>
        <w:lastRenderedPageBreak/>
        <w:t>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7145DE61" w:rsidR="00091D96" w:rsidRPr="002F5DC5"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0DE7AC" w:rsidR="00091D96" w:rsidRPr="002F5DC5"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 xml:space="preserve">preme. In fact, orientalism was already beginning to mar the </w:t>
      </w:r>
      <w:r w:rsidRPr="002F5DC5">
        <w:rPr>
          <w:rFonts w:ascii="Bookman Old Style" w:hAnsi="Bookman Old Style"/>
        </w:rPr>
        <w:lastRenderedPageBreak/>
        <w:t>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lastRenderedPageBreak/>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455E1438" w:rsidR="00091D96" w:rsidRPr="002F5DC5"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t>
      </w:r>
      <w:r w:rsidR="001D1B82" w:rsidRPr="002F5DC5">
        <w:rPr>
          <w:rFonts w:ascii="Bookman Old Style" w:hAnsi="Bookman Old Style"/>
        </w:rPr>
        <w:lastRenderedPageBreak/>
        <w:t xml:space="preserve">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77B7C6AC" w:rsidR="00091D96" w:rsidRPr="002F5DC5"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lastRenderedPageBreak/>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less was 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 xml:space="preserve">very fallen spirit. </w:t>
      </w:r>
      <w:r w:rsidR="00091D96" w:rsidRPr="002F5DC5">
        <w:rPr>
          <w:rFonts w:ascii="Bookman Old Style" w:hAnsi="Bookman Old Style"/>
        </w:rPr>
        <w:lastRenderedPageBreak/>
        <w:t>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w:t>
      </w:r>
      <w:r w:rsidRPr="002F5DC5">
        <w:rPr>
          <w:rFonts w:ascii="Bookman Old Style" w:hAnsi="Bookman Old Style"/>
        </w:rPr>
        <w:lastRenderedPageBreak/>
        <w:t xml:space="preserve">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7542F52C"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w:t>
      </w:r>
      <w:r w:rsidR="00A24A03" w:rsidRPr="002F5DC5">
        <w:rPr>
          <w:rFonts w:ascii="Bookman Old Style" w:hAnsi="Bookman Old Style"/>
        </w:rPr>
        <w:lastRenderedPageBreak/>
        <w:t xml:space="preserve">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AE35D5D" w:rsidR="00091D96" w:rsidRPr="002F5DC5"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lastRenderedPageBreak/>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0D68C9C5" w14:textId="77777777" w:rsidR="00091D96" w:rsidRPr="002F5DC5" w:rsidRDefault="009A321E" w:rsidP="00FC6659">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9" w:name="_Toc118540324"/>
      <w:r w:rsidRPr="002F5DC5">
        <w:rPr>
          <w:rFonts w:ascii="Bookman Old Style" w:hAnsi="Bookman Old Style"/>
        </w:rPr>
        <w:t>Reserve</w:t>
      </w:r>
      <w:bookmarkEnd w:id="19"/>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35"/>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6"/>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20" w:name="_Toc118540325"/>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20"/>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lastRenderedPageBreak/>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4" w:name="_Toc118540329"/>
      <w:r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 xml:space="preserve">A. St. J. </w:t>
      </w:r>
      <w:proofErr w:type="spellStart"/>
      <w:r w:rsidR="007E057D">
        <w:rPr>
          <w:rFonts w:ascii="Bookman Old Style" w:hAnsi="Bookman Old Style"/>
          <w:b/>
          <w:bCs/>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Pr>
          <w:rFonts w:ascii="Bookman Old Style" w:hAnsi="Bookman Old Style"/>
          <w:b/>
          <w:bCs/>
        </w:rPr>
        <w:t>Chambré</w:t>
      </w:r>
      <w:proofErr w:type="spellEnd"/>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bookmarkEnd w:id="25"/>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7" w:name="_Toc118540332"/>
      <w:r w:rsidRPr="002F5DC5">
        <w:rPr>
          <w:rFonts w:ascii="Bookman Old Style" w:hAnsi="Bookman Old Style"/>
        </w:rPr>
        <w:t>Epistle of Barnabas.</w:t>
      </w:r>
      <w:bookmarkEnd w:id="27"/>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8" w:name="_Toc118540333"/>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8"/>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9" w:name="_Toc118540334"/>
      <w:r w:rsidRPr="002F5DC5">
        <w:rPr>
          <w:rFonts w:ascii="Bookman Old Style" w:hAnsi="Bookman Old Style"/>
        </w:rPr>
        <w:t>Ignatius.</w:t>
      </w:r>
      <w:bookmarkEnd w:id="29"/>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30" w:name="_Toc118540335"/>
      <w:r w:rsidRPr="002F5DC5">
        <w:rPr>
          <w:rFonts w:ascii="Bookman Old Style" w:hAnsi="Bookman Old Style"/>
        </w:rPr>
        <w:t>Justin Martyr.</w:t>
      </w:r>
      <w:bookmarkEnd w:id="30"/>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7ABB3F00" w:rsidR="001E31CD" w:rsidRPr="002F5DC5" w:rsidRDefault="001E31CD" w:rsidP="001E31CD">
      <w:pPr>
        <w:pStyle w:val="Heading3"/>
        <w:rPr>
          <w:rFonts w:ascii="Bookman Old Style" w:hAnsi="Bookman Old Style"/>
        </w:rPr>
      </w:pPr>
      <w:bookmarkStart w:id="31" w:name="_Toc118540336"/>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1"/>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2" w:name="_Toc118540337"/>
      <w:r w:rsidRPr="002F5DC5">
        <w:rPr>
          <w:rFonts w:ascii="Bookman Old Style" w:hAnsi="Bookman Old Style"/>
        </w:rPr>
        <w:t>Irenaeus.</w:t>
      </w:r>
      <w:bookmarkEnd w:id="32"/>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72"/>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3" w:name="_Toc118540338"/>
      <w:r w:rsidRPr="002F5DC5">
        <w:rPr>
          <w:rFonts w:ascii="Bookman Old Style" w:hAnsi="Bookman Old Style"/>
        </w:rPr>
        <w:t>Quadratus.</w:t>
      </w:r>
      <w:bookmarkEnd w:id="33"/>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4" w:name="_Toc118540339"/>
      <w:r w:rsidRPr="002F5DC5">
        <w:rPr>
          <w:rFonts w:ascii="Bookman Old Style" w:hAnsi="Bookman Old Style"/>
        </w:rPr>
        <w:t>Pseudo-Clementine Homilies.</w:t>
      </w:r>
      <w:bookmarkEnd w:id="34"/>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5" w:name="_Toc118540340"/>
      <w:r w:rsidRPr="002F5DC5">
        <w:rPr>
          <w:rFonts w:ascii="Bookman Old Style" w:hAnsi="Bookman Old Style"/>
        </w:rPr>
        <w:t>Athenagoras.</w:t>
      </w:r>
      <w:bookmarkEnd w:id="35"/>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6" w:name="_Toc118540341"/>
      <w:r w:rsidRPr="002F5DC5">
        <w:rPr>
          <w:rFonts w:ascii="Bookman Old Style" w:hAnsi="Bookman Old Style"/>
        </w:rPr>
        <w:t>Theophilus.</w:t>
      </w:r>
      <w:bookmarkEnd w:id="36"/>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7" w:name="_Toc118540342"/>
      <w:r w:rsidRPr="002F5DC5">
        <w:rPr>
          <w:rFonts w:ascii="Bookman Old Style" w:hAnsi="Bookman Old Style"/>
        </w:rPr>
        <w:t>Conclusion.</w:t>
      </w:r>
      <w:bookmarkEnd w:id="37"/>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8" w:name="_Toc118540343"/>
      <w:r w:rsidRPr="002F5DC5">
        <w:rPr>
          <w:rFonts w:ascii="Bookman Old Style" w:hAnsi="Bookman Old Style"/>
        </w:rPr>
        <w:lastRenderedPageBreak/>
        <w:t>7. Three Gnostic Sects.</w:t>
      </w:r>
      <w:bookmarkEnd w:id="38"/>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9" w:name="_Toc118540344"/>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9"/>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40" w:name="_Toc118540345"/>
      <w:r w:rsidRPr="002F5DC5">
        <w:rPr>
          <w:rFonts w:ascii="Bookman Old Style" w:hAnsi="Bookman Old Style"/>
        </w:rPr>
        <w:t>Carpocratians.</w:t>
      </w:r>
      <w:bookmarkEnd w:id="40"/>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1" w:name="_Toc118540346"/>
      <w:r w:rsidRPr="002F5DC5">
        <w:rPr>
          <w:rFonts w:ascii="Bookman Old Style" w:hAnsi="Bookman Old Style"/>
        </w:rPr>
        <w:t>Valentinians.</w:t>
      </w:r>
      <w:bookmarkEnd w:id="41"/>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2" w:name="_Toc118540347"/>
      <w:r w:rsidRPr="002F5DC5">
        <w:rPr>
          <w:rFonts w:ascii="Bookman Old Style" w:hAnsi="Bookman Old Style"/>
        </w:rPr>
        <w:t>Conclusions.</w:t>
      </w:r>
      <w:bookmarkEnd w:id="42"/>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3" w:name="_Toc118540348"/>
      <w:r w:rsidRPr="002F5DC5">
        <w:rPr>
          <w:rFonts w:ascii="Bookman Old Style" w:hAnsi="Bookman Old Style"/>
        </w:rPr>
        <w:lastRenderedPageBreak/>
        <w:t>8. The Sibylline Oracles.</w:t>
      </w:r>
      <w:bookmarkEnd w:id="43"/>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4"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4"/>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5" w:name="_Toc118540350"/>
      <w:proofErr w:type="spellStart"/>
      <w:r w:rsidRPr="002F5DC5">
        <w:rPr>
          <w:rFonts w:ascii="Bookman Old Style" w:hAnsi="Bookman Old Style"/>
        </w:rPr>
        <w:t>Pantaenus</w:t>
      </w:r>
      <w:proofErr w:type="spellEnd"/>
      <w:r w:rsidRPr="002F5DC5">
        <w:rPr>
          <w:rFonts w:ascii="Bookman Old Style" w:hAnsi="Bookman Old Style"/>
        </w:rPr>
        <w:t>.</w:t>
      </w:r>
      <w:bookmarkEnd w:id="45"/>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6" w:name="_Toc118540351"/>
      <w:r w:rsidRPr="002F5DC5">
        <w:rPr>
          <w:rFonts w:ascii="Bookman Old Style" w:hAnsi="Bookman Old Style"/>
        </w:rPr>
        <w:t>The Alexandrine School.</w:t>
      </w:r>
      <w:bookmarkEnd w:id="46"/>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7" w:name="_Toc118540352"/>
      <w:r w:rsidRPr="002F5DC5">
        <w:rPr>
          <w:rFonts w:ascii="Bookman Old Style" w:hAnsi="Bookman Old Style"/>
        </w:rPr>
        <w:t>Clement of Alexandria.</w:t>
      </w:r>
      <w:bookmarkEnd w:id="47"/>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8" w:name="_Toc118540353"/>
      <w:r w:rsidRPr="002F5DC5">
        <w:rPr>
          <w:rFonts w:ascii="Bookman Old Style" w:hAnsi="Bookman Old Style"/>
        </w:rPr>
        <w:lastRenderedPageBreak/>
        <w:t>10. Origen</w:t>
      </w:r>
      <w:r w:rsidR="00091D96" w:rsidRPr="002F5DC5">
        <w:rPr>
          <w:rFonts w:ascii="Bookman Old Style" w:hAnsi="Bookman Old Style"/>
        </w:rPr>
        <w:t>.</w:t>
      </w:r>
      <w:bookmarkEnd w:id="48"/>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3"/>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4"/>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5"/>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9" w:name="_Toc118540354"/>
      <w:r w:rsidRPr="002F5DC5">
        <w:rPr>
          <w:rFonts w:ascii="Bookman Old Style" w:hAnsi="Bookman Old Style"/>
        </w:rPr>
        <w:t>Quotation of Origen's Language.</w:t>
      </w:r>
      <w:bookmarkEnd w:id="49"/>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6"/>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7"/>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8"/>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9"/>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40"/>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1"/>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2"/>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3"/>
      </w:r>
    </w:p>
    <w:p w14:paraId="0D68CA8F" w14:textId="77777777" w:rsidR="00091D96" w:rsidRPr="002F5DC5" w:rsidRDefault="00091D96" w:rsidP="0047774A">
      <w:pPr>
        <w:pStyle w:val="Heading2"/>
        <w:rPr>
          <w:rFonts w:ascii="Bookman Old Style" w:hAnsi="Bookman Old Style"/>
        </w:rPr>
      </w:pPr>
      <w:bookmarkStart w:id="50" w:name="_Toc118540355"/>
      <w:r w:rsidRPr="002F5DC5">
        <w:rPr>
          <w:rFonts w:ascii="Bookman Old Style" w:hAnsi="Bookman Old Style"/>
        </w:rPr>
        <w:t>Origen on the Purifying Fire.</w:t>
      </w:r>
      <w:bookmarkEnd w:id="50"/>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5"/>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6"/>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7"/>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8"/>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9"/>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50"/>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2"/>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3"/>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4"/>
      </w:r>
    </w:p>
    <w:p w14:paraId="0D68CA9D" w14:textId="77777777" w:rsidR="00091D96" w:rsidRPr="002F5DC5" w:rsidRDefault="00091D96" w:rsidP="0047774A">
      <w:pPr>
        <w:pStyle w:val="Heading2"/>
        <w:rPr>
          <w:rFonts w:ascii="Bookman Old Style" w:hAnsi="Bookman Old Style"/>
        </w:rPr>
      </w:pPr>
      <w:bookmarkStart w:id="51"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1"/>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5"/>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6"/>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7"/>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8"/>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9"/>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2"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2"/>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60"/>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1"/>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2"/>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3"/>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3" w:name="_Toc118540358"/>
      <w:r w:rsidRPr="002F5DC5">
        <w:rPr>
          <w:rFonts w:ascii="Bookman Old Style" w:hAnsi="Bookman Old Style"/>
        </w:rPr>
        <w:t>Origen's Theology Generally Accepted.</w:t>
      </w:r>
      <w:bookmarkEnd w:id="53"/>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4"/>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4" w:name="_Toc118540359"/>
      <w:r w:rsidRPr="002F5DC5">
        <w:rPr>
          <w:rFonts w:ascii="Bookman Old Style" w:hAnsi="Bookman Old Style"/>
        </w:rPr>
        <w:t>Ancient Universalist Schools.</w:t>
      </w:r>
      <w:bookmarkEnd w:id="54"/>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8"/>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9"/>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70"/>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5" w:name="_Toc118540360"/>
      <w:r w:rsidRPr="002F5DC5">
        <w:rPr>
          <w:rFonts w:ascii="Bookman Old Style" w:hAnsi="Bookman Old Style"/>
        </w:rPr>
        <w:lastRenderedPageBreak/>
        <w:t>12. The Eulogists of Origen.</w:t>
      </w:r>
      <w:bookmarkEnd w:id="55"/>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1"/>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3"/>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4"/>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6"/>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8"/>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6" w:name="_Toc118540361"/>
      <w:r w:rsidRPr="002F5DC5">
        <w:rPr>
          <w:rFonts w:ascii="Bookman Old Style" w:hAnsi="Bookman Old Style"/>
        </w:rPr>
        <w:lastRenderedPageBreak/>
        <w:t>13. A Third Century Group.</w:t>
      </w:r>
      <w:bookmarkEnd w:id="56"/>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9"/>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7" w:name="_Toc118540362"/>
      <w:r w:rsidRPr="002F5DC5">
        <w:rPr>
          <w:rFonts w:ascii="Bookman Old Style" w:hAnsi="Bookman Old Style"/>
        </w:rPr>
        <w:t>Hippolytus.</w:t>
      </w:r>
      <w:bookmarkEnd w:id="57"/>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80"/>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81"/>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2"/>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8" w:name="_Toc118540363"/>
      <w:r w:rsidRPr="002F5DC5">
        <w:rPr>
          <w:rFonts w:ascii="Bookman Old Style" w:hAnsi="Bookman Old Style"/>
        </w:rPr>
        <w:t>Theophilus.</w:t>
      </w:r>
      <w:bookmarkEnd w:id="58"/>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3"/>
      </w:r>
    </w:p>
    <w:p w14:paraId="0D68CADC" w14:textId="77777777" w:rsidR="00091D96" w:rsidRPr="002F5DC5" w:rsidRDefault="00091D96" w:rsidP="00556C34">
      <w:pPr>
        <w:pStyle w:val="Heading2"/>
        <w:rPr>
          <w:rFonts w:ascii="Bookman Old Style" w:hAnsi="Bookman Old Style"/>
        </w:rPr>
      </w:pPr>
      <w:bookmarkStart w:id="59" w:name="_Toc118540364"/>
      <w:r w:rsidRPr="002F5DC5">
        <w:rPr>
          <w:rFonts w:ascii="Bookman Old Style" w:hAnsi="Bookman Old Style"/>
        </w:rPr>
        <w:t>Tertullian.</w:t>
      </w:r>
      <w:bookmarkEnd w:id="59"/>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6"/>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60" w:name="_Toc118540365"/>
      <w:r w:rsidRPr="002F5DC5">
        <w:rPr>
          <w:rFonts w:ascii="Bookman Old Style" w:hAnsi="Bookman Old Style"/>
        </w:rPr>
        <w:t>Ambrose of Alexandria.</w:t>
      </w:r>
      <w:bookmarkEnd w:id="60"/>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1" w:name="_Toc118540366"/>
      <w:r w:rsidRPr="002F5DC5">
        <w:rPr>
          <w:rFonts w:ascii="Bookman Old Style" w:hAnsi="Bookman Old Style"/>
        </w:rPr>
        <w:t>The Manicha</w:t>
      </w:r>
      <w:r w:rsidR="00091D96" w:rsidRPr="002F5DC5">
        <w:rPr>
          <w:rFonts w:ascii="Bookman Old Style" w:hAnsi="Bookman Old Style"/>
        </w:rPr>
        <w:t>eans.</w:t>
      </w:r>
      <w:bookmarkEnd w:id="61"/>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2"/>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2" w:name="_Toc118540367"/>
      <w:r w:rsidRPr="002F5DC5">
        <w:rPr>
          <w:rFonts w:ascii="Bookman Old Style" w:hAnsi="Bookman Old Style"/>
        </w:rPr>
        <w:lastRenderedPageBreak/>
        <w:t>14. Minor Authorities.</w:t>
      </w:r>
      <w:bookmarkEnd w:id="62"/>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3" w:name="_Toc118540368"/>
      <w:proofErr w:type="spellStart"/>
      <w:r>
        <w:t>Firmilian</w:t>
      </w:r>
      <w:proofErr w:type="spellEnd"/>
      <w:r>
        <w:t>.</w:t>
      </w:r>
      <w:bookmarkEnd w:id="63"/>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4" w:name="_Toc118540369"/>
      <w:r>
        <w:t>Dionysius.</w:t>
      </w:r>
      <w:bookmarkEnd w:id="64"/>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5" w:name="_Toc118540370"/>
      <w:proofErr w:type="spellStart"/>
      <w:r>
        <w:t>Theognostus</w:t>
      </w:r>
      <w:proofErr w:type="spellEnd"/>
      <w:r>
        <w:t xml:space="preserve"> and </w:t>
      </w:r>
      <w:proofErr w:type="spellStart"/>
      <w:r>
        <w:t>Pierius</w:t>
      </w:r>
      <w:proofErr w:type="spellEnd"/>
      <w:r>
        <w:t>.</w:t>
      </w:r>
      <w:bookmarkEnd w:id="65"/>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6" w:name="_Toc118540371"/>
      <w:r>
        <w:t>Gregory Thaumaturgus.</w:t>
      </w:r>
      <w:bookmarkEnd w:id="66"/>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7" w:name="_Toc118540372"/>
      <w:proofErr w:type="spellStart"/>
      <w:r>
        <w:t>Pamphilus</w:t>
      </w:r>
      <w:proofErr w:type="spellEnd"/>
      <w:r>
        <w:t>.</w:t>
      </w:r>
      <w:bookmarkEnd w:id="67"/>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8" w:name="_Toc118540373"/>
      <w:r>
        <w:t>Eusebius.</w:t>
      </w:r>
      <w:bookmarkEnd w:id="68"/>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9" w:name="_Toc118540374"/>
      <w:r>
        <w:t>Athanasius.</w:t>
      </w:r>
      <w:bookmarkEnd w:id="69"/>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70" w:name="_Toc118540375"/>
      <w:r>
        <w:lastRenderedPageBreak/>
        <w:t>Didymus.</w:t>
      </w:r>
      <w:bookmarkEnd w:id="70"/>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1" w:name="_Toc118540376"/>
      <w:r w:rsidRPr="002F5DC5">
        <w:rPr>
          <w:rFonts w:ascii="Bookman Old Style" w:hAnsi="Bookman Old Style"/>
        </w:rPr>
        <w:t>Epiphanius.</w:t>
      </w:r>
      <w:bookmarkEnd w:id="71"/>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2" w:name="_Toc118540377"/>
      <w:r>
        <w:t>Methodius</w:t>
      </w:r>
      <w:bookmarkEnd w:id="72"/>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3" w:name="_Toc118540378"/>
      <w:r w:rsidRPr="002F5DC5">
        <w:rPr>
          <w:rFonts w:ascii="Bookman Old Style" w:hAnsi="Bookman Old Style"/>
        </w:rPr>
        <w:lastRenderedPageBreak/>
        <w:t>15. Gregory Nazianzen.</w:t>
      </w:r>
      <w:bookmarkEnd w:id="7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4"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5" w:name="_Toc118540380"/>
      <w:r w:rsidRPr="002F5DC5">
        <w:rPr>
          <w:rFonts w:ascii="Bookman Old Style" w:hAnsi="Bookman Old Style"/>
        </w:rPr>
        <w:t>The Nestorians.</w:t>
      </w:r>
      <w:bookmarkEnd w:id="7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6" w:name="_Toc118540381"/>
      <w:r w:rsidRPr="002F5DC5">
        <w:rPr>
          <w:rFonts w:ascii="Bookman Old Style" w:hAnsi="Bookman Old Style"/>
        </w:rPr>
        <w:t>In</w:t>
      </w:r>
      <w:r w:rsidR="004C5AAD" w:rsidRPr="002F5DC5">
        <w:rPr>
          <w:rFonts w:ascii="Bookman Old Style" w:hAnsi="Bookman Old Style"/>
        </w:rPr>
        <w:t>structive Facts.</w:t>
      </w:r>
      <w:bookmarkEnd w:id="7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7" w:name="_Toc118540382"/>
      <w:r w:rsidRPr="002F5DC5">
        <w:rPr>
          <w:rFonts w:ascii="Bookman Old Style" w:hAnsi="Bookman Old Style"/>
        </w:rPr>
        <w:lastRenderedPageBreak/>
        <w:t>17. A Notable Family.</w:t>
      </w:r>
      <w:bookmarkEnd w:id="7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8"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9" w:name="_Toc118540384"/>
      <w:r w:rsidRPr="002F5DC5">
        <w:rPr>
          <w:rFonts w:ascii="Bookman Old Style" w:hAnsi="Bookman Old Style"/>
        </w:rPr>
        <w:t>Basil the Great.</w:t>
      </w:r>
      <w:bookmarkEnd w:id="7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80" w:name="_Toc118540385"/>
      <w:r w:rsidRPr="002F5DC5">
        <w:rPr>
          <w:rFonts w:ascii="Bookman Old Style" w:hAnsi="Bookman Old Style"/>
        </w:rPr>
        <w:t>Gregory Nys</w:t>
      </w:r>
      <w:r w:rsidR="00C07A79" w:rsidRPr="002F5DC5">
        <w:rPr>
          <w:rFonts w:ascii="Bookman Old Style" w:hAnsi="Bookman Old Style"/>
        </w:rPr>
        <w:t>sen.</w:t>
      </w:r>
      <w:bookmarkEnd w:id="8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1"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2" w:name="_Toc118540387"/>
      <w:r w:rsidRPr="002F5DC5">
        <w:rPr>
          <w:rFonts w:ascii="Bookman Old Style" w:hAnsi="Bookman Old Style"/>
        </w:rPr>
        <w:t>Marcellus of Ancyra.</w:t>
      </w:r>
      <w:bookmarkEnd w:id="8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3"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4" w:name="_Toc118540389"/>
      <w:r w:rsidRPr="002F5DC5">
        <w:rPr>
          <w:rFonts w:ascii="Bookman Old Style" w:hAnsi="Bookman Old Style"/>
        </w:rPr>
        <w:t>Ambrose of Milan.</w:t>
      </w:r>
      <w:bookmarkEnd w:id="8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5"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6"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7" w:name="_Toc118540392"/>
      <w:r w:rsidRPr="002F5DC5">
        <w:rPr>
          <w:rFonts w:ascii="Bookman Old Style" w:hAnsi="Bookman Old Style"/>
        </w:rPr>
        <w:t>Marius Victorinus.</w:t>
      </w:r>
      <w:bookmarkEnd w:id="8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8"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9" w:name="_Toc118540394"/>
      <w:r w:rsidRPr="002F5DC5">
        <w:rPr>
          <w:rFonts w:ascii="Bookman Old Style" w:hAnsi="Bookman Old Style"/>
        </w:rPr>
        <w:t>John Cassian.</w:t>
      </w:r>
      <w:bookmarkEnd w:id="8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90"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9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1"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2" w:name="_Toc118540397"/>
      <w:r w:rsidRPr="002F5DC5">
        <w:rPr>
          <w:rFonts w:ascii="Bookman Old Style" w:hAnsi="Bookman Old Style"/>
        </w:rPr>
        <w:t>Cyril of Alexandria.</w:t>
      </w:r>
      <w:bookmarkEnd w:id="9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3"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3"/>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4" w:name="_Toc118540399"/>
      <w:r w:rsidRPr="002F5DC5">
        <w:rPr>
          <w:rFonts w:ascii="Bookman Old Style" w:hAnsi="Bookman Old Style"/>
        </w:rPr>
        <w:t>Domitian, Bishop of Galatia.</w:t>
      </w:r>
      <w:bookmarkEnd w:id="9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5"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5"/>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6" w:name="_Toc118540401"/>
      <w:r w:rsidRPr="002F5DC5">
        <w:rPr>
          <w:rFonts w:ascii="Bookman Old Style" w:hAnsi="Bookman Old Style"/>
        </w:rPr>
        <w:t>Later Additional Authorities.</w:t>
      </w:r>
      <w:bookmarkEnd w:id="9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7"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7"/>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8"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9"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100" w:name="_Toc118540405"/>
      <w:r w:rsidRPr="002F5DC5">
        <w:rPr>
          <w:rFonts w:ascii="Bookman Old Style" w:hAnsi="Bookman Old Style"/>
        </w:rPr>
        <w:t>Maximus, the Confessor.</w:t>
      </w:r>
      <w:bookmarkEnd w:id="10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1" w:name="_Toc118540406"/>
      <w:r w:rsidRPr="002F5DC5">
        <w:rPr>
          <w:rFonts w:ascii="Bookman Old Style" w:hAnsi="Bookman Old Style"/>
        </w:rPr>
        <w:lastRenderedPageBreak/>
        <w:t>19. The Deterioration of Christian Thought.</w:t>
      </w:r>
      <w:bookmarkEnd w:id="10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2" w:name="_Toc118540407"/>
      <w:r w:rsidRPr="002F5DC5">
        <w:rPr>
          <w:rFonts w:ascii="Bookman Old Style" w:hAnsi="Bookman Old Style"/>
        </w:rPr>
        <w:t>Jerome.</w:t>
      </w:r>
      <w:bookmarkEnd w:id="10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3" w:name="_Toc118540408"/>
      <w:r w:rsidRPr="002F5DC5">
        <w:rPr>
          <w:rFonts w:ascii="Bookman Old Style" w:hAnsi="Bookman Old Style"/>
        </w:rPr>
        <w:t>John Chrysostom.</w:t>
      </w:r>
      <w:bookmarkEnd w:id="10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4"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4"/>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5" w:name="_Toc118540410"/>
      <w:r w:rsidRPr="002F5DC5">
        <w:rPr>
          <w:rFonts w:ascii="Bookman Old Style" w:hAnsi="Bookman Old Style"/>
        </w:rPr>
        <w:lastRenderedPageBreak/>
        <w:t>21. Unsuccessful Attempts to Suppress Universalism.</w:t>
      </w:r>
      <w:bookmarkEnd w:id="105"/>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6" w:name="_Toc118540411"/>
      <w:r w:rsidRPr="002F5DC5">
        <w:rPr>
          <w:rFonts w:ascii="Bookman Old Style" w:hAnsi="Bookman Old Style"/>
        </w:rPr>
        <w:t>Significant Facts and Conclusions.</w:t>
      </w:r>
      <w:bookmarkEnd w:id="106"/>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7" w:name="_Toc118540412"/>
      <w:r w:rsidRPr="002F5DC5">
        <w:rPr>
          <w:rFonts w:ascii="Bookman Old Style" w:hAnsi="Bookman Old Style"/>
        </w:rPr>
        <w:lastRenderedPageBreak/>
        <w:t>22. The Eclipse of Universalism.</w:t>
      </w:r>
      <w:bookmarkEnd w:id="107"/>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8" w:name="_Toc118540413"/>
      <w:r w:rsidRPr="002F5DC5">
        <w:rPr>
          <w:rFonts w:ascii="Bookman Old Style" w:hAnsi="Bookman Old Style"/>
        </w:rPr>
        <w:lastRenderedPageBreak/>
        <w:t>23. Summary of Conclusions.</w:t>
      </w:r>
      <w:bookmarkEnd w:id="10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9"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9"/>
    </w:p>
    <w:p w14:paraId="0402EB50" w14:textId="688EAE33" w:rsidR="00377200" w:rsidRDefault="00377200" w:rsidP="00377200">
      <w:pPr>
        <w:pStyle w:val="Heading2"/>
        <w:rPr>
          <w:rFonts w:ascii="Bookman Old Style" w:hAnsi="Bookman Old Style"/>
        </w:rPr>
      </w:pPr>
      <w:bookmarkStart w:id="110" w:name="_Toc118540415"/>
      <w:proofErr w:type="spellStart"/>
      <w:r w:rsidRPr="00377200">
        <w:rPr>
          <w:rFonts w:ascii="Bookman Old Style" w:hAnsi="Bookman Old Style"/>
        </w:rPr>
        <w:t>A</w:t>
      </w:r>
      <w:bookmarkEnd w:id="110"/>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1"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1"/>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2" w:name="_Toc118540417"/>
      <w:r w:rsidRPr="002F5DC5">
        <w:rPr>
          <w:rFonts w:ascii="Bookman Old Style" w:hAnsi="Bookman Old Style"/>
        </w:rPr>
        <w:t>Beecher, Edward</w:t>
      </w:r>
      <w:bookmarkEnd w:id="112"/>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3"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4" w:name="_Toc118540419"/>
      <w:r w:rsidRPr="002F5DC5">
        <w:rPr>
          <w:rFonts w:ascii="Bookman Old Style" w:hAnsi="Bookman Old Style"/>
        </w:rPr>
        <w:t>Cantwell, J.S.</w:t>
      </w:r>
      <w:bookmarkEnd w:id="11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5"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5"/>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6" w:name="_Toc118540421"/>
      <w:r w:rsidRPr="00592BE3">
        <w:rPr>
          <w:rFonts w:ascii="Bookman Old Style" w:hAnsi="Bookman Old Style"/>
        </w:rPr>
        <w:t>Chrysostom, John</w:t>
      </w:r>
      <w:bookmarkEnd w:id="11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7"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7"/>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8"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8"/>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9"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9"/>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20"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20"/>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1"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2"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3" w:name="_Toc118540428"/>
      <w:r>
        <w:rPr>
          <w:rFonts w:ascii="Bookman Old Style" w:hAnsi="Bookman Old Style"/>
        </w:rPr>
        <w:lastRenderedPageBreak/>
        <w:t>Appendix B. Individuals Referenced in This Work.</w:t>
      </w:r>
      <w:bookmarkEnd w:id="12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4" w:name="_Toc118540429"/>
      <w:r w:rsidRPr="003C503A">
        <w:rPr>
          <w:rFonts w:ascii="Bookman Old Style" w:hAnsi="Bookman Old Style"/>
        </w:rPr>
        <w:lastRenderedPageBreak/>
        <w:t>Appendix C. Works Referenced Herein.</w:t>
      </w:r>
      <w:bookmarkEnd w:id="12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5" w:name="_Toc118540430"/>
      <w:r w:rsidRPr="002F5DC5">
        <w:rPr>
          <w:rFonts w:ascii="Bookman Old Style" w:hAnsi="Bookman Old Style"/>
        </w:rPr>
        <w:lastRenderedPageBreak/>
        <w:t>Bibliography</w:t>
      </w:r>
      <w:bookmarkEnd w:id="12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6" w:name="_Toc118540431"/>
      <w:r w:rsidRPr="002F5DC5">
        <w:rPr>
          <w:rFonts w:ascii="Bookman Old Style" w:hAnsi="Bookman Old Style"/>
        </w:rPr>
        <w:lastRenderedPageBreak/>
        <w:t>What Has Changed?</w:t>
      </w:r>
      <w:bookmarkEnd w:id="126"/>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7" w:name="_Toc118540432"/>
      <w:r w:rsidRPr="00BE2A4F">
        <w:rPr>
          <w:rFonts w:ascii="Bookman Old Style" w:hAnsi="Bookman Old Style"/>
        </w:rPr>
        <w:lastRenderedPageBreak/>
        <w:t>Release Notes</w:t>
      </w:r>
      <w:bookmarkEnd w:id="127"/>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8" w:name="_Toc118540433"/>
      <w:r>
        <w:lastRenderedPageBreak/>
        <w:t>Changing of Particular Words</w:t>
      </w:r>
      <w:bookmarkEnd w:id="128"/>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A1803" w14:textId="77777777" w:rsidR="00C14DBE" w:rsidRDefault="00C14DBE" w:rsidP="00661298">
      <w:pPr>
        <w:spacing w:after="0" w:line="240" w:lineRule="auto"/>
      </w:pPr>
      <w:r>
        <w:separator/>
      </w:r>
    </w:p>
  </w:endnote>
  <w:endnote w:type="continuationSeparator" w:id="0">
    <w:p w14:paraId="1D92C7DC" w14:textId="77777777" w:rsidR="00C14DBE" w:rsidRDefault="00C14DBE"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7609F" w14:textId="77777777" w:rsidR="00C14DBE" w:rsidRDefault="00C14DBE" w:rsidP="00661298">
      <w:pPr>
        <w:spacing w:after="0" w:line="240" w:lineRule="auto"/>
      </w:pPr>
      <w:r>
        <w:separator/>
      </w:r>
    </w:p>
  </w:footnote>
  <w:footnote w:type="continuationSeparator" w:id="0">
    <w:p w14:paraId="7C4E97D5" w14:textId="77777777" w:rsidR="00C14DBE" w:rsidRDefault="00C14DBE"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77777777" w:rsidR="00210409" w:rsidRDefault="00210409">
      <w:pPr>
        <w:pStyle w:val="FootnoteText"/>
      </w:pPr>
      <w:r>
        <w:rPr>
          <w:rStyle w:val="FootnoteReference"/>
        </w:rPr>
        <w:footnoteRef/>
      </w:r>
      <w:r>
        <w:t xml:space="preserve"> Matthew 11:28.</w:t>
      </w:r>
    </w:p>
  </w:footnote>
  <w:footnote w:id="48">
    <w:p w14:paraId="0D68CC18" w14:textId="77777777" w:rsidR="00210409" w:rsidRDefault="00210409">
      <w:pPr>
        <w:pStyle w:val="FootnoteText"/>
      </w:pPr>
      <w:r>
        <w:rPr>
          <w:rStyle w:val="FootnoteReference"/>
        </w:rPr>
        <w:footnoteRef/>
      </w:r>
      <w:r>
        <w:t xml:space="preserve"> Philippians 4:4.</w:t>
      </w:r>
    </w:p>
  </w:footnote>
  <w:footnote w:id="49">
    <w:p w14:paraId="0D68CC19" w14:textId="77777777" w:rsidR="00210409" w:rsidRDefault="00210409">
      <w:pPr>
        <w:pStyle w:val="FootnoteText"/>
      </w:pPr>
      <w:r>
        <w:rPr>
          <w:rStyle w:val="FootnoteReference"/>
        </w:rPr>
        <w:footnoteRef/>
      </w:r>
      <w:r>
        <w:t xml:space="preserve"> 1 Peter 1:8.</w:t>
      </w:r>
    </w:p>
  </w:footnote>
  <w:footnote w:id="50">
    <w:p w14:paraId="0D68CC1A" w14:textId="77777777" w:rsidR="00210409" w:rsidRDefault="00210409">
      <w:pPr>
        <w:pStyle w:val="FootnoteText"/>
      </w:pPr>
      <w:r>
        <w:rPr>
          <w:rStyle w:val="FootnoteReference"/>
        </w:rPr>
        <w:footnoteRef/>
      </w:r>
      <w:r>
        <w:t xml:space="preserve"> 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54">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55">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3">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77777777" w:rsidR="00210409" w:rsidRDefault="00210409">
      <w:pPr>
        <w:pStyle w:val="FootnoteText"/>
      </w:pPr>
      <w:r>
        <w:rPr>
          <w:rStyle w:val="FootnoteReference"/>
        </w:rPr>
        <w:footnoteRef/>
      </w:r>
      <w:r>
        <w:t xml:space="preserve"> See footnote 34.</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84">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85">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6">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7">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8">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9">
    <w:p w14:paraId="0D68CC31" w14:textId="77777777" w:rsidR="00210409" w:rsidRDefault="00210409">
      <w:pPr>
        <w:pStyle w:val="FootnoteText"/>
      </w:pPr>
      <w:r>
        <w:rPr>
          <w:rStyle w:val="FootnoteReference"/>
        </w:rPr>
        <w:footnoteRef/>
      </w:r>
      <w:r>
        <w:t xml:space="preserve"> Schaff, Hist. Christ. Church, Vol 1, p. 342.</w:t>
      </w:r>
    </w:p>
  </w:footnote>
  <w:footnote w:id="90">
    <w:p w14:paraId="0D68CC32" w14:textId="77777777" w:rsidR="00210409" w:rsidRDefault="00210409">
      <w:pPr>
        <w:pStyle w:val="FootnoteText"/>
      </w:pPr>
      <w:r>
        <w:rPr>
          <w:rStyle w:val="FootnoteReference"/>
        </w:rPr>
        <w:footnoteRef/>
      </w:r>
      <w:r>
        <w:t xml:space="preserve"> Maitland.</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77777777" w:rsidR="00210409" w:rsidRDefault="00210409">
      <w:pPr>
        <w:pStyle w:val="FootnoteText"/>
      </w:pPr>
      <w:r>
        <w:rPr>
          <w:rStyle w:val="FootnoteReference"/>
        </w:rPr>
        <w:footnoteRef/>
      </w:r>
      <w:r>
        <w:t xml:space="preserve"> Maitland.</w:t>
      </w:r>
    </w:p>
  </w:footnote>
  <w:footnote w:id="93">
    <w:p w14:paraId="0D68CC34" w14:textId="77777777" w:rsidR="00210409" w:rsidRDefault="00210409">
      <w:pPr>
        <w:pStyle w:val="FootnoteText"/>
      </w:pPr>
      <w:r>
        <w:rPr>
          <w:rStyle w:val="FootnoteReference"/>
        </w:rPr>
        <w:footnoteRef/>
      </w:r>
      <w:r>
        <w:t xml:space="preserve"> Bible of Amiens.</w:t>
      </w:r>
    </w:p>
  </w:footnote>
  <w:footnote w:id="94">
    <w:p w14:paraId="0D68CC35" w14:textId="77777777" w:rsidR="00210409" w:rsidRDefault="00210409">
      <w:pPr>
        <w:pStyle w:val="FootnoteText"/>
      </w:pPr>
      <w:r>
        <w:rPr>
          <w:rStyle w:val="FootnoteReference"/>
        </w:rPr>
        <w:footnoteRef/>
      </w:r>
      <w:r>
        <w:t xml:space="preserve"> Lives of the Fathers.</w:t>
      </w:r>
    </w:p>
  </w:footnote>
  <w:footnote w:id="95">
    <w:p w14:paraId="0D68CC36" w14:textId="77777777" w:rsidR="00210409" w:rsidRDefault="00210409">
      <w:pPr>
        <w:pStyle w:val="FootnoteText"/>
      </w:pPr>
      <w:r>
        <w:rPr>
          <w:rStyle w:val="FootnoteReference"/>
        </w:rPr>
        <w:footnoteRef/>
      </w:r>
      <w:r>
        <w:t xml:space="preserve"> Christian Institutions.</w:t>
      </w:r>
    </w:p>
  </w:footnote>
  <w:footnote w:id="96">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100">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77777777" w:rsidR="00210409" w:rsidRDefault="00210409">
      <w:pPr>
        <w:pStyle w:val="FootnoteText"/>
      </w:pPr>
      <w:r>
        <w:rPr>
          <w:rStyle w:val="FootnoteReference"/>
        </w:rPr>
        <w:footnoteRef/>
      </w:r>
      <w:r>
        <w:t xml:space="preserve"> 2 Corinthians 5:19.</w:t>
      </w:r>
    </w:p>
  </w:footnote>
  <w:footnote w:id="110">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11">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12">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13">
    <w:p w14:paraId="0D68CC48" w14:textId="77777777" w:rsidR="00210409" w:rsidRDefault="00210409">
      <w:pPr>
        <w:pStyle w:val="FootnoteText"/>
      </w:pPr>
      <w:r>
        <w:rPr>
          <w:rStyle w:val="FootnoteReference"/>
        </w:rPr>
        <w:footnoteRef/>
      </w:r>
      <w:r>
        <w:t xml:space="preserve"> Mark 7:13; Matthew 16:6, 12; Luke 12:1; Mark 8:15.</w:t>
      </w:r>
    </w:p>
  </w:footnote>
  <w:footnote w:id="114">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15">
    <w:p w14:paraId="0D68CC4A" w14:textId="77777777" w:rsidR="00210409" w:rsidRDefault="00210409">
      <w:pPr>
        <w:pStyle w:val="FootnoteText"/>
      </w:pPr>
      <w:r>
        <w:rPr>
          <w:rStyle w:val="FootnoteReference"/>
        </w:rPr>
        <w:footnoteRef/>
      </w:r>
      <w:r>
        <w:t xml:space="preserve"> Warburton. Leland’s Necessity of Divine Revelation.</w:t>
      </w:r>
    </w:p>
  </w:footnote>
  <w:footnote w:id="116">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77777777" w:rsidR="00210409" w:rsidRDefault="00210409">
      <w:pPr>
        <w:pStyle w:val="FootnoteText"/>
      </w:pPr>
      <w:r>
        <w:rPr>
          <w:rStyle w:val="FootnoteReference"/>
        </w:rPr>
        <w:footnoteRef/>
      </w:r>
      <w:r>
        <w:t xml:space="preserve"> 2 Corinthians 11:3.</w:t>
      </w:r>
    </w:p>
  </w:footnote>
  <w:footnote w:id="118">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9">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20">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21">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22">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23">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25">
    <w:p w14:paraId="0D68CC54" w14:textId="77777777" w:rsidR="00210409" w:rsidRDefault="00210409">
      <w:pPr>
        <w:pStyle w:val="FootnoteText"/>
      </w:pPr>
      <w:r>
        <w:rPr>
          <w:rStyle w:val="FootnoteReference"/>
        </w:rPr>
        <w:footnoteRef/>
      </w:r>
      <w:r>
        <w:t xml:space="preserve"> 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8">
    <w:p w14:paraId="0D68CC57" w14:textId="77777777" w:rsidR="00210409" w:rsidRDefault="00210409">
      <w:pPr>
        <w:pStyle w:val="FootnoteText"/>
      </w:pPr>
      <w:r>
        <w:rPr>
          <w:rStyle w:val="FootnoteReference"/>
        </w:rPr>
        <w:footnoteRef/>
      </w:r>
      <w:r>
        <w:t xml:space="preserve"> Int. p. xxxi.</w:t>
      </w:r>
    </w:p>
  </w:footnote>
  <w:footnote w:id="129">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30">
    <w:p w14:paraId="0D68CC59" w14:textId="77777777" w:rsidR="00210409" w:rsidRDefault="00210409">
      <w:pPr>
        <w:pStyle w:val="FootnoteText"/>
      </w:pPr>
      <w:r>
        <w:rPr>
          <w:rStyle w:val="FootnoteReference"/>
        </w:rPr>
        <w:footnoteRef/>
      </w:r>
      <w:r>
        <w:t xml:space="preserve"> Christian History in Three Great Periods, pp. 257, 58.</w:t>
      </w:r>
    </w:p>
  </w:footnote>
  <w:footnote w:id="131">
    <w:p w14:paraId="0D68CC5A" w14:textId="77777777" w:rsidR="00210409" w:rsidRDefault="00210409">
      <w:pPr>
        <w:pStyle w:val="FootnoteText"/>
      </w:pPr>
      <w:r>
        <w:rPr>
          <w:rStyle w:val="FootnoteReference"/>
        </w:rPr>
        <w:footnoteRef/>
      </w:r>
      <w:r>
        <w:t xml:space="preserve"> Bigg’s Platonists of Alexandria, pg. 58.</w:t>
      </w:r>
    </w:p>
  </w:footnote>
  <w:footnote w:id="132">
    <w:p w14:paraId="0D68CC5B" w14:textId="77777777" w:rsidR="00210409" w:rsidRDefault="00210409">
      <w:pPr>
        <w:pStyle w:val="FootnoteText"/>
      </w:pPr>
      <w:r>
        <w:rPr>
          <w:rStyle w:val="FootnoteReference"/>
        </w:rPr>
        <w:footnoteRef/>
      </w:r>
      <w:r>
        <w:t xml:space="preserve"> Grote’s Plato, Vol. III, xxxiii, pp. 56, 57.</w:t>
      </w:r>
    </w:p>
  </w:footnote>
  <w:footnote w:id="133">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34">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35">
    <w:p w14:paraId="0D68CC5E" w14:textId="77777777" w:rsidR="00210409" w:rsidRDefault="00210409">
      <w:pPr>
        <w:pStyle w:val="FootnoteText"/>
      </w:pPr>
      <w:r>
        <w:rPr>
          <w:rStyle w:val="FootnoteReference"/>
        </w:rPr>
        <w:footnoteRef/>
      </w:r>
      <w:r>
        <w:t xml:space="preserve"> See original pg. 56 for Greek. Stromata.</w:t>
      </w:r>
    </w:p>
  </w:footnote>
  <w:footnote w:id="136">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7">
    <w:p w14:paraId="0D68CC60" w14:textId="77777777" w:rsidR="00210409" w:rsidRDefault="00210409">
      <w:pPr>
        <w:pStyle w:val="FootnoteText"/>
      </w:pPr>
      <w:r>
        <w:rPr>
          <w:rStyle w:val="FootnoteReference"/>
        </w:rPr>
        <w:footnoteRef/>
      </w:r>
      <w:r>
        <w:t xml:space="preserve"> See pg. 56 for original note which includes Greek.</w:t>
      </w:r>
    </w:p>
  </w:footnote>
  <w:footnote w:id="138">
    <w:p w14:paraId="0D68CC61" w14:textId="77777777" w:rsidR="00210409" w:rsidRDefault="00210409">
      <w:pPr>
        <w:pStyle w:val="FootnoteText"/>
      </w:pPr>
      <w:r>
        <w:rPr>
          <w:rStyle w:val="FootnoteReference"/>
        </w:rPr>
        <w:footnoteRef/>
      </w:r>
      <w:r>
        <w:t xml:space="preserve"> Against Celsius; De Prin.</w:t>
      </w:r>
    </w:p>
  </w:footnote>
  <w:footnote w:id="139">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t>Neoplatonism</w:t>
      </w:r>
      <w:r w:rsidR="00502D45">
        <w:t>.</w:t>
      </w:r>
      <w:r>
        <w:t xml:space="preserve"> London: 1895, p. 339.</w:t>
      </w:r>
    </w:p>
  </w:footnote>
  <w:footnote w:id="141">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44">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45">
    <w:p w14:paraId="0D68CC68" w14:textId="77777777" w:rsidR="00210409" w:rsidRDefault="00210409">
      <w:pPr>
        <w:pStyle w:val="FootnoteText"/>
      </w:pPr>
      <w:r>
        <w:rPr>
          <w:rStyle w:val="FootnoteReference"/>
        </w:rPr>
        <w:footnoteRef/>
      </w:r>
      <w:r>
        <w:t xml:space="preserve"> Strom. VI.</w:t>
      </w:r>
    </w:p>
  </w:footnote>
  <w:footnote w:id="146">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7">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9">
    <w:p w14:paraId="0D68CC6C" w14:textId="77777777" w:rsidR="00210409" w:rsidRDefault="00210409">
      <w:pPr>
        <w:pStyle w:val="FootnoteText"/>
      </w:pPr>
      <w:r>
        <w:rPr>
          <w:rStyle w:val="FootnoteReference"/>
        </w:rPr>
        <w:footnoteRef/>
      </w:r>
      <w:r>
        <w:t xml:space="preserve"> Universalist Quarterly.</w:t>
      </w:r>
    </w:p>
  </w:footnote>
  <w:footnote w:id="150">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51">
    <w:p w14:paraId="0D68CC6E" w14:textId="77777777" w:rsidR="00210409" w:rsidRDefault="00210409">
      <w:pPr>
        <w:pStyle w:val="FootnoteText"/>
      </w:pPr>
      <w:r>
        <w:rPr>
          <w:rStyle w:val="FootnoteReference"/>
        </w:rPr>
        <w:footnoteRef/>
      </w:r>
      <w:r>
        <w:t xml:space="preserve"> Spirits in Prison, London, p. 25.</w:t>
      </w:r>
    </w:p>
  </w:footnote>
  <w:footnote w:id="152">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77777777" w:rsidR="00210409" w:rsidRDefault="00210409">
      <w:pPr>
        <w:pStyle w:val="FootnoteText"/>
      </w:pPr>
      <w:r>
        <w:rPr>
          <w:rStyle w:val="FootnoteReference"/>
        </w:rPr>
        <w:footnoteRef/>
      </w:r>
      <w:r>
        <w:t xml:space="preserve"> “Neoplatonism,” by C. Bigg, p. 334.</w:t>
      </w:r>
    </w:p>
  </w:footnote>
  <w:footnote w:id="154">
    <w:p w14:paraId="0D68CC71" w14:textId="77777777" w:rsidR="00210409" w:rsidRDefault="00210409">
      <w:pPr>
        <w:pStyle w:val="FootnoteText"/>
      </w:pPr>
      <w:r>
        <w:rPr>
          <w:rStyle w:val="FootnoteReference"/>
        </w:rPr>
        <w:footnoteRef/>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77777777" w:rsidR="00210409" w:rsidRDefault="00210409">
      <w:pPr>
        <w:pStyle w:val="FootnoteText"/>
      </w:pPr>
      <w:r>
        <w:rPr>
          <w:rStyle w:val="FootnoteReference"/>
        </w:rPr>
        <w:footnoteRef/>
      </w:r>
      <w:r>
        <w:t xml:space="preserve"> Anc. Hist. Univ., Note.</w:t>
      </w:r>
    </w:p>
  </w:footnote>
  <w:footnote w:id="157">
    <w:p w14:paraId="0D68CC74" w14:textId="77777777" w:rsidR="00210409" w:rsidRDefault="00210409">
      <w:pPr>
        <w:pStyle w:val="FootnoteText"/>
      </w:pPr>
      <w:r>
        <w:rPr>
          <w:rStyle w:val="FootnoteReference"/>
        </w:rPr>
        <w:footnoteRef/>
      </w:r>
      <w:r>
        <w:t xml:space="preserve"> Univ. Asserted, p. 105.</w:t>
      </w:r>
    </w:p>
  </w:footnote>
  <w:footnote w:id="158">
    <w:p w14:paraId="0D68CC75" w14:textId="77777777" w:rsidR="00210409" w:rsidRDefault="00210409">
      <w:pPr>
        <w:pStyle w:val="FootnoteText"/>
      </w:pPr>
      <w:r>
        <w:rPr>
          <w:rStyle w:val="FootnoteReference"/>
        </w:rPr>
        <w:footnoteRef/>
      </w:r>
      <w:r>
        <w:t xml:space="preserve"> See pg. 74 of the original for Greek footnote.</w:t>
      </w:r>
    </w:p>
  </w:footnote>
  <w:footnote w:id="159">
    <w:p w14:paraId="0D68CC76" w14:textId="77777777" w:rsidR="00210409" w:rsidRDefault="00210409">
      <w:pPr>
        <w:pStyle w:val="FootnoteText"/>
      </w:pPr>
      <w:r>
        <w:rPr>
          <w:rStyle w:val="FootnoteReference"/>
        </w:rPr>
        <w:footnoteRef/>
      </w:r>
      <w:r>
        <w:t xml:space="preserve"> Williams &amp; Norgate, London, 1880.</w:t>
      </w:r>
    </w:p>
  </w:footnote>
  <w:footnote w:id="160">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61">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62">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63">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64">
    <w:p w14:paraId="0D68CC7A" w14:textId="77777777" w:rsidR="00210409" w:rsidRDefault="00210409">
      <w:pPr>
        <w:pStyle w:val="FootnoteText"/>
      </w:pPr>
      <w:r>
        <w:rPr>
          <w:rStyle w:val="FootnoteReference"/>
        </w:rPr>
        <w:footnoteRef/>
      </w:r>
      <w:r>
        <w:t xml:space="preserve"> Lives of the Fathers, p. 112.</w:t>
      </w:r>
    </w:p>
  </w:footnote>
  <w:footnote w:id="165">
    <w:p w14:paraId="0D68CC7B" w14:textId="77777777" w:rsidR="00210409" w:rsidRDefault="00210409">
      <w:pPr>
        <w:pStyle w:val="FootnoteText"/>
      </w:pPr>
      <w:r>
        <w:rPr>
          <w:rStyle w:val="FootnoteReference"/>
        </w:rPr>
        <w:footnoteRef/>
      </w:r>
      <w:r>
        <w:t xml:space="preserve"> 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8">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5231BB7A" w:rsidR="00210409" w:rsidRDefault="00210409">
      <w:pPr>
        <w:pStyle w:val="FootnoteText"/>
      </w:pPr>
      <w:r>
        <w:rPr>
          <w:rStyle w:val="FootnoteReference"/>
        </w:rPr>
        <w:footnoteRef/>
      </w:r>
      <w:r>
        <w:t xml:space="preserve"> Schaff’s.</w:t>
      </w:r>
    </w:p>
  </w:footnote>
  <w:footnote w:id="171">
    <w:p w14:paraId="0D68CC7F" w14:textId="77777777" w:rsidR="00210409" w:rsidRDefault="00210409">
      <w:pPr>
        <w:pStyle w:val="FootnoteText"/>
      </w:pPr>
      <w:r>
        <w:rPr>
          <w:rStyle w:val="FootnoteReference"/>
        </w:rPr>
        <w:footnoteRef/>
      </w:r>
      <w:r>
        <w:t xml:space="preserve"> Vol. I, pg. 490.</w:t>
      </w:r>
    </w:p>
  </w:footnote>
  <w:footnote w:id="172">
    <w:p w14:paraId="0D68CC80" w14:textId="77777777" w:rsidR="00210409" w:rsidRDefault="00210409">
      <w:pPr>
        <w:pStyle w:val="FootnoteText"/>
      </w:pPr>
      <w:r>
        <w:rPr>
          <w:rStyle w:val="FootnoteReference"/>
        </w:rPr>
        <w:footnoteRef/>
      </w:r>
      <w:r>
        <w:t xml:space="preserve"> See original, pg. 86 for Greek.</w:t>
      </w:r>
    </w:p>
  </w:footnote>
  <w:footnote w:id="173">
    <w:p w14:paraId="0D68CC81" w14:textId="77777777" w:rsidR="00210409" w:rsidRDefault="00210409">
      <w:pPr>
        <w:pStyle w:val="FootnoteText"/>
      </w:pPr>
      <w:r>
        <w:rPr>
          <w:rStyle w:val="FootnoteReference"/>
        </w:rPr>
        <w:footnoteRef/>
      </w:r>
      <w:r>
        <w:t xml:space="preserve"> See original, pg. 86 for Greek.</w:t>
      </w:r>
    </w:p>
  </w:footnote>
  <w:footnote w:id="174">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75">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77777777" w:rsidR="00210409" w:rsidRDefault="00210409">
      <w:pPr>
        <w:pStyle w:val="FootnoteText"/>
      </w:pPr>
      <w:r>
        <w:rPr>
          <w:rStyle w:val="FootnoteReference"/>
        </w:rPr>
        <w:footnoteRef/>
      </w:r>
      <w:r>
        <w:t xml:space="preserve"> Vol. I, pp. 271-2.</w:t>
      </w:r>
    </w:p>
  </w:footnote>
  <w:footnote w:id="178">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9">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80">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81">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82">
    <w:p w14:paraId="0D68CC8A" w14:textId="77777777" w:rsidR="00210409" w:rsidRDefault="00210409">
      <w:pPr>
        <w:pStyle w:val="FootnoteText"/>
      </w:pPr>
      <w:r>
        <w:rPr>
          <w:rStyle w:val="FootnoteReference"/>
        </w:rPr>
        <w:footnoteRef/>
      </w:r>
      <w:r>
        <w:t xml:space="preserve"> “Neoplatonism” by Rev. Dr. Charles Bigg.</w:t>
      </w:r>
    </w:p>
  </w:footnote>
  <w:footnote w:id="183">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84">
    <w:p w14:paraId="0D68CC8C" w14:textId="77777777" w:rsidR="00210409" w:rsidRDefault="00210409">
      <w:pPr>
        <w:pStyle w:val="FootnoteText"/>
      </w:pPr>
      <w:r>
        <w:rPr>
          <w:rStyle w:val="FootnoteReference"/>
        </w:rPr>
        <w:footnoteRef/>
      </w:r>
      <w:r>
        <w:t xml:space="preserve"> Outlines of the History of Dogma, pp. 68-69.</w:t>
      </w:r>
    </w:p>
  </w:footnote>
  <w:footnote w:id="185">
    <w:p w14:paraId="0D68CC8D" w14:textId="77777777" w:rsidR="00210409" w:rsidRDefault="00210409">
      <w:pPr>
        <w:pStyle w:val="FootnoteText"/>
      </w:pPr>
      <w:r>
        <w:rPr>
          <w:rStyle w:val="FootnoteReference"/>
        </w:rPr>
        <w:footnoteRef/>
      </w:r>
      <w:r>
        <w:t xml:space="preserve"> See pg. 96 in original for Greek.</w:t>
      </w:r>
    </w:p>
  </w:footnote>
  <w:footnote w:id="186">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7">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8">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9">
    <w:p w14:paraId="0D68CC91" w14:textId="77777777" w:rsidR="00210409" w:rsidRDefault="00210409">
      <w:pPr>
        <w:pStyle w:val="FootnoteText"/>
      </w:pPr>
      <w:r>
        <w:rPr>
          <w:rStyle w:val="FootnoteReference"/>
        </w:rPr>
        <w:footnoteRef/>
      </w:r>
      <w:r>
        <w:t xml:space="preserve"> William J. Deane, Pseudepigrapha, pg. 329.</w:t>
      </w:r>
    </w:p>
  </w:footnote>
  <w:footnote w:id="190">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91">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92">
    <w:p w14:paraId="0D68CC94" w14:textId="77777777" w:rsidR="00210409" w:rsidRDefault="00210409">
      <w:pPr>
        <w:pStyle w:val="FootnoteText"/>
      </w:pPr>
      <w:r>
        <w:rPr>
          <w:rStyle w:val="FootnoteReference"/>
        </w:rPr>
        <w:footnoteRef/>
      </w:r>
      <w:r>
        <w:t xml:space="preserve"> 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77777777" w:rsidR="00210409" w:rsidRDefault="00210409">
      <w:pPr>
        <w:pStyle w:val="FootnoteText"/>
      </w:pPr>
      <w:r>
        <w:rPr>
          <w:rStyle w:val="FootnoteReference"/>
        </w:rPr>
        <w:footnoteRef/>
      </w:r>
      <w:r>
        <w:t xml:space="preserve"> Strom. I; 7.</w:t>
      </w:r>
    </w:p>
  </w:footnote>
  <w:footnote w:id="203">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204">
    <w:p w14:paraId="0D68CC9F" w14:textId="77777777" w:rsidR="00210409" w:rsidRDefault="00210409">
      <w:pPr>
        <w:pStyle w:val="FootnoteText"/>
      </w:pPr>
      <w:r>
        <w:rPr>
          <w:rStyle w:val="FootnoteReference"/>
        </w:rPr>
        <w:footnoteRef/>
      </w:r>
      <w:r>
        <w:t xml:space="preserve"> Theosophy or Psychological Religion, Preface, p. xiv.</w:t>
      </w:r>
    </w:p>
  </w:footnote>
  <w:footnote w:id="205">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7">
    <w:p w14:paraId="0D68CCA2" w14:textId="77777777" w:rsidR="00210409" w:rsidRDefault="00210409">
      <w:pPr>
        <w:pStyle w:val="FootnoteText"/>
      </w:pPr>
      <w:r>
        <w:rPr>
          <w:rStyle w:val="FootnoteReference"/>
        </w:rPr>
        <w:footnoteRef/>
      </w:r>
      <w:r>
        <w:t xml:space="preserve"> See pg. 117 for Greek. Strom. VII, vi.</w:t>
      </w:r>
    </w:p>
  </w:footnote>
  <w:footnote w:id="208">
    <w:p w14:paraId="62F54D28" w14:textId="77777777" w:rsidR="00F952BC" w:rsidRDefault="00F952BC" w:rsidP="00F952BC">
      <w:pPr>
        <w:pStyle w:val="FootnoteText"/>
      </w:pPr>
      <w:r>
        <w:rPr>
          <w:rStyle w:val="FootnoteReference"/>
        </w:rPr>
        <w:footnoteRef/>
      </w:r>
      <w:r>
        <w:t xml:space="preserve"> VI, vi; VII, xvi; VI, xiv; VII, ii.</w:t>
      </w:r>
    </w:p>
  </w:footnote>
  <w:footnote w:id="209">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10">
    <w:p w14:paraId="0D68CCA5" w14:textId="77777777" w:rsidR="00210409" w:rsidRDefault="00210409">
      <w:pPr>
        <w:pStyle w:val="FootnoteText"/>
      </w:pPr>
      <w:r>
        <w:rPr>
          <w:rStyle w:val="FootnoteReference"/>
        </w:rPr>
        <w:footnoteRef/>
      </w:r>
      <w:r>
        <w:t xml:space="preserve"> Strom. IV, xxiv.</w:t>
      </w:r>
    </w:p>
  </w:footnote>
  <w:footnote w:id="211">
    <w:p w14:paraId="0D68CCA6" w14:textId="77777777" w:rsidR="00210409" w:rsidRDefault="00210409">
      <w:pPr>
        <w:pStyle w:val="FootnoteText"/>
      </w:pPr>
      <w:r>
        <w:rPr>
          <w:rStyle w:val="FootnoteReference"/>
        </w:rPr>
        <w:footnoteRef/>
      </w:r>
      <w:r>
        <w:t xml:space="preserve"> Quoted by Neander.</w:t>
      </w:r>
    </w:p>
  </w:footnote>
  <w:footnote w:id="212">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13">
    <w:p w14:paraId="0D68CCA8" w14:textId="77777777" w:rsidR="00210409" w:rsidRDefault="00210409">
      <w:pPr>
        <w:pStyle w:val="FootnoteText"/>
      </w:pPr>
      <w:r>
        <w:rPr>
          <w:rStyle w:val="FootnoteReference"/>
        </w:rPr>
        <w:footnoteRef/>
      </w:r>
      <w:r>
        <w:t xml:space="preserve"> See pg. 120 in original for Greek.</w:t>
      </w:r>
    </w:p>
  </w:footnote>
  <w:footnote w:id="214">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15">
    <w:p w14:paraId="0D68CCAA" w14:textId="77777777" w:rsidR="00210409" w:rsidRDefault="00210409">
      <w:pPr>
        <w:pStyle w:val="FootnoteText"/>
      </w:pPr>
      <w:r>
        <w:rPr>
          <w:rStyle w:val="FootnoteReference"/>
        </w:rPr>
        <w:footnoteRef/>
      </w:r>
      <w:r>
        <w:t xml:space="preserve"> Christian Platonists, pp. 75, 89, 112.</w:t>
      </w:r>
    </w:p>
  </w:footnote>
  <w:footnote w:id="216">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77777777" w:rsidR="00210409" w:rsidRDefault="00210409">
      <w:pPr>
        <w:pStyle w:val="FootnoteText"/>
      </w:pPr>
      <w:r>
        <w:rPr>
          <w:rStyle w:val="FootnoteReference"/>
        </w:rPr>
        <w:footnoteRef/>
      </w:r>
      <w:r>
        <w:t xml:space="preserve"> Church Hist. First Three Centuries.</w:t>
      </w:r>
    </w:p>
  </w:footnote>
  <w:footnote w:id="218">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9">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7777777" w:rsidR="00210409" w:rsidRDefault="00210409">
      <w:pPr>
        <w:pStyle w:val="FootnoteText"/>
      </w:pPr>
      <w:r>
        <w:rPr>
          <w:rStyle w:val="FootnoteReference"/>
        </w:rPr>
        <w:footnoteRef/>
      </w:r>
      <w:r>
        <w:t xml:space="preserve"> Church of the First Three Centuries, p. 158.</w:t>
      </w:r>
    </w:p>
  </w:footnote>
  <w:footnote w:id="221">
    <w:p w14:paraId="0D68CCB0" w14:textId="77777777" w:rsidR="00210409" w:rsidRDefault="00210409">
      <w:pPr>
        <w:pStyle w:val="FootnoteText"/>
      </w:pPr>
      <w:r>
        <w:rPr>
          <w:rStyle w:val="FootnoteReference"/>
        </w:rPr>
        <w:footnoteRef/>
      </w:r>
      <w:r>
        <w:t xml:space="preserve"> Continuity of Christian Thought, p. 19.</w:t>
      </w:r>
    </w:p>
  </w:footnote>
  <w:footnote w:id="222">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77777777" w:rsidR="00210409" w:rsidRDefault="00210409">
      <w:pPr>
        <w:pStyle w:val="FootnoteText"/>
      </w:pPr>
      <w:r>
        <w:rPr>
          <w:rStyle w:val="FootnoteReference"/>
        </w:rPr>
        <w:footnoteRef/>
      </w:r>
      <w:r>
        <w:t xml:space="preserve"> Hist. Christ. Church, I, pp. 54-55.</w:t>
      </w:r>
    </w:p>
  </w:footnote>
  <w:footnote w:id="225">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6">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7">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8">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9">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30">
    <w:p w14:paraId="0D68CCB9" w14:textId="77777777" w:rsidR="00210409" w:rsidRDefault="00210409">
      <w:pPr>
        <w:pStyle w:val="FootnoteText"/>
      </w:pPr>
      <w:r>
        <w:rPr>
          <w:rStyle w:val="FootnoteReference"/>
        </w:rPr>
        <w:footnoteRef/>
      </w:r>
      <w:r>
        <w:t xml:space="preserve"> Neoplatonism, by C. Bigg, D. D., London, 1895, pg. 163.</w:t>
      </w:r>
    </w:p>
  </w:footnote>
  <w:footnote w:id="231">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32">
    <w:p w14:paraId="0D68CCBB" w14:textId="77777777" w:rsidR="00210409" w:rsidRDefault="00210409">
      <w:pPr>
        <w:pStyle w:val="FootnoteText"/>
      </w:pPr>
      <w:r>
        <w:rPr>
          <w:rStyle w:val="FootnoteReference"/>
        </w:rPr>
        <w:footnoteRef/>
      </w:r>
      <w:r>
        <w:t xml:space="preserve"> See pg. 140 for Greek original.</w:t>
      </w:r>
    </w:p>
  </w:footnote>
  <w:footnote w:id="233">
    <w:p w14:paraId="0D68CCBC" w14:textId="5966EDDD"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D" w14:textId="77777777" w:rsidR="00210409" w:rsidRDefault="00210409">
      <w:pPr>
        <w:pStyle w:val="FootnoteText"/>
      </w:pPr>
      <w:r>
        <w:rPr>
          <w:rStyle w:val="FootnoteReference"/>
        </w:rPr>
        <w:footnoteRef/>
      </w:r>
      <w:r>
        <w:t xml:space="preserve"> See original pg. 142 for Greek.</w:t>
      </w:r>
    </w:p>
  </w:footnote>
  <w:footnote w:id="235">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6">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7">
    <w:p w14:paraId="0D68CCC0" w14:textId="77777777" w:rsidR="00210409" w:rsidRDefault="00210409">
      <w:pPr>
        <w:pStyle w:val="FootnoteText"/>
      </w:pPr>
      <w:r>
        <w:rPr>
          <w:rStyle w:val="FootnoteReference"/>
        </w:rPr>
        <w:footnoteRef/>
      </w:r>
      <w:r>
        <w:t xml:space="preserve"> De Prin. I, vi: 1, 2.</w:t>
      </w:r>
    </w:p>
  </w:footnote>
  <w:footnote w:id="238">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9">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40">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41">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2">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3">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4">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45">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6">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7">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8">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9">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50">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51">
    <w:p w14:paraId="0D68CCCE" w14:textId="77777777" w:rsidR="00210409" w:rsidRDefault="00210409">
      <w:pPr>
        <w:pStyle w:val="FootnoteText"/>
      </w:pPr>
      <w:r>
        <w:rPr>
          <w:rStyle w:val="FootnoteReference"/>
        </w:rPr>
        <w:footnoteRef/>
      </w:r>
      <w:r>
        <w:t xml:space="preserve"> Com. II, pp. 194, 195.</w:t>
      </w:r>
    </w:p>
  </w:footnote>
  <w:footnote w:id="252">
    <w:p w14:paraId="0D68CCCF" w14:textId="77777777" w:rsidR="00210409" w:rsidRDefault="00210409">
      <w:pPr>
        <w:pStyle w:val="FootnoteText"/>
      </w:pPr>
      <w:r>
        <w:rPr>
          <w:rStyle w:val="FootnoteReference"/>
        </w:rPr>
        <w:footnoteRef/>
      </w:r>
      <w:r>
        <w:t xml:space="preserve"> Hist. Christ. Church, I, p. 114.</w:t>
      </w:r>
    </w:p>
  </w:footnote>
  <w:footnote w:id="253">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4">
    <w:p w14:paraId="0D68CCD1" w14:textId="77777777" w:rsidR="00210409" w:rsidRDefault="00210409">
      <w:pPr>
        <w:pStyle w:val="FootnoteText"/>
      </w:pPr>
      <w:r>
        <w:rPr>
          <w:rStyle w:val="FootnoteReference"/>
        </w:rPr>
        <w:footnoteRef/>
      </w:r>
      <w:r>
        <w:t xml:space="preserve"> Article is written by Dr. A.W.W. Dale.</w:t>
      </w:r>
    </w:p>
  </w:footnote>
  <w:footnote w:id="255">
    <w:p w14:paraId="0D68CCD2" w14:textId="77777777" w:rsidR="00210409" w:rsidRDefault="00210409">
      <w:pPr>
        <w:pStyle w:val="FootnoteText"/>
      </w:pPr>
      <w:r>
        <w:rPr>
          <w:rStyle w:val="FootnoteReference"/>
        </w:rPr>
        <w:footnoteRef/>
      </w:r>
      <w:r>
        <w:t xml:space="preserve"> Ante-Nicene Library, Edinburgh, 1872.</w:t>
      </w:r>
    </w:p>
  </w:footnote>
  <w:footnote w:id="256">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7">
    <w:p w14:paraId="0D68CCD4" w14:textId="77777777" w:rsidR="00210409" w:rsidRDefault="00210409">
      <w:pPr>
        <w:pStyle w:val="FootnoteText"/>
      </w:pPr>
      <w:r>
        <w:rPr>
          <w:rStyle w:val="FootnoteReference"/>
        </w:rPr>
        <w:footnoteRef/>
      </w:r>
      <w:r>
        <w:t xml:space="preserve"> De Prin. III, v.</w:t>
      </w:r>
    </w:p>
  </w:footnote>
  <w:footnote w:id="258">
    <w:p w14:paraId="0D68CCD5" w14:textId="77777777" w:rsidR="00210409" w:rsidRDefault="00210409">
      <w:pPr>
        <w:pStyle w:val="FootnoteText"/>
      </w:pPr>
      <w:r>
        <w:rPr>
          <w:rStyle w:val="FootnoteReference"/>
        </w:rPr>
        <w:footnoteRef/>
      </w:r>
      <w:r>
        <w:t xml:space="preserve"> De Prin. III, vi.</w:t>
      </w:r>
    </w:p>
  </w:footnote>
  <w:footnote w:id="259">
    <w:p w14:paraId="0D68CCD6" w14:textId="77777777" w:rsidR="00210409" w:rsidRDefault="00210409">
      <w:pPr>
        <w:pStyle w:val="FootnoteText"/>
      </w:pPr>
      <w:r>
        <w:rPr>
          <w:rStyle w:val="FootnoteReference"/>
        </w:rPr>
        <w:footnoteRef/>
      </w:r>
      <w:r>
        <w:t xml:space="preserve"> De Prin. II, v:1-4.</w:t>
      </w:r>
    </w:p>
  </w:footnote>
  <w:footnote w:id="260">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61">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2">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3">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4">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65">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6">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7">
    <w:p w14:paraId="0D68CCDE" w14:textId="77777777" w:rsidR="00210409" w:rsidRDefault="00210409">
      <w:pPr>
        <w:pStyle w:val="FootnoteText"/>
      </w:pPr>
      <w:r>
        <w:rPr>
          <w:rStyle w:val="FootnoteReference"/>
        </w:rPr>
        <w:footnoteRef/>
      </w:r>
      <w:r>
        <w:t xml:space="preserve"> Holy Eastern Church, p. 37.</w:t>
      </w:r>
    </w:p>
  </w:footnote>
  <w:footnote w:id="268">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9">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70">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71">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2">
    <w:p w14:paraId="0D68CCE3" w14:textId="77777777" w:rsidR="00210409" w:rsidRDefault="00210409">
      <w:pPr>
        <w:pStyle w:val="FootnoteText"/>
      </w:pPr>
      <w:r>
        <w:rPr>
          <w:rStyle w:val="FootnoteReference"/>
        </w:rPr>
        <w:footnoteRef/>
      </w:r>
      <w:r>
        <w:t xml:space="preserve"> Christ. Plat. Of Alex., p. 308.</w:t>
      </w:r>
    </w:p>
  </w:footnote>
  <w:footnote w:id="273">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74">
    <w:p w14:paraId="0D68CCE5" w14:textId="77777777" w:rsidR="00210409" w:rsidRDefault="00210409">
      <w:pPr>
        <w:pStyle w:val="FootnoteText"/>
      </w:pPr>
      <w:r>
        <w:rPr>
          <w:rStyle w:val="FootnoteReference"/>
        </w:rPr>
        <w:footnoteRef/>
      </w:r>
      <w:r>
        <w:t xml:space="preserve"> Bunsen, pp. 326-327.</w:t>
      </w:r>
    </w:p>
  </w:footnote>
  <w:footnote w:id="275">
    <w:p w14:paraId="0D68CCE6" w14:textId="77777777" w:rsidR="00210409" w:rsidRDefault="00210409">
      <w:pPr>
        <w:pStyle w:val="FootnoteText"/>
      </w:pPr>
      <w:r>
        <w:rPr>
          <w:rStyle w:val="FootnoteReference"/>
        </w:rPr>
        <w:footnoteRef/>
      </w:r>
      <w:r>
        <w:t xml:space="preserve"> Essays, pp. 236-252.</w:t>
      </w:r>
    </w:p>
  </w:footnote>
  <w:footnote w:id="276">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7">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8">
    <w:p w14:paraId="0D68CCE9" w14:textId="77777777" w:rsidR="00210409" w:rsidRDefault="00210409">
      <w:pPr>
        <w:pStyle w:val="FootnoteText"/>
      </w:pPr>
      <w:r>
        <w:rPr>
          <w:rStyle w:val="FootnoteReference"/>
        </w:rPr>
        <w:footnoteRef/>
      </w:r>
      <w:r>
        <w:t xml:space="preserve"> Theos. Or Psych. Rel. Lect. XIII.</w:t>
      </w:r>
    </w:p>
  </w:footnote>
  <w:footnote w:id="279">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80">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81">
    <w:p w14:paraId="0D68CCEC" w14:textId="77777777" w:rsidR="00210409" w:rsidRDefault="00210409">
      <w:pPr>
        <w:pStyle w:val="FootnoteText"/>
      </w:pPr>
      <w:r>
        <w:rPr>
          <w:rStyle w:val="FootnoteReference"/>
        </w:rPr>
        <w:footnoteRef/>
      </w:r>
      <w:r>
        <w:t xml:space="preserve"> See pg. 190 of original.</w:t>
      </w:r>
    </w:p>
  </w:footnote>
  <w:footnote w:id="282">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83">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4">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5">
    <w:p w14:paraId="0D68CCF0" w14:textId="77777777" w:rsidR="00210409" w:rsidRDefault="00210409">
      <w:pPr>
        <w:pStyle w:val="FootnoteText"/>
      </w:pPr>
      <w:r>
        <w:rPr>
          <w:rStyle w:val="FootnoteReference"/>
        </w:rPr>
        <w:footnoteRef/>
      </w:r>
      <w:r>
        <w:t xml:space="preserve"> Oxford Tracts for the Times, No. XVII.</w:t>
      </w:r>
    </w:p>
  </w:footnote>
  <w:footnote w:id="286">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7">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8">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90">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77777777" w:rsidR="00210409" w:rsidRDefault="00210409">
      <w:pPr>
        <w:pStyle w:val="FootnoteText"/>
      </w:pPr>
      <w:r>
        <w:rPr>
          <w:rStyle w:val="FootnoteReference"/>
        </w:rPr>
        <w:footnoteRef/>
      </w:r>
      <w:r>
        <w:t xml:space="preserve"> Vol. II, pp. 414-416.</w:t>
      </w:r>
    </w:p>
  </w:footnote>
  <w:footnote w:id="292">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93">
    <w:p w14:paraId="0D68CCF8" w14:textId="77777777" w:rsidR="00210409" w:rsidRDefault="00210409">
      <w:pPr>
        <w:pStyle w:val="FootnoteText"/>
      </w:pPr>
      <w:r>
        <w:rPr>
          <w:rStyle w:val="FootnoteReference"/>
        </w:rPr>
        <w:footnoteRef/>
      </w:r>
      <w:r>
        <w:t xml:space="preserve"> P. 349, note.</w:t>
      </w:r>
    </w:p>
  </w:footnote>
  <w:footnote w:id="294">
    <w:p w14:paraId="0D68CCF9" w14:textId="77777777" w:rsidR="00210409" w:rsidRDefault="00210409">
      <w:pPr>
        <w:pStyle w:val="FootnoteText"/>
      </w:pPr>
      <w:r>
        <w:rPr>
          <w:rStyle w:val="FootnoteReference"/>
        </w:rPr>
        <w:footnoteRef/>
      </w:r>
      <w:r>
        <w:t xml:space="preserve"> Vol. II, pg. 676.</w:t>
      </w:r>
    </w:p>
  </w:footnote>
  <w:footnote w:id="295">
    <w:p w14:paraId="0D68CCFA" w14:textId="77777777" w:rsidR="00210409" w:rsidRDefault="00210409">
      <w:pPr>
        <w:pStyle w:val="FootnoteText"/>
      </w:pPr>
      <w:r>
        <w:rPr>
          <w:rStyle w:val="FootnoteReference"/>
        </w:rPr>
        <w:footnoteRef/>
      </w:r>
      <w:r>
        <w:t xml:space="preserve"> Eusebius, VI:26.</w:t>
      </w:r>
    </w:p>
  </w:footnote>
  <w:footnote w:id="296">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7">
    <w:p w14:paraId="0D68CCFC" w14:textId="77777777" w:rsidR="00210409" w:rsidRDefault="00210409">
      <w:pPr>
        <w:pStyle w:val="FootnoteText"/>
      </w:pPr>
      <w:r>
        <w:rPr>
          <w:rStyle w:val="FootnoteReference"/>
        </w:rPr>
        <w:footnoteRef/>
      </w:r>
      <w:r>
        <w:t xml:space="preserve"> Routh, Rel. Sac., III, p. 498. Oxford ed., 1846.</w:t>
      </w:r>
    </w:p>
  </w:footnote>
  <w:footnote w:id="298">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9">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7777777" w:rsidR="00210409" w:rsidRDefault="00210409">
      <w:pPr>
        <w:pStyle w:val="FootnoteText"/>
      </w:pPr>
      <w:r>
        <w:rPr>
          <w:rStyle w:val="FootnoteReference"/>
        </w:rPr>
        <w:footnoteRef/>
      </w:r>
      <w:r>
        <w:t xml:space="preserve"> Dictionary of Christian Biography, II, p. 150.</w:t>
      </w:r>
    </w:p>
  </w:footnote>
  <w:footnote w:id="304">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6">
    <w:p w14:paraId="0D68CD05" w14:textId="77777777" w:rsidR="00210409" w:rsidRDefault="00210409">
      <w:pPr>
        <w:pStyle w:val="FootnoteText"/>
      </w:pPr>
      <w:r>
        <w:rPr>
          <w:rStyle w:val="FootnoteReference"/>
        </w:rPr>
        <w:footnoteRef/>
      </w:r>
      <w:r>
        <w:t xml:space="preserve"> See pg. 212 in original.</w:t>
      </w:r>
    </w:p>
  </w:footnote>
  <w:footnote w:id="307">
    <w:p w14:paraId="0D68CD06" w14:textId="77777777" w:rsidR="00210409" w:rsidRDefault="00210409">
      <w:pPr>
        <w:pStyle w:val="FootnoteText"/>
      </w:pPr>
      <w:r>
        <w:rPr>
          <w:rStyle w:val="FootnoteReference"/>
        </w:rPr>
        <w:footnoteRef/>
      </w:r>
      <w:r>
        <w:t xml:space="preserve"> See pg. 212 in original.</w:t>
      </w:r>
    </w:p>
  </w:footnote>
  <w:footnote w:id="308">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77777777" w:rsidR="00210409" w:rsidRDefault="00210409">
      <w:pPr>
        <w:pStyle w:val="FootnoteText"/>
      </w:pPr>
      <w:r>
        <w:rPr>
          <w:rStyle w:val="FootnoteReference"/>
        </w:rPr>
        <w:footnoteRef/>
      </w:r>
      <w:r>
        <w:t xml:space="preserve"> See Newman’s Hist. Essays, Vol. III.</w:t>
      </w:r>
    </w:p>
  </w:footnote>
  <w:footnote w:id="310">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11">
    <w:p w14:paraId="0D68CD0A" w14:textId="77777777" w:rsidR="00210409" w:rsidRDefault="00210409">
      <w:pPr>
        <w:pStyle w:val="FootnoteText"/>
      </w:pPr>
      <w:r>
        <w:rPr>
          <w:rStyle w:val="FootnoteReference"/>
        </w:rPr>
        <w:footnoteRef/>
      </w:r>
      <w:r>
        <w:t xml:space="preserve"> See pg. 215 in original.</w:t>
      </w:r>
    </w:p>
  </w:footnote>
  <w:footnote w:id="312">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3">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9">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20">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6">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2">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6">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9">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2">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5">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6">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3">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6">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5">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6">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9">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0">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0">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2">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7">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408FF"/>
    <w:rsid w:val="0035026F"/>
    <w:rsid w:val="00353C2B"/>
    <w:rsid w:val="00362398"/>
    <w:rsid w:val="00377200"/>
    <w:rsid w:val="0038627A"/>
    <w:rsid w:val="003A062F"/>
    <w:rsid w:val="003A0864"/>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057D"/>
    <w:rsid w:val="007E65C8"/>
    <w:rsid w:val="007F461A"/>
    <w:rsid w:val="00807897"/>
    <w:rsid w:val="008262B2"/>
    <w:rsid w:val="00844304"/>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7D55"/>
    <w:rsid w:val="00C03035"/>
    <w:rsid w:val="00C04506"/>
    <w:rsid w:val="00C07A79"/>
    <w:rsid w:val="00C11F5A"/>
    <w:rsid w:val="00C12855"/>
    <w:rsid w:val="00C138BA"/>
    <w:rsid w:val="00C14DBE"/>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188</Pages>
  <Words>71393</Words>
  <Characters>406943</Characters>
  <Application>Microsoft Office Word</Application>
  <DocSecurity>0</DocSecurity>
  <Lines>3391</Lines>
  <Paragraphs>954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34</cp:revision>
  <cp:lastPrinted>2022-11-05T15:35:00Z</cp:lastPrinted>
  <dcterms:created xsi:type="dcterms:W3CDTF">2021-12-30T21:50:00Z</dcterms:created>
  <dcterms:modified xsi:type="dcterms:W3CDTF">2022-11-05T18:39:00Z</dcterms:modified>
</cp:coreProperties>
</file>