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38" w:name="_Toc118540344"/>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39" w:name="_Toc118540345"/>
      <w:r>
        <w:rPr>
          <w:rFonts w:ascii="Bookman Old Style" w:hAnsi="Bookman Old Style"/>
        </w:rPr>
        <w:t xml:space="preserve">The </w:t>
      </w:r>
      <w:r w:rsidR="00BC7E06"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40" w:name="_Toc118540346"/>
      <w:r>
        <w:rPr>
          <w:rFonts w:ascii="Bookman Old Style" w:hAnsi="Bookman Old Style"/>
        </w:rPr>
        <w:t xml:space="preserve">The </w:t>
      </w:r>
      <w:r w:rsidR="00BC7E06"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r>
        <w:t>Phases of Gnosticism.</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203A7C6C" w14:textId="3FC56D23" w:rsidR="00B44D23" w:rsidRPr="002F5DC5" w:rsidRDefault="00B44D23" w:rsidP="00B44D23">
      <w:pPr>
        <w:pStyle w:val="Heading2"/>
      </w:pPr>
      <w:r>
        <w:t>Noteworthy Facts.</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r>
        <w:t>The Righteous Pray for the Wicked.</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r>
        <w:t>The Oracles are Early Christian Classics.</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r>
        <w:t xml:space="preserve">Sir John </w:t>
      </w:r>
      <w:proofErr w:type="spellStart"/>
      <w:r>
        <w:t>Floyer’s</w:t>
      </w:r>
      <w:proofErr w:type="spellEnd"/>
      <w:r>
        <w:t xml:space="preserve"> Blunder.</w:t>
      </w:r>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bookmarkEnd w:id="44"/>
      <w:r w:rsidR="00EE0823">
        <w:rPr>
          <w:rFonts w:ascii="Bookman Old Style" w:hAnsi="Bookman Old Style"/>
        </w:rPr>
        <w:t>”</w:t>
      </w:r>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45" w:name="_Toc118540351"/>
      <w:r>
        <w:rPr>
          <w:rFonts w:ascii="Bookman Old Style" w:hAnsi="Bookman Old Style"/>
        </w:rPr>
        <w:t>The Famous Alexandrine School</w:t>
      </w:r>
      <w:r w:rsidR="00FA51B5" w:rsidRPr="002F5DC5">
        <w:rPr>
          <w:rFonts w:ascii="Bookman Old Style" w:hAnsi="Bookman Old Style"/>
        </w:rPr>
        <w:t>.</w:t>
      </w:r>
      <w:bookmarkEnd w:id="4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r>
        <w:t>Alexandria the Christian Metropolis.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r>
        <w:t>The Alexandrine Teachers.</w:t>
      </w:r>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30A8340" w14:textId="4668CB9F" w:rsidR="00EE0823" w:rsidRPr="002F5DC5" w:rsidRDefault="00EE0823" w:rsidP="00EE0823">
      <w:pPr>
        <w:pStyle w:val="Heading2"/>
      </w:pPr>
      <w:r>
        <w:t>Max Muller’s Words.</w:t>
      </w:r>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proofErr w:type="spellStart"/>
      <w:r>
        <w:t>Clement’s</w:t>
      </w:r>
      <w:proofErr w:type="spellEnd"/>
      <w:r>
        <w:t xml:space="preserve"> Philosophy.</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7B2FF105" w14:textId="0AFBB865" w:rsidR="00EE0823" w:rsidRPr="002F5DC5" w:rsidRDefault="00EE0823" w:rsidP="001B3A3D">
      <w:pPr>
        <w:pStyle w:val="Heading3"/>
      </w:pPr>
      <w:r>
        <w:t>A Transition Period.</w:t>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proofErr w:type="spellStart"/>
      <w:r>
        <w:t>Clement’s</w:t>
      </w:r>
      <w:proofErr w:type="spellEnd"/>
      <w:r>
        <w:t xml:space="preserve"> Language.</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proofErr w:type="gramStart"/>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proofErr w:type="gramStart"/>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r>
        <w:t>Further Words of Clement.</w:t>
      </w:r>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r>
        <w:t>Allen’s Statement.</w:t>
      </w:r>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r>
        <w:lastRenderedPageBreak/>
        <w:t>Bigg on Clement.</w:t>
      </w:r>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proofErr w:type="gramStart"/>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r>
        <w:t>Frederick Denison Maurice’s Eulogy.</w:t>
      </w:r>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r>
        <w:t>Early Opposition to Origen.</w:t>
      </w:r>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3"/>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r>
        <w:t>Schaff on Origen.</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r>
        <w:t>Gehenna Denotes a Purifying Fire.</w:t>
      </w:r>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037BAE8" w14:textId="31403A49" w:rsidR="00125956" w:rsidRPr="002F5DC5" w:rsidRDefault="00125956" w:rsidP="00125956">
      <w:pPr>
        <w:pStyle w:val="Heading2"/>
      </w:pPr>
      <w:r>
        <w:t>His Critics are his Eulogists.</w:t>
      </w:r>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r>
        <w:t>The Death of Origen.</w:t>
      </w:r>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r>
        <w:t>A Christian Philosopher.</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r>
        <w:t>A Bible Universalist.</w:t>
      </w:r>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r>
        <w:t>The Works of Origen.</w:t>
      </w:r>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r>
        <w:t>The Final Answer to Skepticism.</w:t>
      </w:r>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r>
        <w:t>The First of Christian Theologians.</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4"/>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5"/>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6"/>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7"/>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8"/>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9"/>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0"/>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1"/>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2"/>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3"/>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4"/>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5"/>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r>
        <w:t>Origen on Gehenna.</w:t>
      </w:r>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6"/>
      </w:r>
    </w:p>
    <w:p w14:paraId="1804BDAE" w14:textId="6312F862" w:rsidR="00A01CA7" w:rsidRPr="002F5DC5" w:rsidRDefault="00A01CA7" w:rsidP="00A01CA7">
      <w:pPr>
        <w:pStyle w:val="Heading2"/>
      </w:pPr>
      <w:r>
        <w:t>Views of “Foolish Christians” on Fire.</w:t>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7"/>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8"/>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r>
        <w:lastRenderedPageBreak/>
        <w:t>Mosheim and Robertson.</w:t>
      </w:r>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9"/>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1"/>
      </w:r>
    </w:p>
    <w:p w14:paraId="664DE4F3" w14:textId="6DEB9CF3" w:rsidR="00312381" w:rsidRPr="002F5DC5" w:rsidRDefault="00312381" w:rsidP="00312381">
      <w:pPr>
        <w:pStyle w:val="Heading2"/>
      </w:pPr>
      <w:r>
        <w:t xml:space="preserve">The </w:t>
      </w:r>
      <w:r w:rsidRPr="00312381">
        <w:rPr>
          <w:i/>
          <w:iCs/>
        </w:rPr>
        <w:t>Dictionary of Christian Biography</w:t>
      </w:r>
      <w:r>
        <w:t>.</w:t>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2"/>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7"/>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r>
        <w:t>Mercy and Justice Harmonious.</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8"/>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r>
        <w:t>Origen’s Grand Statement.</w:t>
      </w:r>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r w:rsidRPr="002F5DC5">
        <w:t>Note.</w:t>
      </w:r>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r>
        <w:t>Blunt on Origen.</w:t>
      </w:r>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9"/>
      </w:r>
    </w:p>
    <w:p w14:paraId="742CE630" w14:textId="42EB217C" w:rsidR="00A6358D" w:rsidRPr="002F5DC5" w:rsidRDefault="00A6358D" w:rsidP="00A6358D">
      <w:pPr>
        <w:pStyle w:val="Heading2"/>
      </w:pPr>
      <w:r>
        <w:t>Dr. Bigg on Origen.</w:t>
      </w:r>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5E8C104B" w14:textId="524B7098" w:rsidR="00A6358D" w:rsidRPr="002F5DC5" w:rsidRDefault="00A6358D" w:rsidP="00A6358D">
      <w:pPr>
        <w:pStyle w:val="Heading2"/>
      </w:pPr>
      <w:r>
        <w:t>Schaff on Origen.</w:t>
      </w:r>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0"/>
      </w:r>
      <w:r w:rsidR="00692E18" w:rsidRPr="002F5DC5">
        <w:rPr>
          <w:rFonts w:ascii="Bookman Old Style" w:hAnsi="Bookman Old Style"/>
        </w:rPr>
        <w:t xml:space="preserve"> </w:t>
      </w:r>
    </w:p>
    <w:p w14:paraId="7CDB78B0" w14:textId="1052E58C" w:rsidR="00A6358D" w:rsidRPr="002F5DC5" w:rsidRDefault="00A6358D" w:rsidP="00A6358D">
      <w:pPr>
        <w:pStyle w:val="Heading2"/>
      </w:pPr>
      <w:r>
        <w:lastRenderedPageBreak/>
        <w:t>Bunsen on Origen.</w:t>
      </w:r>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1"/>
      </w:r>
      <w:r w:rsidRPr="002F5DC5">
        <w:rPr>
          <w:rFonts w:ascii="Bookman Old Style" w:hAnsi="Bookman Old Style"/>
        </w:rPr>
        <w:t xml:space="preserve"> </w:t>
      </w:r>
    </w:p>
    <w:p w14:paraId="6D0598AA" w14:textId="059C55EB" w:rsidR="00A6358D" w:rsidRPr="002F5DC5" w:rsidRDefault="00A6358D" w:rsidP="00A6358D">
      <w:pPr>
        <w:pStyle w:val="Heading2"/>
      </w:pPr>
      <w:r>
        <w:t>Origen Cruelly Treated.</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2"/>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r>
        <w:t>His Universalism Never Condemned.</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3"/>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r>
        <w:t>Origen’s Contemporaries.</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4"/>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5DD496DC" w14:textId="492AF292" w:rsidR="00A6358D" w:rsidRPr="00A6358D" w:rsidRDefault="00A6358D" w:rsidP="00A6358D">
      <w:pPr>
        <w:pStyle w:val="Heading3"/>
      </w:pPr>
      <w:r>
        <w:t>Dr. Beecher’s Testimony.</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6C15E827" w14:textId="1EC39CEC" w:rsidR="00A6358D" w:rsidRPr="002F5DC5" w:rsidRDefault="00A6358D" w:rsidP="00A6358D">
      <w:pPr>
        <w:pStyle w:val="Heading2"/>
      </w:pPr>
      <w:r>
        <w:t>Origen Misrepresented.</w:t>
      </w:r>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B400D37" w14:textId="7DDB4F36" w:rsidR="00A6358D" w:rsidRPr="002F5DC5" w:rsidRDefault="00A6358D" w:rsidP="00A6358D">
      <w:pPr>
        <w:pStyle w:val="Heading3"/>
      </w:pPr>
      <w:r>
        <w:t>Dr. Pond’s Misrepresentation of Origen.</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r>
        <w:t>Universalism in Good Repute in the Fifth Century.</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8"/>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r>
        <w:t>Different Opinions on Human Destiny.</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9"/>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0"/>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2"/>
      </w:r>
    </w:p>
    <w:p w14:paraId="536DBE57" w14:textId="03AA86FA" w:rsidR="007B7A6C" w:rsidRPr="002F5DC5" w:rsidRDefault="007B7A6C" w:rsidP="007B7A6C">
      <w:pPr>
        <w:pStyle w:val="Heading2"/>
      </w:pPr>
      <w:r>
        <w:t>The Tribute of Scholars.</w:t>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3"/>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4"/>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5"/>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r>
        <w:t>A Catholic Eulogy.</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310C9D0D" w14:textId="77777777" w:rsidR="007B7A6C" w:rsidRDefault="00091D96" w:rsidP="007B7A6C">
      <w:pPr>
        <w:pStyle w:val="Heading2"/>
      </w:pPr>
      <w:r w:rsidRPr="002F5DC5">
        <w:t>Note.</w:t>
      </w:r>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 xml:space="preserve">indeed </w:t>
      </w:r>
      <w:proofErr w:type="spellStart"/>
      <w:r w:rsidR="00091D96" w:rsidRPr="002F5DC5">
        <w:rPr>
          <w:rFonts w:ascii="Bookman Old Style" w:hAnsi="Bookman Old Style"/>
        </w:rPr>
        <w:t>remains</w:t>
      </w:r>
      <w:proofErr w:type="spellEnd"/>
      <w:r w:rsidR="00091D96" w:rsidRPr="002F5DC5">
        <w:rPr>
          <w:rFonts w:ascii="Bookman Old Style" w:hAnsi="Bookman Old Style"/>
        </w:rPr>
        <w:t>,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8"/>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9"/>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r>
        <w:t>Dean Wordsworth’s Error.</w:t>
      </w:r>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0"/>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1"/>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2"/>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3"/>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4"/>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r>
        <w:t>Advocates Endless Torment.</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r>
        <w:t>Manichean Doctrines.</w:t>
      </w:r>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r>
        <w:t>Prof. Shedd’s Historical Inaccuracy.</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w:t>
      </w:r>
      <w:proofErr w:type="spellStart"/>
      <w:r w:rsidR="00091D96" w:rsidRPr="00B36B49">
        <w:rPr>
          <w:rFonts w:ascii="Bookman Old Style" w:hAnsi="Bookman Old Style"/>
        </w:rPr>
        <w:t>Hagenbach</w:t>
      </w:r>
      <w:proofErr w:type="spellEnd"/>
      <w:r w:rsidR="00091D96" w:rsidRPr="00B36B49">
        <w:rPr>
          <w:rFonts w:ascii="Bookman Old Style" w:hAnsi="Bookman Old Style"/>
        </w:rPr>
        <w:t xml:space="preserve">, cannot </w:t>
      </w:r>
      <w:r w:rsidRPr="00B36B49">
        <w:rPr>
          <w:rFonts w:ascii="Bookman Old Style" w:hAnsi="Bookman Old Style"/>
        </w:rPr>
        <w:t>be wholly due to accident.</w:t>
      </w:r>
      <w:r w:rsidRPr="00B36B49">
        <w:rPr>
          <w:rStyle w:val="FootnoteReference"/>
          <w:rFonts w:ascii="Bookman Old Style" w:hAnsi="Bookman Old Style"/>
        </w:rPr>
        <w:footnoteReference w:id="292"/>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w:t>
      </w:r>
      <w:proofErr w:type="spellStart"/>
      <w:r w:rsidRPr="00B36B49">
        <w:rPr>
          <w:rFonts w:ascii="Bookman Old Style" w:hAnsi="Bookman Old Style"/>
        </w:rPr>
        <w:t>Hagenbach</w:t>
      </w:r>
      <w:proofErr w:type="spellEnd"/>
      <w:r w:rsidRPr="00B36B49">
        <w:rPr>
          <w:rFonts w:ascii="Bookman Old Style" w:hAnsi="Bookman Old Style"/>
        </w:rPr>
        <w:t xml:space="preserve">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 xml:space="preserve">traces in Gregory of Nyssa; while </w:t>
      </w:r>
      <w:proofErr w:type="spellStart"/>
      <w:r w:rsidR="00091D96" w:rsidRPr="00B36B49">
        <w:rPr>
          <w:rFonts w:ascii="Bookman Old Style" w:hAnsi="Bookman Old Style"/>
        </w:rPr>
        <w:t>Hagenbac</w:t>
      </w:r>
      <w:r w:rsidRPr="00B36B49">
        <w:rPr>
          <w:rFonts w:ascii="Bookman Old Style" w:hAnsi="Bookman Old Style"/>
        </w:rPr>
        <w:t>h</w:t>
      </w:r>
      <w:proofErr w:type="spellEnd"/>
      <w:r w:rsidRPr="00B36B49">
        <w:rPr>
          <w:rFonts w:ascii="Bookman Old Style" w:hAnsi="Bookman Old Style"/>
        </w:rPr>
        <w:t xml:space="preserve">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B36B49">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B36B49">
        <w:rPr>
          <w:rFonts w:ascii="Bookman Old Style" w:hAnsi="Bookman Old Style"/>
        </w:rPr>
        <w:t>Ha</w:t>
      </w:r>
      <w:r w:rsidRPr="00B36B49">
        <w:rPr>
          <w:rFonts w:ascii="Bookman Old Style" w:hAnsi="Bookman Old Style"/>
        </w:rPr>
        <w:t>genbach</w:t>
      </w:r>
      <w:proofErr w:type="spellEnd"/>
      <w:r w:rsidRPr="00B36B49">
        <w:rPr>
          <w:rFonts w:ascii="Bookman Old Style" w:hAnsi="Bookman Old Style"/>
        </w:rPr>
        <w:t xml:space="preserve">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47443378" w14:textId="56EE03C0" w:rsidR="007543C9" w:rsidRPr="007543C9" w:rsidRDefault="007543C9" w:rsidP="007543C9">
      <w:pPr>
        <w:pStyle w:val="Heading2"/>
      </w:pPr>
      <w:r>
        <w:t>Several Fathers.</w:t>
      </w:r>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B35CA3">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 xml:space="preserve">by </w:t>
      </w:r>
      <w:proofErr w:type="spellStart"/>
      <w:r w:rsidR="00C04506" w:rsidRPr="00B35CA3">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20CDD" w14:textId="77777777" w:rsidR="00197676" w:rsidRDefault="00197676" w:rsidP="00661298">
      <w:pPr>
        <w:spacing w:after="0" w:line="240" w:lineRule="auto"/>
      </w:pPr>
      <w:r>
        <w:separator/>
      </w:r>
    </w:p>
  </w:endnote>
  <w:endnote w:type="continuationSeparator" w:id="0">
    <w:p w14:paraId="6438EC4E" w14:textId="77777777" w:rsidR="00197676" w:rsidRDefault="00197676"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2A0E6" w14:textId="77777777" w:rsidR="00197676" w:rsidRDefault="00197676" w:rsidP="00661298">
      <w:pPr>
        <w:spacing w:after="0" w:line="240" w:lineRule="auto"/>
      </w:pPr>
      <w:r>
        <w:separator/>
      </w:r>
    </w:p>
  </w:footnote>
  <w:footnote w:type="continuationSeparator" w:id="0">
    <w:p w14:paraId="449AE14A" w14:textId="77777777" w:rsidR="00197676" w:rsidRDefault="00197676"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8">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79">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0">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1">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2">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3">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4">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5">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6">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7">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8">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89">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0">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1">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2">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3">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4">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5">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7">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8">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09">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0">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1">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2">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3">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4">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5">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6">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8">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19">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1">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2">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5">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6">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7">
    <w:p w14:paraId="0D68CCB6" w14:textId="3F0EB4B0" w:rsidR="00210409" w:rsidRDefault="00210409">
      <w:pPr>
        <w:pStyle w:val="FootnoteText"/>
      </w:pPr>
      <w:r>
        <w:rPr>
          <w:rStyle w:val="FootnoteReference"/>
        </w:rPr>
        <w:footnoteRef/>
      </w:r>
      <w:r>
        <w:t xml:space="preserve"> </w:t>
      </w:r>
      <w:r w:rsidR="00125956">
        <w:t xml:space="preserve">JW: </w:t>
      </w:r>
      <w:r>
        <w:t>Cont. Ce</w:t>
      </w:r>
      <w:proofErr w:type="spellStart"/>
      <w:r>
        <w:t>ls</w:t>
      </w:r>
      <w:proofErr w:type="spellEnd"/>
      <w:r>
        <w:t>. VI, 25.</w:t>
      </w:r>
    </w:p>
  </w:footnote>
  <w:footnote w:id="228">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29">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0">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1">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2">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3">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5">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6">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7">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8">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39">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0">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1">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2">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3">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4">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5">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6">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7">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8">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9">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0">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1">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2">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3">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4">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5">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6">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7">
    <w:p w14:paraId="6C3E98BE" w14:textId="4AEAEEF7" w:rsidR="00312381" w:rsidRDefault="00312381">
      <w:pPr>
        <w:pStyle w:val="FootnoteText"/>
      </w:pPr>
      <w:r>
        <w:rPr>
          <w:rStyle w:val="FootnoteReference"/>
        </w:rPr>
        <w:footnoteRef/>
      </w:r>
      <w:r>
        <w:t xml:space="preserve"> JW: B. VIII.</w:t>
      </w:r>
    </w:p>
  </w:footnote>
  <w:footnote w:id="258">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59">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0">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1">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2">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3">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4">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5">
    <w:p w14:paraId="0D68CCDD" w14:textId="2525E86A" w:rsidR="00210409" w:rsidRDefault="00210409">
      <w:pPr>
        <w:pStyle w:val="FootnoteText"/>
      </w:pPr>
      <w:r>
        <w:rPr>
          <w:rStyle w:val="FootnoteReference"/>
        </w:rPr>
        <w:footnoteRef/>
      </w:r>
      <w:r>
        <w:t xml:space="preserve"> </w:t>
      </w:r>
      <w:r w:rsidR="00A6358D">
        <w:t xml:space="preserve">JW: </w:t>
      </w:r>
      <w:r>
        <w:t>Hist. Do</w:t>
      </w:r>
      <w:proofErr w:type="spellStart"/>
      <w:r>
        <w:t>ct</w:t>
      </w:r>
      <w:proofErr w:type="spellEnd"/>
      <w:r>
        <w:t>. Fut. Ret.</w:t>
      </w:r>
    </w:p>
  </w:footnote>
  <w:footnote w:id="266">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7">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8">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69">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0">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1">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2">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3">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4">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5">
    <w:p w14:paraId="0D68CCE7" w14:textId="600BFECA" w:rsidR="00210409" w:rsidRDefault="00210409">
      <w:pPr>
        <w:pStyle w:val="FootnoteText"/>
      </w:pPr>
      <w:r>
        <w:rPr>
          <w:rStyle w:val="FootnoteReference"/>
        </w:rPr>
        <w:footnoteRef/>
      </w:r>
      <w:r>
        <w:t xml:space="preserve"> </w:t>
      </w:r>
      <w:r w:rsidR="007B7A6C">
        <w:t xml:space="preserve">JW: </w:t>
      </w:r>
      <w:r>
        <w:t>Cred. Go</w:t>
      </w:r>
      <w:proofErr w:type="spellStart"/>
      <w:r>
        <w:t>s</w:t>
      </w:r>
      <w:proofErr w:type="spellEnd"/>
      <w:r>
        <w:t>. Hist., Vol. II, pg. 488.</w:t>
      </w:r>
    </w:p>
  </w:footnote>
  <w:footnote w:id="276">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7">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8">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79">
    <w:p w14:paraId="0D68CCEB" w14:textId="47624718" w:rsidR="00210409" w:rsidRDefault="00210409">
      <w:pPr>
        <w:pStyle w:val="FootnoteText"/>
      </w:pPr>
      <w:r>
        <w:rPr>
          <w:rStyle w:val="FootnoteReference"/>
        </w:rPr>
        <w:footnoteRef/>
      </w:r>
      <w:r>
        <w:t xml:space="preserve"> </w:t>
      </w:r>
      <w:r w:rsidR="00B36B49">
        <w:t xml:space="preserve">JW: </w:t>
      </w:r>
      <w:proofErr w:type="spellStart"/>
      <w:r>
        <w:t>Philosophumena</w:t>
      </w:r>
      <w:proofErr w:type="spellEnd"/>
      <w:r>
        <w:t xml:space="preserve"> or Refutation of Heresy.</w:t>
      </w:r>
    </w:p>
  </w:footnote>
  <w:footnote w:id="280">
    <w:p w14:paraId="0D68CCEC" w14:textId="5FC48381" w:rsidR="00210409" w:rsidRDefault="00210409">
      <w:pPr>
        <w:pStyle w:val="FootnoteText"/>
      </w:pPr>
      <w:r>
        <w:rPr>
          <w:rStyle w:val="FootnoteReference"/>
        </w:rPr>
        <w:footnoteRef/>
      </w:r>
      <w:r>
        <w:t xml:space="preserve"> </w:t>
      </w:r>
      <w:r w:rsidR="00B36B49">
        <w:t xml:space="preserve">JW: Greek: </w:t>
      </w:r>
      <w:proofErr w:type="spellStart"/>
      <w:r w:rsidR="00B36B49" w:rsidRPr="00B36B49">
        <w:t>ὐθάν</w:t>
      </w:r>
      <w:proofErr w:type="spellEnd"/>
      <w:r w:rsidR="00B36B49" w:rsidRPr="00B36B49">
        <w:t>ατον</w:t>
      </w:r>
      <w:r w:rsidR="00B36B49">
        <w:t>.</w:t>
      </w:r>
    </w:p>
  </w:footnote>
  <w:footnote w:id="281">
    <w:p w14:paraId="64DABC57" w14:textId="450034B6" w:rsidR="00B36B49" w:rsidRDefault="00B36B49">
      <w:pPr>
        <w:pStyle w:val="FootnoteText"/>
      </w:pPr>
      <w:r>
        <w:rPr>
          <w:rStyle w:val="FootnoteReference"/>
        </w:rPr>
        <w:footnoteRef/>
      </w:r>
      <w:r>
        <w:t xml:space="preserve"> JW: Greek: </w:t>
      </w:r>
      <w:proofErr w:type="spellStart"/>
      <w:r w:rsidRPr="00B36B49">
        <w:t>ἀφθ</w:t>
      </w:r>
      <w:proofErr w:type="spellEnd"/>
      <w:r w:rsidRPr="00B36B49">
        <w:t>αρτον</w:t>
      </w:r>
      <w:r>
        <w:t>.</w:t>
      </w:r>
    </w:p>
  </w:footnote>
  <w:footnote w:id="282">
    <w:p w14:paraId="5D964DCF" w14:textId="73095700" w:rsidR="00B36B49" w:rsidRDefault="00B36B49">
      <w:pPr>
        <w:pStyle w:val="FootnoteText"/>
      </w:pPr>
      <w:r>
        <w:rPr>
          <w:rStyle w:val="FootnoteReference"/>
        </w:rPr>
        <w:footnoteRef/>
      </w:r>
      <w:r>
        <w:t xml:space="preserve"> JW: Greek: </w:t>
      </w:r>
      <w:proofErr w:type="spellStart"/>
      <w:r w:rsidRPr="00B36B49">
        <w:t>φυχῆ</w:t>
      </w:r>
      <w:proofErr w:type="spellEnd"/>
      <w:r>
        <w:t>.</w:t>
      </w:r>
    </w:p>
  </w:footnote>
  <w:footnote w:id="283">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w:t>
      </w:r>
      <w:proofErr w:type="spellStart"/>
      <w:r>
        <w:t>Pantaenus</w:t>
      </w:r>
      <w:proofErr w:type="spellEnd"/>
      <w:r>
        <w:t xml:space="preserve"> and Clemens, and was the predecessor of Origen, etc. Bunsen.</w:t>
      </w:r>
    </w:p>
  </w:footnote>
  <w:footnote w:id="284">
    <w:p w14:paraId="0D68CCEE" w14:textId="61D3405D" w:rsidR="00210409" w:rsidRDefault="00210409">
      <w:pPr>
        <w:pStyle w:val="FootnoteText"/>
      </w:pPr>
      <w:r>
        <w:rPr>
          <w:rStyle w:val="FootnoteReference"/>
        </w:rPr>
        <w:footnoteRef/>
      </w:r>
      <w:r>
        <w:t xml:space="preserve"> </w:t>
      </w:r>
      <w:r w:rsidR="00B36B49">
        <w:t xml:space="preserve">JW: </w:t>
      </w:r>
      <w:r>
        <w:t xml:space="preserve">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5">
    <w:p w14:paraId="0D68CCEF" w14:textId="0D091EF8" w:rsidR="00210409" w:rsidRDefault="00210409">
      <w:pPr>
        <w:pStyle w:val="FootnoteText"/>
      </w:pPr>
      <w:r>
        <w:rPr>
          <w:rStyle w:val="FootnoteReference"/>
        </w:rPr>
        <w:footnoteRef/>
      </w:r>
      <w:r>
        <w:t xml:space="preserve"> </w:t>
      </w:r>
      <w:r w:rsidR="00B36B49">
        <w:t xml:space="preserve">JW: </w:t>
      </w:r>
      <w:r>
        <w:t xml:space="preserve">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6">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7">
    <w:p w14:paraId="0D68CCF2" w14:textId="4BAA7995" w:rsidR="00210409" w:rsidRDefault="00210409">
      <w:pPr>
        <w:pStyle w:val="FootnoteText"/>
      </w:pPr>
      <w:r>
        <w:rPr>
          <w:rStyle w:val="FootnoteReference"/>
        </w:rPr>
        <w:footnoteRef/>
      </w:r>
      <w:r>
        <w:t xml:space="preserve"> </w:t>
      </w:r>
      <w:r w:rsidR="00B36B49">
        <w:t xml:space="preserve">JW: </w:t>
      </w:r>
      <w:proofErr w:type="spellStart"/>
      <w:r>
        <w:t>Apol</w:t>
      </w:r>
      <w:proofErr w:type="spellEnd"/>
      <w:r>
        <w:t>., cap. 18.</w:t>
      </w:r>
    </w:p>
  </w:footnote>
  <w:footnote w:id="288">
    <w:p w14:paraId="0D68CCF3" w14:textId="0ADDAA7C" w:rsidR="00210409" w:rsidRDefault="00210409">
      <w:pPr>
        <w:pStyle w:val="FootnoteText"/>
      </w:pPr>
      <w:r>
        <w:rPr>
          <w:rStyle w:val="FootnoteReference"/>
        </w:rPr>
        <w:footnoteRef/>
      </w:r>
      <w:r>
        <w:t xml:space="preserve"> </w:t>
      </w:r>
      <w:r w:rsidR="00B36B49">
        <w:t xml:space="preserve">JW: </w:t>
      </w:r>
      <w:r>
        <w:t xml:space="preserve">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52DBA264" w:rsidR="00210409" w:rsidRDefault="00210409">
      <w:pPr>
        <w:pStyle w:val="FootnoteText"/>
      </w:pPr>
      <w:r>
        <w:rPr>
          <w:rStyle w:val="FootnoteReference"/>
        </w:rPr>
        <w:footnoteRef/>
      </w:r>
      <w:r>
        <w:t xml:space="preserve"> </w:t>
      </w:r>
      <w:r w:rsidR="00B36B49">
        <w:t xml:space="preserve">JW: </w:t>
      </w:r>
      <w:proofErr w:type="spellStart"/>
      <w:r>
        <w:t>Euseb</w:t>
      </w:r>
      <w:proofErr w:type="spellEnd"/>
      <w:r>
        <w:t>. Hist. Eccl. B. vi.</w:t>
      </w:r>
    </w:p>
  </w:footnote>
  <w:footnote w:id="290">
    <w:p w14:paraId="0D68CCF5" w14:textId="0EED43E1" w:rsidR="00210409" w:rsidRDefault="00210409">
      <w:pPr>
        <w:pStyle w:val="FootnoteText"/>
      </w:pPr>
      <w:r>
        <w:rPr>
          <w:rStyle w:val="FootnoteReference"/>
        </w:rPr>
        <w:footnoteRef/>
      </w:r>
      <w:r w:rsidR="00B36B49">
        <w:t xml:space="preserve"> JW:</w:t>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2">
    <w:p w14:paraId="0D68CCF7" w14:textId="7EBA480F" w:rsidR="00210409" w:rsidRDefault="00210409">
      <w:pPr>
        <w:pStyle w:val="FootnoteText"/>
      </w:pPr>
      <w:r>
        <w:rPr>
          <w:rStyle w:val="FootnoteReference"/>
        </w:rPr>
        <w:footnoteRef/>
      </w:r>
      <w:r>
        <w:t xml:space="preserve"> </w:t>
      </w:r>
      <w:r w:rsidR="00B36B49">
        <w:t xml:space="preserve">JW: </w:t>
      </w:r>
      <w:r>
        <w:t>Hist. Do</w:t>
      </w:r>
      <w:proofErr w:type="spellStart"/>
      <w:r>
        <w:t>ct</w:t>
      </w:r>
      <w:proofErr w:type="spellEnd"/>
      <w:r>
        <w:t>. II, Sec. 142. Edin. Ed. 1884.</w:t>
      </w:r>
    </w:p>
  </w:footnote>
  <w:footnote w:id="293">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4">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5">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6">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7">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8">
    <w:p w14:paraId="0D68CCFD" w14:textId="0D27BC8D" w:rsidR="00210409" w:rsidRDefault="00210409">
      <w:pPr>
        <w:pStyle w:val="FootnoteText"/>
      </w:pPr>
      <w:r>
        <w:rPr>
          <w:rStyle w:val="FootnoteReference"/>
        </w:rPr>
        <w:footnoteRef/>
      </w:r>
      <w:r>
        <w:t xml:space="preserve"> </w:t>
      </w:r>
      <w:r w:rsidR="00B35CA3">
        <w:t xml:space="preserve">JW: </w:t>
      </w:r>
      <w:r>
        <w:t xml:space="preserve">De Eccl. Theol., </w:t>
      </w:r>
      <w:proofErr w:type="spellStart"/>
      <w:r>
        <w:t>Migne</w:t>
      </w:r>
      <w:proofErr w:type="spellEnd"/>
      <w:r>
        <w:t>, Vol. XXIV, pp. 1030-33.</w:t>
      </w:r>
    </w:p>
  </w:footnote>
  <w:footnote w:id="299">
    <w:p w14:paraId="0D68CCFE" w14:textId="65CF3F3B" w:rsidR="00210409" w:rsidRDefault="00210409">
      <w:pPr>
        <w:pStyle w:val="FootnoteText"/>
      </w:pPr>
      <w:r>
        <w:rPr>
          <w:rStyle w:val="FootnoteReference"/>
        </w:rPr>
        <w:footnoteRef/>
      </w:r>
      <w:r>
        <w:t xml:space="preserve"> </w:t>
      </w:r>
      <w:r w:rsidR="00B35CA3">
        <w:t xml:space="preserve">JW: </w:t>
      </w:r>
      <w:r>
        <w:t xml:space="preserve">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1E871E78" w:rsidR="00210409" w:rsidRDefault="00210409">
      <w:pPr>
        <w:pStyle w:val="FootnoteText"/>
      </w:pPr>
      <w:r>
        <w:rPr>
          <w:rStyle w:val="FootnoteReference"/>
        </w:rPr>
        <w:footnoteRef/>
      </w:r>
      <w:r>
        <w:t xml:space="preserve"> </w:t>
      </w:r>
      <w:r w:rsidR="00B35CA3">
        <w:t xml:space="preserve">JW: </w:t>
      </w:r>
      <w:r>
        <w:t xml:space="preserve">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4">
    <w:p w14:paraId="0D68CD03" w14:textId="205C871B" w:rsidR="00210409" w:rsidRDefault="00210409">
      <w:pPr>
        <w:pStyle w:val="FootnoteText"/>
      </w:pPr>
      <w:r>
        <w:rPr>
          <w:rStyle w:val="FootnoteReference"/>
        </w:rPr>
        <w:footnoteRef/>
      </w:r>
      <w:r>
        <w:t xml:space="preserve"> </w:t>
      </w:r>
      <w:r w:rsidR="00B35CA3">
        <w:t xml:space="preserve">JW: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822756B" w:rsidR="00210409" w:rsidRDefault="00210409">
      <w:pPr>
        <w:pStyle w:val="FootnoteText"/>
      </w:pPr>
      <w:r>
        <w:rPr>
          <w:rStyle w:val="FootnoteReference"/>
        </w:rPr>
        <w:footnoteRef/>
      </w:r>
      <w:r>
        <w:t xml:space="preserve"> </w:t>
      </w:r>
      <w:r w:rsidR="00B35CA3">
        <w:t xml:space="preserve">JW: </w:t>
      </w:r>
      <w:r>
        <w:t xml:space="preserve">De </w:t>
      </w:r>
      <w:proofErr w:type="spellStart"/>
      <w:r>
        <w:t>Resurr</w:t>
      </w:r>
      <w:proofErr w:type="spellEnd"/>
      <w:r>
        <w:t>., VIII.</w:t>
      </w:r>
    </w:p>
  </w:footnote>
  <w:footnote w:id="306">
    <w:p w14:paraId="0D68CD05" w14:textId="77777777" w:rsidR="00210409" w:rsidRDefault="00210409">
      <w:pPr>
        <w:pStyle w:val="FootnoteText"/>
      </w:pPr>
      <w:r>
        <w:rPr>
          <w:rStyle w:val="FootnoteReference"/>
        </w:rPr>
        <w:footnoteRef/>
      </w:r>
      <w:r>
        <w:t xml:space="preserve"> See pg. 212 in original.</w:t>
      </w:r>
    </w:p>
  </w:footnote>
  <w:footnote w:id="307">
    <w:p w14:paraId="0D68CD06" w14:textId="77777777" w:rsidR="00210409" w:rsidRDefault="00210409">
      <w:pPr>
        <w:pStyle w:val="FootnoteText"/>
      </w:pPr>
      <w:r>
        <w:rPr>
          <w:rStyle w:val="FootnoteReference"/>
        </w:rPr>
        <w:footnoteRef/>
      </w:r>
      <w:r>
        <w:t xml:space="preserve"> See pg. 212 in original.</w:t>
      </w:r>
    </w:p>
  </w:footnote>
  <w:footnote w:id="308">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77777777" w:rsidR="00210409" w:rsidRDefault="00210409">
      <w:pPr>
        <w:pStyle w:val="FootnoteText"/>
      </w:pPr>
      <w:r>
        <w:rPr>
          <w:rStyle w:val="FootnoteReference"/>
        </w:rPr>
        <w:footnoteRef/>
      </w:r>
      <w:r>
        <w:t xml:space="preserve"> See Newman’s Hist. Essays, Vol. III.</w:t>
      </w:r>
    </w:p>
  </w:footnote>
  <w:footnote w:id="310">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11">
    <w:p w14:paraId="0D68CD0A" w14:textId="77777777" w:rsidR="00210409" w:rsidRDefault="00210409">
      <w:pPr>
        <w:pStyle w:val="FootnoteText"/>
      </w:pPr>
      <w:r>
        <w:rPr>
          <w:rStyle w:val="FootnoteReference"/>
        </w:rPr>
        <w:footnoteRef/>
      </w:r>
      <w:r>
        <w:t xml:space="preserve"> See pg. 215 in original.</w:t>
      </w:r>
    </w:p>
  </w:footnote>
  <w:footnote w:id="312">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3">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9">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20">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6">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2">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6">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9">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2">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5">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6">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3">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6">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5">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6">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9">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0">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0">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2">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7">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97676"/>
    <w:rsid w:val="001A7668"/>
    <w:rsid w:val="001B3A3D"/>
    <w:rsid w:val="001D0EA6"/>
    <w:rsid w:val="001D13E4"/>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4A95"/>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4304"/>
    <w:rsid w:val="008522DC"/>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01CA7"/>
    <w:rsid w:val="00A15C5B"/>
    <w:rsid w:val="00A16B9C"/>
    <w:rsid w:val="00A22938"/>
    <w:rsid w:val="00A24A03"/>
    <w:rsid w:val="00A3156E"/>
    <w:rsid w:val="00A368B9"/>
    <w:rsid w:val="00A370DF"/>
    <w:rsid w:val="00A40991"/>
    <w:rsid w:val="00A6358D"/>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0823"/>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189</Pages>
  <Words>71729</Words>
  <Characters>408856</Characters>
  <Application>Microsoft Office Word</Application>
  <DocSecurity>0</DocSecurity>
  <Lines>3407</Lines>
  <Paragraphs>959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50</cp:revision>
  <cp:lastPrinted>2022-11-05T15:35:00Z</cp:lastPrinted>
  <dcterms:created xsi:type="dcterms:W3CDTF">2021-12-30T21:50:00Z</dcterms:created>
  <dcterms:modified xsi:type="dcterms:W3CDTF">2022-11-05T22:30:00Z</dcterms:modified>
</cp:coreProperties>
</file>