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proofErr w:type="spellStart"/>
      <w:r>
        <w:t>Macrina’s</w:t>
      </w:r>
      <w:proofErr w:type="spellEnd"/>
      <w:r>
        <w:t xml:space="preserve">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proofErr w:type="spellStart"/>
      <w:r>
        <w:t>Macrina</w:t>
      </w:r>
      <w:proofErr w:type="spellEnd"/>
      <w:r>
        <w:t xml:space="preserve">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2"/>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r>
        <w:t xml:space="preserve">Works of </w:t>
      </w:r>
      <w:proofErr w:type="spellStart"/>
      <w:r>
        <w:t>Theodoret</w:t>
      </w:r>
      <w:proofErr w:type="spellEnd"/>
      <w:r>
        <w:t>.</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37AEEA87" w14:textId="6ECA0044" w:rsidR="008C5543" w:rsidRPr="008C5543" w:rsidRDefault="008C5543" w:rsidP="008C5543">
      <w:pPr>
        <w:pStyle w:val="Heading2"/>
      </w:pPr>
      <w:r>
        <w:t>Transition of Christianity.</w:t>
      </w:r>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r>
        <w:t>Jerome’s Politic Course.</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r>
        <w:lastRenderedPageBreak/>
        <w:t>A Miserable Story.</w:t>
      </w:r>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r>
        <w:t>Chrysostom’s Views.</w:t>
      </w:r>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3055D0D3" w14:textId="0EB380DA" w:rsidR="008C5543" w:rsidRPr="002F5DC5" w:rsidRDefault="008C5543" w:rsidP="008C5543">
      <w:pPr>
        <w:pStyle w:val="Heading3"/>
      </w:pPr>
      <w:r>
        <w:lastRenderedPageBreak/>
        <w:t>Neander and Schaff.</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3"/>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4"/>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E583D" w14:textId="77777777" w:rsidR="00BF647E" w:rsidRDefault="00BF647E" w:rsidP="00661298">
      <w:pPr>
        <w:spacing w:after="0" w:line="240" w:lineRule="auto"/>
      </w:pPr>
      <w:r>
        <w:separator/>
      </w:r>
    </w:p>
  </w:endnote>
  <w:endnote w:type="continuationSeparator" w:id="0">
    <w:p w14:paraId="4138DECE" w14:textId="77777777" w:rsidR="00BF647E" w:rsidRDefault="00BF647E"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3FD9" w14:textId="77777777" w:rsidR="00BF647E" w:rsidRDefault="00BF647E" w:rsidP="00661298">
      <w:pPr>
        <w:spacing w:after="0" w:line="240" w:lineRule="auto"/>
      </w:pPr>
      <w:r>
        <w:separator/>
      </w:r>
    </w:p>
  </w:footnote>
  <w:footnote w:type="continuationSeparator" w:id="0">
    <w:p w14:paraId="7869E992" w14:textId="77777777" w:rsidR="00BF647E" w:rsidRDefault="00BF647E"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0">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2">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3">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4">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5">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6">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7">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8">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1">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2">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3">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4">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5">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6">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7">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8">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69">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0">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1">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2">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3">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4">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5">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6">
    <w:p w14:paraId="0D68CD4A" w14:textId="35B19FC1" w:rsidR="00210409" w:rsidRDefault="00210409">
      <w:pPr>
        <w:pStyle w:val="FootnoteText"/>
      </w:pPr>
      <w:r>
        <w:rPr>
          <w:rStyle w:val="FootnoteReference"/>
        </w:rPr>
        <w:footnoteRef/>
      </w:r>
      <w:r>
        <w:t xml:space="preserve"> </w:t>
      </w:r>
      <w:r w:rsidR="008C5543">
        <w:t xml:space="preserve">JW: </w:t>
      </w:r>
      <w:r>
        <w:t xml:space="preserve">Epist. xxxiii. </w:t>
      </w:r>
      <w:proofErr w:type="spellStart"/>
      <w:r>
        <w:t>Migne</w:t>
      </w:r>
      <w:proofErr w:type="spellEnd"/>
      <w:r>
        <w:t xml:space="preserve"> Vol. XXII.</w:t>
      </w:r>
    </w:p>
  </w:footnote>
  <w:footnote w:id="377">
    <w:p w14:paraId="0D68CD4B" w14:textId="257A8928" w:rsidR="00210409" w:rsidRDefault="00210409">
      <w:pPr>
        <w:pStyle w:val="FootnoteText"/>
      </w:pPr>
      <w:r>
        <w:rPr>
          <w:rStyle w:val="FootnoteReference"/>
        </w:rPr>
        <w:footnoteRef/>
      </w:r>
      <w:r>
        <w:t xml:space="preserve"> </w:t>
      </w:r>
      <w:r w:rsidR="008C5543">
        <w:t xml:space="preserve">JW: </w:t>
      </w:r>
      <w:proofErr w:type="spellStart"/>
      <w:r>
        <w:t>Plumptre</w:t>
      </w:r>
      <w:proofErr w:type="spellEnd"/>
      <w:r>
        <w:t>, Dictionary of Christian Biography, II, Art. “Eschatology.”</w:t>
      </w:r>
    </w:p>
  </w:footnote>
  <w:footnote w:id="378">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79">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1">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2">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3">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4">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5">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6">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7">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77777777" w:rsidR="00210409" w:rsidRDefault="00210409">
      <w:pPr>
        <w:pStyle w:val="FootnoteText"/>
      </w:pPr>
      <w:r>
        <w:rPr>
          <w:rStyle w:val="FootnoteReference"/>
        </w:rPr>
        <w:footnoteRef/>
      </w:r>
      <w:r>
        <w:t xml:space="preserve"> Allen, Cont. Christ. Thought.</w:t>
      </w:r>
    </w:p>
  </w:footnote>
  <w:footnote w:id="389">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1">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Confessions.</w:t>
      </w:r>
    </w:p>
  </w:footnote>
  <w:footnote w:id="393">
    <w:p w14:paraId="0D68CD5B" w14:textId="77777777" w:rsidR="00210409" w:rsidRDefault="00210409">
      <w:pPr>
        <w:pStyle w:val="FootnoteText"/>
      </w:pPr>
      <w:r>
        <w:rPr>
          <w:rStyle w:val="FootnoteReference"/>
        </w:rPr>
        <w:footnoteRef/>
      </w:r>
      <w:r>
        <w:t xml:space="preserve"> Latin Christ. I.</w:t>
      </w:r>
    </w:p>
  </w:footnote>
  <w:footnote w:id="394">
    <w:p w14:paraId="0D68CD5C" w14:textId="77777777" w:rsidR="00210409" w:rsidRDefault="00210409">
      <w:pPr>
        <w:pStyle w:val="FootnoteText"/>
      </w:pPr>
      <w:r>
        <w:rPr>
          <w:rStyle w:val="FootnoteReference"/>
        </w:rPr>
        <w:footnoteRef/>
      </w:r>
      <w:r>
        <w:t xml:space="preserve"> Allen, Cont. Christ. Thought, pg. 156.</w:t>
      </w:r>
    </w:p>
  </w:footnote>
  <w:footnote w:id="395">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77777777" w:rsidR="00210409" w:rsidRDefault="00210409">
      <w:pPr>
        <w:pStyle w:val="FootnoteText"/>
      </w:pPr>
      <w:r>
        <w:rPr>
          <w:rStyle w:val="FootnoteReference"/>
        </w:rPr>
        <w:footnoteRef/>
      </w:r>
      <w:r>
        <w:t xml:space="preserve"> Latin Christianity, I, 127.</w:t>
      </w:r>
    </w:p>
  </w:footnote>
  <w:footnote w:id="399">
    <w:p w14:paraId="0D68CD60" w14:textId="77777777" w:rsidR="00210409" w:rsidRDefault="00210409">
      <w:pPr>
        <w:pStyle w:val="FootnoteText"/>
      </w:pPr>
      <w:r>
        <w:rPr>
          <w:rStyle w:val="FootnoteReference"/>
        </w:rPr>
        <w:footnoteRef/>
      </w:r>
      <w:r>
        <w:t xml:space="preserve"> Farrar’s Lives of the Fathers.</w:t>
      </w:r>
    </w:p>
  </w:footnote>
  <w:footnote w:id="400">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2">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4">
    <w:p w14:paraId="0D68CD65" w14:textId="77777777" w:rsidR="00210409" w:rsidRDefault="00210409">
      <w:pPr>
        <w:pStyle w:val="FootnoteText"/>
      </w:pPr>
      <w:r>
        <w:rPr>
          <w:rStyle w:val="FootnoteReference"/>
        </w:rPr>
        <w:footnoteRef/>
      </w:r>
      <w:r>
        <w:t xml:space="preserve"> See pg. 284 in original.</w:t>
      </w:r>
    </w:p>
  </w:footnote>
  <w:footnote w:id="405">
    <w:p w14:paraId="0D68CD66" w14:textId="77777777" w:rsidR="00210409" w:rsidRDefault="00210409">
      <w:pPr>
        <w:pStyle w:val="FootnoteText"/>
      </w:pPr>
      <w:r>
        <w:rPr>
          <w:rStyle w:val="FootnoteReference"/>
        </w:rPr>
        <w:footnoteRef/>
      </w:r>
      <w:r>
        <w:t xml:space="preserve"> Landon, pp. 177-8.</w:t>
      </w:r>
    </w:p>
  </w:footnote>
  <w:footnote w:id="406">
    <w:p w14:paraId="0D68CD67" w14:textId="77777777" w:rsidR="00210409" w:rsidRDefault="00210409">
      <w:pPr>
        <w:pStyle w:val="FootnoteText"/>
      </w:pPr>
      <w:r>
        <w:rPr>
          <w:rStyle w:val="FootnoteReference"/>
        </w:rPr>
        <w:footnoteRef/>
      </w:r>
      <w:r>
        <w:t xml:space="preserve"> Landon, Manual of Councils, London, 1846, pg. 174.</w:t>
      </w:r>
    </w:p>
  </w:footnote>
  <w:footnote w:id="407">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7777777" w:rsidR="00210409" w:rsidRDefault="00210409">
      <w:pPr>
        <w:pStyle w:val="FootnoteText"/>
      </w:pPr>
      <w:r>
        <w:rPr>
          <w:rStyle w:val="FootnoteReference"/>
        </w:rPr>
        <w:footnoteRef/>
      </w:r>
      <w:r>
        <w:t xml:space="preserve"> See pg. 288 in original.</w:t>
      </w:r>
    </w:p>
  </w:footnote>
  <w:footnote w:id="410">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1">
    <w:p w14:paraId="0D68CD6C" w14:textId="77777777" w:rsidR="00210409" w:rsidRDefault="00210409">
      <w:pPr>
        <w:pStyle w:val="FootnoteText"/>
      </w:pPr>
      <w:r>
        <w:rPr>
          <w:rStyle w:val="FootnoteReference"/>
        </w:rPr>
        <w:footnoteRef/>
      </w:r>
      <w:r>
        <w:t xml:space="preserve"> Latin Christ. I, pg. 227.</w:t>
      </w:r>
    </w:p>
  </w:footnote>
  <w:footnote w:id="412">
    <w:p w14:paraId="0D68CD6D" w14:textId="77777777" w:rsidR="00210409" w:rsidRDefault="00210409">
      <w:pPr>
        <w:pStyle w:val="FootnoteText"/>
      </w:pPr>
      <w:r>
        <w:rPr>
          <w:rStyle w:val="FootnoteReference"/>
        </w:rPr>
        <w:footnoteRef/>
      </w:r>
      <w:r>
        <w:t xml:space="preserve"> Outlines Hist. Dog., pp. 204, 208, 320, 323.</w:t>
      </w:r>
    </w:p>
  </w:footnote>
  <w:footnote w:id="413">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4">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22DC"/>
    <w:rsid w:val="00854491"/>
    <w:rsid w:val="00854D0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647E"/>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191</Pages>
  <Words>71816</Words>
  <Characters>409357</Characters>
  <Application>Microsoft Office Word</Application>
  <DocSecurity>0</DocSecurity>
  <Lines>3411</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55</cp:revision>
  <cp:lastPrinted>2022-11-05T15:35:00Z</cp:lastPrinted>
  <dcterms:created xsi:type="dcterms:W3CDTF">2021-12-30T21:50:00Z</dcterms:created>
  <dcterms:modified xsi:type="dcterms:W3CDTF">2022-11-05T23:12:00Z</dcterms:modified>
</cp:coreProperties>
</file>