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3"/>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4"/>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8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0"/>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1"/>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3"/>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9"/>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400"/>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1"/>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2"/>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3"/>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4"/>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5"/>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6"/>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7"/>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8"/>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9"/>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0"/>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2"/>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3"/>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4"/>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33C7" w14:textId="77777777" w:rsidR="004E0A23" w:rsidRDefault="004E0A23" w:rsidP="00661298">
      <w:pPr>
        <w:spacing w:after="0" w:line="240" w:lineRule="auto"/>
      </w:pPr>
      <w:r>
        <w:separator/>
      </w:r>
    </w:p>
  </w:endnote>
  <w:endnote w:type="continuationSeparator" w:id="0">
    <w:p w14:paraId="2D27BDC1" w14:textId="77777777" w:rsidR="004E0A23" w:rsidRDefault="004E0A2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56CC" w14:textId="77777777" w:rsidR="004E0A23" w:rsidRDefault="004E0A23" w:rsidP="00661298">
      <w:pPr>
        <w:spacing w:after="0" w:line="240" w:lineRule="auto"/>
      </w:pPr>
      <w:r>
        <w:separator/>
      </w:r>
    </w:p>
  </w:footnote>
  <w:footnote w:type="continuationSeparator" w:id="0">
    <w:p w14:paraId="4E1ED396" w14:textId="77777777" w:rsidR="004E0A23" w:rsidRDefault="004E0A2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1">
    <w:p w14:paraId="0D68CD5F" w14:textId="77777777" w:rsidR="00210409" w:rsidRDefault="00210409">
      <w:pPr>
        <w:pStyle w:val="FootnoteText"/>
      </w:pPr>
      <w:r>
        <w:rPr>
          <w:rStyle w:val="FootnoteReference"/>
        </w:rPr>
        <w:footnoteRef/>
      </w:r>
      <w:r>
        <w:t xml:space="preserve"> Latin Christianity, I, 127.</w:t>
      </w:r>
    </w:p>
  </w:footnote>
  <w:footnote w:id="392">
    <w:p w14:paraId="0D68CD60" w14:textId="77777777" w:rsidR="00210409" w:rsidRDefault="00210409">
      <w:pPr>
        <w:pStyle w:val="FootnoteText"/>
      </w:pPr>
      <w:r>
        <w:rPr>
          <w:rStyle w:val="FootnoteReference"/>
        </w:rPr>
        <w:footnoteRef/>
      </w:r>
      <w:r>
        <w:t xml:space="preserve"> Farrar’s Lives of the Fathers.</w:t>
      </w:r>
    </w:p>
  </w:footnote>
  <w:footnote w:id="393">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4">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5">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6">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7">
    <w:p w14:paraId="0D68CD65" w14:textId="77777777" w:rsidR="00210409" w:rsidRDefault="00210409">
      <w:pPr>
        <w:pStyle w:val="FootnoteText"/>
      </w:pPr>
      <w:r>
        <w:rPr>
          <w:rStyle w:val="FootnoteReference"/>
        </w:rPr>
        <w:footnoteRef/>
      </w:r>
      <w:r>
        <w:t xml:space="preserve"> See pg. 284 in original.</w:t>
      </w:r>
    </w:p>
  </w:footnote>
  <w:footnote w:id="398">
    <w:p w14:paraId="0D68CD66" w14:textId="77777777" w:rsidR="00210409" w:rsidRDefault="00210409">
      <w:pPr>
        <w:pStyle w:val="FootnoteText"/>
      </w:pPr>
      <w:r>
        <w:rPr>
          <w:rStyle w:val="FootnoteReference"/>
        </w:rPr>
        <w:footnoteRef/>
      </w:r>
      <w:r>
        <w:t xml:space="preserve"> Landon, pp. 177-8.</w:t>
      </w:r>
    </w:p>
  </w:footnote>
  <w:footnote w:id="399">
    <w:p w14:paraId="0D68CD67" w14:textId="77777777" w:rsidR="00210409" w:rsidRDefault="00210409">
      <w:pPr>
        <w:pStyle w:val="FootnoteText"/>
      </w:pPr>
      <w:r>
        <w:rPr>
          <w:rStyle w:val="FootnoteReference"/>
        </w:rPr>
        <w:footnoteRef/>
      </w:r>
      <w:r>
        <w:t xml:space="preserve"> Landon, Manual of Councils, London, 1846, pg. 174.</w:t>
      </w:r>
    </w:p>
  </w:footnote>
  <w:footnote w:id="400">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1">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2">
    <w:p w14:paraId="0D68CD6A" w14:textId="77777777" w:rsidR="00210409" w:rsidRDefault="00210409">
      <w:pPr>
        <w:pStyle w:val="FootnoteText"/>
      </w:pPr>
      <w:r>
        <w:rPr>
          <w:rStyle w:val="FootnoteReference"/>
        </w:rPr>
        <w:footnoteRef/>
      </w:r>
      <w:r>
        <w:t xml:space="preserve"> See pg. 288 in original.</w:t>
      </w:r>
    </w:p>
  </w:footnote>
  <w:footnote w:id="403">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4">
    <w:p w14:paraId="0D68CD6C" w14:textId="77777777" w:rsidR="00210409" w:rsidRDefault="00210409">
      <w:pPr>
        <w:pStyle w:val="FootnoteText"/>
      </w:pPr>
      <w:r>
        <w:rPr>
          <w:rStyle w:val="FootnoteReference"/>
        </w:rPr>
        <w:footnoteRef/>
      </w:r>
      <w:r>
        <w:t xml:space="preserve"> Latin Christ. I, pg. 227.</w:t>
      </w:r>
    </w:p>
  </w:footnote>
  <w:footnote w:id="405">
    <w:p w14:paraId="0D68CD6D" w14:textId="77777777" w:rsidR="00210409" w:rsidRDefault="00210409">
      <w:pPr>
        <w:pStyle w:val="FootnoteText"/>
      </w:pPr>
      <w:r>
        <w:rPr>
          <w:rStyle w:val="FootnoteReference"/>
        </w:rPr>
        <w:footnoteRef/>
      </w:r>
      <w:r>
        <w:t xml:space="preserve"> Outlines Hist. Dog., pp. 204, 208, 320, 323.</w:t>
      </w:r>
    </w:p>
  </w:footnote>
  <w:footnote w:id="406">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7">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8">
    <w:p w14:paraId="0D68CD70" w14:textId="77777777" w:rsidR="00210409" w:rsidRDefault="00210409">
      <w:pPr>
        <w:pStyle w:val="FootnoteText"/>
      </w:pPr>
      <w:r>
        <w:rPr>
          <w:rStyle w:val="FootnoteReference"/>
        </w:rPr>
        <w:footnoteRef/>
      </w:r>
      <w:r>
        <w:t xml:space="preserve"> Alexandria and her Schools.</w:t>
      </w:r>
    </w:p>
  </w:footnote>
  <w:footnote w:id="409">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0">
    <w:p w14:paraId="0D68CD72" w14:textId="77777777" w:rsidR="00210409" w:rsidRDefault="00210409">
      <w:pPr>
        <w:pStyle w:val="FootnoteText"/>
      </w:pPr>
      <w:r>
        <w:rPr>
          <w:rStyle w:val="FootnoteReference"/>
        </w:rPr>
        <w:footnoteRef/>
      </w:r>
      <w:r>
        <w:t xml:space="preserve"> Rev. S. Crane, D.D., in The Universalist.</w:t>
      </w:r>
    </w:p>
  </w:footnote>
  <w:footnote w:id="411">
    <w:p w14:paraId="0D68CD73" w14:textId="77777777" w:rsidR="00210409" w:rsidRDefault="00210409">
      <w:pPr>
        <w:pStyle w:val="FootnoteText"/>
      </w:pPr>
      <w:r>
        <w:rPr>
          <w:rStyle w:val="FootnoteReference"/>
        </w:rPr>
        <w:footnoteRef/>
      </w:r>
      <w:r>
        <w:t xml:space="preserve"> Grimm’s Michael Angelo.</w:t>
      </w:r>
    </w:p>
  </w:footnote>
  <w:footnote w:id="412">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3">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4">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0A23"/>
    <w:rsid w:val="004E3BF8"/>
    <w:rsid w:val="004E64CE"/>
    <w:rsid w:val="004E7976"/>
    <w:rsid w:val="00502A48"/>
    <w:rsid w:val="00524495"/>
    <w:rsid w:val="00524ECB"/>
    <w:rsid w:val="00526CC2"/>
    <w:rsid w:val="00540B03"/>
    <w:rsid w:val="00556C34"/>
    <w:rsid w:val="00580870"/>
    <w:rsid w:val="00586B23"/>
    <w:rsid w:val="00586EE4"/>
    <w:rsid w:val="00592BE3"/>
    <w:rsid w:val="00596BAE"/>
    <w:rsid w:val="00597B90"/>
    <w:rsid w:val="005A4D11"/>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60A66"/>
    <w:rsid w:val="00760E12"/>
    <w:rsid w:val="007638B5"/>
    <w:rsid w:val="007715A5"/>
    <w:rsid w:val="0077208A"/>
    <w:rsid w:val="00773A96"/>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181</Pages>
  <Words>70728</Words>
  <Characters>403156</Characters>
  <Application>Microsoft Office Word</Application>
  <DocSecurity>0</DocSecurity>
  <Lines>3359</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25</cp:revision>
  <dcterms:created xsi:type="dcterms:W3CDTF">2021-12-30T21:50:00Z</dcterms:created>
  <dcterms:modified xsi:type="dcterms:W3CDTF">2022-11-05T02:34:00Z</dcterms:modified>
</cp:coreProperties>
</file>