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r>
        <w:t>A Saintly Woman.</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proofErr w:type="spellStart"/>
      <w:r>
        <w:t>Macrina’s</w:t>
      </w:r>
      <w:proofErr w:type="spellEnd"/>
      <w:r>
        <w:t xml:space="preserve"> Religious Sentiments.</w:t>
      </w:r>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r>
        <w:lastRenderedPageBreak/>
        <w:t>Her Last Days.</w:t>
      </w:r>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proofErr w:type="spellStart"/>
      <w:r>
        <w:t>Macrina</w:t>
      </w:r>
      <w:proofErr w:type="spellEnd"/>
      <w:r>
        <w:t xml:space="preserve"> a Representative Universalist.</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lastRenderedPageBreak/>
        <w:t>Basil the Great.</w:t>
      </w:r>
      <w:bookmarkEnd w:id="78"/>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r>
        <w:t>Basil’s Language.</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r>
        <w:t>Cave’s Error.</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r>
        <w:t>Eulogies of Basil.</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r>
        <w:t>The Mass of Christians Universalists.</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r>
        <w:t>Gregory’s Language.</w:t>
      </w:r>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proofErr w:type="spellStart"/>
      <w:r w:rsidRPr="009874A0">
        <w:rPr>
          <w:rFonts w:ascii="Bookman Old Style" w:hAnsi="Bookman Old Style"/>
          <w:i/>
          <w:iCs/>
        </w:rPr>
        <w:t>Sermo</w:t>
      </w:r>
      <w:proofErr w:type="spellEnd"/>
      <w:r w:rsidRPr="009874A0">
        <w:rPr>
          <w:rFonts w:ascii="Bookman Old Style" w:hAnsi="Bookman Old Style"/>
          <w:i/>
          <w:iCs/>
        </w:rPr>
        <w:t xml:space="preserve"> </w:t>
      </w:r>
      <w:proofErr w:type="spellStart"/>
      <w:r w:rsidRPr="009874A0">
        <w:rPr>
          <w:rFonts w:ascii="Bookman Old Style" w:hAnsi="Bookman Old Style"/>
          <w:i/>
          <w:iCs/>
        </w:rPr>
        <w:t>Catecheticus</w:t>
      </w:r>
      <w:proofErr w:type="spellEnd"/>
      <w:r w:rsidRPr="009874A0">
        <w:rPr>
          <w:rFonts w:ascii="Bookman Old Style" w:hAnsi="Bookman Old Style"/>
          <w:i/>
          <w:iCs/>
        </w:rPr>
        <w:t xml:space="preserve">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r>
        <w:t>Perversions of Historians.</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r>
        <w:t>Opinions in the Fourth Century.</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24A50B95" w14:textId="77777777" w:rsidR="007230A0"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lastRenderedPageBreak/>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r>
        <w:t xml:space="preserve">Works of </w:t>
      </w:r>
      <w:proofErr w:type="spellStart"/>
      <w:r>
        <w:t>Theodoret</w:t>
      </w:r>
      <w:proofErr w:type="spellEnd"/>
      <w:r>
        <w:t>.</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37AEEA87" w14:textId="6ECA0044" w:rsidR="008C5543" w:rsidRPr="008C5543" w:rsidRDefault="008C5543" w:rsidP="008C5543">
      <w:pPr>
        <w:pStyle w:val="Heading2"/>
      </w:pPr>
      <w:r>
        <w:t>Transition of Christianity.</w:t>
      </w:r>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r>
        <w:t>Jerome’s Politic Course.</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r>
        <w:lastRenderedPageBreak/>
        <w:t>A Miserable Story.</w:t>
      </w:r>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r>
        <w:t>Chrysostom’s Views.</w:t>
      </w:r>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3055D0D3" w14:textId="0EB380DA" w:rsidR="008C5543" w:rsidRPr="002F5DC5" w:rsidRDefault="008C5543" w:rsidP="008C5543">
      <w:pPr>
        <w:pStyle w:val="Heading3"/>
      </w:pPr>
      <w:r>
        <w:lastRenderedPageBreak/>
        <w:t>Neander and Schaff.</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79E38E2F" w14:textId="793DA5DF" w:rsidR="00AF4CF9" w:rsidRPr="002F5DC5" w:rsidRDefault="00AF4CF9" w:rsidP="00AF4CF9">
      <w:pPr>
        <w:pStyle w:val="Heading2"/>
      </w:pPr>
      <w:r>
        <w:t>Augustine’s Acknowledgment.</w:t>
      </w:r>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r>
        <w:t>Augustine’s Criticisms and Mistakes.</w:t>
      </w:r>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w:t>
      </w:r>
      <w:r w:rsidR="003B5022" w:rsidRPr="00586EE4">
        <w:rPr>
          <w:rFonts w:ascii="Bookman Old Style" w:hAnsi="Bookman Old Style"/>
          <w:i/>
          <w:iCs/>
        </w:rPr>
        <w:lastRenderedPageBreak/>
        <w:t xml:space="preserve">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proofErr w:type="spellStart"/>
      <w:r>
        <w:t>Milman</w:t>
      </w:r>
      <w:proofErr w:type="spellEnd"/>
      <w:r>
        <w:t xml:space="preserve"> on Augustinianism.</w:t>
      </w:r>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Milman</w:t>
      </w:r>
      <w:proofErr w:type="spellEnd"/>
      <w:r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3"/>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 xml:space="preserve">ne </w:t>
      </w:r>
      <w:proofErr w:type="gramStart"/>
      <w:r w:rsidRPr="002F5DC5">
        <w:rPr>
          <w:rFonts w:ascii="Bookman Old Style" w:hAnsi="Bookman Old Style"/>
        </w:rPr>
        <w:t>appeared</w:t>
      </w:r>
      <w:proofErr w:type="gramEnd"/>
      <w:r w:rsidRPr="002F5DC5">
        <w:rPr>
          <w:rFonts w:ascii="Bookman Old Style" w:hAnsi="Bookman Old Style"/>
        </w:rPr>
        <w:t xml:space="preserve">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4"/>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652BE116" w14:textId="60FC743A" w:rsidR="00AF4CF9" w:rsidRPr="002F5DC5" w:rsidRDefault="00AF4CF9" w:rsidP="00AF4CF9">
      <w:pPr>
        <w:pStyle w:val="Heading2"/>
      </w:pPr>
      <w:r>
        <w:t>Augustine Less Severe Than Modern Orthodoxy.</w:t>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r>
        <w:t>Decadence and Deterioration.</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r>
        <w:t>Christianity Plagiarized.</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10EBB763" w14:textId="09560437" w:rsidR="00AF4CF9" w:rsidRPr="002F5DC5" w:rsidRDefault="00AF4CF9" w:rsidP="00AF4CF9">
      <w:pPr>
        <w:pStyle w:val="Heading2"/>
      </w:pPr>
      <w:r>
        <w:t>Augustinianism Cruel.</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1626D" w14:textId="77777777" w:rsidR="00836C17" w:rsidRDefault="00836C17" w:rsidP="00661298">
      <w:pPr>
        <w:spacing w:after="0" w:line="240" w:lineRule="auto"/>
      </w:pPr>
      <w:r>
        <w:separator/>
      </w:r>
    </w:p>
  </w:endnote>
  <w:endnote w:type="continuationSeparator" w:id="0">
    <w:p w14:paraId="5DC3EC25" w14:textId="77777777" w:rsidR="00836C17" w:rsidRDefault="00836C17"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DB64" w14:textId="77777777" w:rsidR="00836C17" w:rsidRDefault="00836C17" w:rsidP="00661298">
      <w:pPr>
        <w:spacing w:after="0" w:line="240" w:lineRule="auto"/>
      </w:pPr>
      <w:r>
        <w:separator/>
      </w:r>
    </w:p>
  </w:footnote>
  <w:footnote w:type="continuationSeparator" w:id="0">
    <w:p w14:paraId="0273C057" w14:textId="77777777" w:rsidR="00836C17" w:rsidRDefault="00836C17"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w:t>
      </w:r>
      <w:proofErr w:type="spellStart"/>
      <w:r>
        <w:t>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w:t>
      </w:r>
      <w:r>
        <w:t>Volume 2</w:t>
      </w:r>
      <w:r>
        <w:t xml:space="preserve">. A.W. </w:t>
      </w:r>
      <w:proofErr w:type="spellStart"/>
      <w:r>
        <w:t>Unzer</w:t>
      </w:r>
      <w:proofErr w:type="spellEnd"/>
      <w:r>
        <w:t>,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proofErr w:type="spellStart"/>
      <w:r>
        <w:t>Photius</w:t>
      </w:r>
      <w:proofErr w:type="spellEnd"/>
      <w:r>
        <w:t>,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proofErr w:type="spellStart"/>
      <w:r>
        <w:t>Allin</w:t>
      </w:r>
      <w:proofErr w:type="spellEnd"/>
      <w:r>
        <w:t>,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w:t>
      </w:r>
      <w:proofErr w:type="spellStart"/>
      <w:r>
        <w:t>Tillemont</w:t>
      </w:r>
      <w:proofErr w:type="spellEnd"/>
      <w:r>
        <w: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 xml:space="preserve">Conf. vi, 3, Ep. </w:t>
      </w:r>
      <w:proofErr w:type="spellStart"/>
      <w:r>
        <w:t>xivii</w:t>
      </w:r>
      <w:proofErr w:type="spellEnd"/>
      <w:r>
        <w:t>,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 xml:space="preserve">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 xml:space="preserve">Adv. </w:t>
      </w:r>
      <w:proofErr w:type="spellStart"/>
      <w:r>
        <w:t>Arium</w:t>
      </w:r>
      <w:proofErr w:type="spellEnd"/>
      <w:r>
        <w:t xml:space="preserve">, lib. I:25, </w:t>
      </w:r>
      <w:proofErr w:type="spellStart"/>
      <w:r>
        <w:t>Migne</w:t>
      </w:r>
      <w:proofErr w:type="spellEnd"/>
      <w:r>
        <w:t>,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 xml:space="preserve">De </w:t>
      </w:r>
      <w:proofErr w:type="spellStart"/>
      <w:r>
        <w:t>Trin</w:t>
      </w:r>
      <w:proofErr w:type="spellEnd"/>
      <w:r>
        <w:t>.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proofErr w:type="spellStart"/>
      <w:r>
        <w:t>Migne</w:t>
      </w:r>
      <w:proofErr w:type="spellEnd"/>
      <w:r>
        <w:t>,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proofErr w:type="spellStart"/>
      <w:r>
        <w:t>Homilia</w:t>
      </w:r>
      <w:proofErr w:type="spellEnd"/>
      <w:r>
        <w:t xml:space="preserve">. Pasch. xx. </w:t>
      </w:r>
      <w:proofErr w:type="spellStart"/>
      <w:r>
        <w:t>Migne</w:t>
      </w:r>
      <w:proofErr w:type="spellEnd"/>
      <w:r>
        <w:t>,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proofErr w:type="spellStart"/>
      <w:r>
        <w:t>Glaph</w:t>
      </w:r>
      <w:proofErr w:type="spellEnd"/>
      <w:r>
        <w:t>.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proofErr w:type="spellStart"/>
      <w:r>
        <w:t>Assemani</w:t>
      </w:r>
      <w:proofErr w:type="spellEnd"/>
      <w:r>
        <w:t xml:space="preserve"> Bib. </w:t>
      </w:r>
      <w:proofErr w:type="spellStart"/>
      <w:r>
        <w:t>Orientalis</w:t>
      </w:r>
      <w:proofErr w:type="spellEnd"/>
      <w:r>
        <w:t>,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proofErr w:type="spellStart"/>
      <w:r>
        <w:t>Assemani</w:t>
      </w:r>
      <w:proofErr w:type="spellEnd"/>
      <w:r>
        <w:t xml:space="preserve"> Bibl. Orient., II, pg. 291.</w:t>
      </w:r>
    </w:p>
  </w:footnote>
  <w:footnote w:id="374">
    <w:p w14:paraId="0D68CD48" w14:textId="5C53026B" w:rsidR="00210409" w:rsidRDefault="00210409">
      <w:pPr>
        <w:pStyle w:val="FootnoteText"/>
      </w:pPr>
      <w:r>
        <w:rPr>
          <w:rStyle w:val="FootnoteReference"/>
        </w:rPr>
        <w:footnoteRef/>
      </w:r>
      <w:r>
        <w:t xml:space="preserve"> </w:t>
      </w:r>
      <w:r w:rsidR="008C5543">
        <w:t xml:space="preserve">JW: </w:t>
      </w:r>
      <w:proofErr w:type="spellStart"/>
      <w:r>
        <w:t>Hipp</w:t>
      </w:r>
      <w:proofErr w:type="spellEnd"/>
      <w:r>
        <w:t>. and His Age.</w:t>
      </w:r>
    </w:p>
  </w:footnote>
  <w:footnote w:id="375">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6">
    <w:p w14:paraId="0D68CD4A" w14:textId="35B19FC1" w:rsidR="00210409" w:rsidRDefault="00210409">
      <w:pPr>
        <w:pStyle w:val="FootnoteText"/>
      </w:pPr>
      <w:r>
        <w:rPr>
          <w:rStyle w:val="FootnoteReference"/>
        </w:rPr>
        <w:footnoteRef/>
      </w:r>
      <w:r>
        <w:t xml:space="preserve"> </w:t>
      </w:r>
      <w:r w:rsidR="008C5543">
        <w:t xml:space="preserve">JW: </w:t>
      </w:r>
      <w:r>
        <w:t xml:space="preserve">Epist. xxxiii. </w:t>
      </w:r>
      <w:proofErr w:type="spellStart"/>
      <w:r>
        <w:t>Migne</w:t>
      </w:r>
      <w:proofErr w:type="spellEnd"/>
      <w:r>
        <w:t xml:space="preserve"> Vol. XXII.</w:t>
      </w:r>
    </w:p>
  </w:footnote>
  <w:footnote w:id="377">
    <w:p w14:paraId="0D68CD4B" w14:textId="257A8928" w:rsidR="00210409" w:rsidRDefault="00210409">
      <w:pPr>
        <w:pStyle w:val="FootnoteText"/>
      </w:pPr>
      <w:r>
        <w:rPr>
          <w:rStyle w:val="FootnoteReference"/>
        </w:rPr>
        <w:footnoteRef/>
      </w:r>
      <w:r>
        <w:t xml:space="preserve"> </w:t>
      </w:r>
      <w:r w:rsidR="008C5543">
        <w:t xml:space="preserve">JW: </w:t>
      </w:r>
      <w:proofErr w:type="spellStart"/>
      <w:r>
        <w:t>Plumptre</w:t>
      </w:r>
      <w:proofErr w:type="spellEnd"/>
      <w:r>
        <w:t>, Dictionary of Christian Biography, II, Art. “Eschatology.”</w:t>
      </w:r>
    </w:p>
  </w:footnote>
  <w:footnote w:id="378">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79">
    <w:p w14:paraId="0D68CD4D" w14:textId="0B239C66" w:rsidR="00210409" w:rsidRDefault="00210409">
      <w:pPr>
        <w:pStyle w:val="FootnoteText"/>
      </w:pPr>
      <w:r>
        <w:rPr>
          <w:rStyle w:val="FootnoteReference"/>
        </w:rPr>
        <w:footnoteRef/>
      </w:r>
      <w:r>
        <w:t xml:space="preserve"> </w:t>
      </w:r>
      <w:r w:rsidR="008C5543">
        <w:t xml:space="preserve">JW: Latin: </w:t>
      </w:r>
      <w:r>
        <w:t xml:space="preserve">“alterum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0">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1">
    <w:p w14:paraId="0D68CD4F" w14:textId="60EE6379" w:rsidR="00210409" w:rsidRDefault="00210409">
      <w:pPr>
        <w:pStyle w:val="FootnoteText"/>
      </w:pPr>
      <w:r>
        <w:rPr>
          <w:rStyle w:val="FootnoteReference"/>
        </w:rPr>
        <w:footnoteRef/>
      </w:r>
      <w:r>
        <w:t xml:space="preserve"> </w:t>
      </w:r>
      <w:r w:rsidR="008C5543">
        <w:t xml:space="preserve">JW: </w:t>
      </w:r>
      <w:r>
        <w:t xml:space="preserve">Universalist Quarterly, </w:t>
      </w:r>
      <w:proofErr w:type="gramStart"/>
      <w:r>
        <w:t>May,</w:t>
      </w:r>
      <w:proofErr w:type="gramEnd"/>
      <w:r>
        <w:t xml:space="preserve"> 1838.</w:t>
      </w:r>
    </w:p>
  </w:footnote>
  <w:footnote w:id="382">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3">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4">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5">
    <w:p w14:paraId="0D68CD53" w14:textId="7BA1FB7C" w:rsidR="00210409" w:rsidRDefault="00210409">
      <w:pPr>
        <w:pStyle w:val="FootnoteText"/>
      </w:pPr>
      <w:r>
        <w:rPr>
          <w:rStyle w:val="FootnoteReference"/>
        </w:rPr>
        <w:footnoteRef/>
      </w:r>
      <w:r>
        <w:t xml:space="preserve"> </w:t>
      </w:r>
      <w:r w:rsidR="00AF4CF9">
        <w:t xml:space="preserve">JW: </w:t>
      </w:r>
      <w:r>
        <w:t xml:space="preserve">Confessions, III, Chap. </w:t>
      </w:r>
      <w:proofErr w:type="spellStart"/>
      <w:r>
        <w:t>i</w:t>
      </w:r>
      <w:proofErr w:type="spellEnd"/>
      <w:r>
        <w:t>-iii.</w:t>
      </w:r>
    </w:p>
  </w:footnote>
  <w:footnote w:id="386">
    <w:p w14:paraId="0D68CD54" w14:textId="5B16C716" w:rsidR="00210409" w:rsidRDefault="00210409">
      <w:pPr>
        <w:pStyle w:val="FootnoteText"/>
      </w:pPr>
      <w:r>
        <w:rPr>
          <w:rStyle w:val="FootnoteReference"/>
        </w:rPr>
        <w:footnoteRef/>
      </w:r>
      <w:r>
        <w:t xml:space="preserve"> </w:t>
      </w:r>
      <w:r w:rsidR="00AF4CF9">
        <w:t xml:space="preserve">JW: </w:t>
      </w:r>
      <w:r>
        <w:t xml:space="preserve">Robert Burns’ Address to the </w:t>
      </w:r>
      <w:proofErr w:type="spellStart"/>
      <w:r>
        <w:t>De’il</w:t>
      </w:r>
      <w:proofErr w:type="spellEnd"/>
      <w:r>
        <w:t>.</w:t>
      </w:r>
    </w:p>
  </w:footnote>
  <w:footnote w:id="387">
    <w:p w14:paraId="0D68CD55" w14:textId="030975D4" w:rsidR="00210409" w:rsidRDefault="00210409">
      <w:pPr>
        <w:pStyle w:val="FootnoteText"/>
      </w:pPr>
      <w:r>
        <w:rPr>
          <w:rStyle w:val="FootnoteReference"/>
        </w:rPr>
        <w:footnoteRef/>
      </w:r>
      <w:r>
        <w:t xml:space="preserve"> </w:t>
      </w:r>
      <w:r w:rsidR="00AF4CF9">
        <w:t xml:space="preserve">JW: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8">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89">
    <w:p w14:paraId="0D68CD57" w14:textId="4E3168A3" w:rsidR="00210409" w:rsidRDefault="00210409">
      <w:pPr>
        <w:pStyle w:val="FootnoteText"/>
      </w:pPr>
      <w:r>
        <w:rPr>
          <w:rStyle w:val="FootnoteReference"/>
        </w:rPr>
        <w:footnoteRef/>
      </w:r>
      <w:r>
        <w:t xml:space="preserve"> </w:t>
      </w:r>
      <w:r w:rsidR="00AF4CF9">
        <w:t xml:space="preserve">JW: </w:t>
      </w:r>
      <w:r>
        <w:t xml:space="preserve">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0">
    <w:p w14:paraId="0D68CD58" w14:textId="6D445D54" w:rsidR="00210409" w:rsidRDefault="00210409">
      <w:pPr>
        <w:pStyle w:val="FootnoteText"/>
      </w:pPr>
      <w:r>
        <w:rPr>
          <w:rStyle w:val="FootnoteReference"/>
        </w:rPr>
        <w:footnoteRef/>
      </w:r>
      <w:r>
        <w:t xml:space="preserve"> </w:t>
      </w:r>
      <w:r w:rsidR="00AF4CF9">
        <w:t xml:space="preserve">JW: </w:t>
      </w:r>
      <w:proofErr w:type="spellStart"/>
      <w:r>
        <w:t>Misercordibus</w:t>
      </w:r>
      <w:proofErr w:type="spellEnd"/>
      <w:r>
        <w:t xml:space="preserve"> </w:t>
      </w:r>
      <w:proofErr w:type="spellStart"/>
      <w:r>
        <w:t>nostris</w:t>
      </w:r>
      <w:proofErr w:type="spellEnd"/>
      <w:r>
        <w:t>. De Civ., Dei., xxi:17.</w:t>
      </w:r>
    </w:p>
  </w:footnote>
  <w:footnote w:id="391">
    <w:p w14:paraId="0D68CD59" w14:textId="26B04FA5" w:rsidR="00210409" w:rsidRDefault="00210409">
      <w:pPr>
        <w:pStyle w:val="FootnoteText"/>
      </w:pPr>
      <w:r>
        <w:rPr>
          <w:rStyle w:val="FootnoteReference"/>
        </w:rPr>
        <w:footnoteRef/>
      </w:r>
      <w:r>
        <w:t xml:space="preserve"> </w:t>
      </w:r>
      <w:r w:rsidR="00AF4CF9">
        <w:t xml:space="preserve">JW: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3">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4">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5">
    <w:p w14:paraId="0D68CD5D" w14:textId="2F5808AD" w:rsidR="00210409" w:rsidRDefault="00210409">
      <w:pPr>
        <w:pStyle w:val="FootnoteText"/>
      </w:pPr>
      <w:r>
        <w:rPr>
          <w:rStyle w:val="FootnoteReference"/>
        </w:rPr>
        <w:footnoteRef/>
      </w:r>
      <w:r>
        <w:t xml:space="preserve"> </w:t>
      </w:r>
      <w:r w:rsidR="00AF4CF9">
        <w:t xml:space="preserve">JW: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6">
    <w:p w14:paraId="0D68CD5E" w14:textId="27D73141" w:rsidR="00210409" w:rsidRDefault="00210409">
      <w:pPr>
        <w:pStyle w:val="FootnoteText"/>
      </w:pPr>
      <w:r>
        <w:rPr>
          <w:rStyle w:val="FootnoteReference"/>
        </w:rPr>
        <w:footnoteRef/>
      </w:r>
      <w:r>
        <w:t xml:space="preserve"> </w:t>
      </w:r>
      <w:r w:rsidR="00AF4CF9">
        <w:t xml:space="preserve">JW: </w:t>
      </w:r>
      <w:r>
        <w:t xml:space="preserve">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399">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0">
    <w:p w14:paraId="0D68CD61" w14:textId="0C25DFA1" w:rsidR="00210409" w:rsidRDefault="00210409">
      <w:pPr>
        <w:pStyle w:val="FootnoteText"/>
      </w:pPr>
      <w:r>
        <w:rPr>
          <w:rStyle w:val="FootnoteReference"/>
        </w:rPr>
        <w:footnoteRef/>
      </w:r>
      <w:r>
        <w:t xml:space="preserve"> </w:t>
      </w:r>
      <w:r w:rsidR="00AF4CF9">
        <w:t xml:space="preserve">JW: </w:t>
      </w:r>
      <w:r>
        <w:t xml:space="preserve">“L’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1">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2">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3">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4">
    <w:p w14:paraId="0D68CD65" w14:textId="77777777" w:rsidR="00210409" w:rsidRDefault="00210409">
      <w:pPr>
        <w:pStyle w:val="FootnoteText"/>
      </w:pPr>
      <w:r>
        <w:rPr>
          <w:rStyle w:val="FootnoteReference"/>
        </w:rPr>
        <w:footnoteRef/>
      </w:r>
      <w:r>
        <w:t xml:space="preserve"> See pg. 284 in original.</w:t>
      </w:r>
    </w:p>
  </w:footnote>
  <w:footnote w:id="405">
    <w:p w14:paraId="0D68CD66" w14:textId="77777777" w:rsidR="00210409" w:rsidRDefault="00210409">
      <w:pPr>
        <w:pStyle w:val="FootnoteText"/>
      </w:pPr>
      <w:r>
        <w:rPr>
          <w:rStyle w:val="FootnoteReference"/>
        </w:rPr>
        <w:footnoteRef/>
      </w:r>
      <w:r>
        <w:t xml:space="preserve"> Landon, pp. 177-8.</w:t>
      </w:r>
    </w:p>
  </w:footnote>
  <w:footnote w:id="406">
    <w:p w14:paraId="0D68CD67" w14:textId="77777777" w:rsidR="00210409" w:rsidRDefault="00210409">
      <w:pPr>
        <w:pStyle w:val="FootnoteText"/>
      </w:pPr>
      <w:r>
        <w:rPr>
          <w:rStyle w:val="FootnoteReference"/>
        </w:rPr>
        <w:footnoteRef/>
      </w:r>
      <w:r>
        <w:t xml:space="preserve"> Landon, Manual of Councils, London, 1846, pg. 174.</w:t>
      </w:r>
    </w:p>
  </w:footnote>
  <w:footnote w:id="407">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8">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9">
    <w:p w14:paraId="0D68CD6A" w14:textId="77777777" w:rsidR="00210409" w:rsidRDefault="00210409">
      <w:pPr>
        <w:pStyle w:val="FootnoteText"/>
      </w:pPr>
      <w:r>
        <w:rPr>
          <w:rStyle w:val="FootnoteReference"/>
        </w:rPr>
        <w:footnoteRef/>
      </w:r>
      <w:r>
        <w:t xml:space="preserve"> See pg. 288 in original.</w:t>
      </w:r>
    </w:p>
  </w:footnote>
  <w:footnote w:id="410">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1">
    <w:p w14:paraId="0D68CD6C" w14:textId="77777777" w:rsidR="00210409" w:rsidRDefault="00210409">
      <w:pPr>
        <w:pStyle w:val="FootnoteText"/>
      </w:pPr>
      <w:r>
        <w:rPr>
          <w:rStyle w:val="FootnoteReference"/>
        </w:rPr>
        <w:footnoteRef/>
      </w:r>
      <w:r>
        <w:t xml:space="preserve"> Latin Christ. I, pg. 227.</w:t>
      </w:r>
    </w:p>
  </w:footnote>
  <w:footnote w:id="412">
    <w:p w14:paraId="0D68CD6D" w14:textId="77777777" w:rsidR="00210409" w:rsidRDefault="00210409">
      <w:pPr>
        <w:pStyle w:val="FootnoteText"/>
      </w:pPr>
      <w:r>
        <w:rPr>
          <w:rStyle w:val="FootnoteReference"/>
        </w:rPr>
        <w:footnoteRef/>
      </w:r>
      <w:r>
        <w:t xml:space="preserve"> Outlines Hist. Dog., pp. 204, 208, 320, 323.</w:t>
      </w:r>
    </w:p>
  </w:footnote>
  <w:footnote w:id="413">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4">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5">
    <w:p w14:paraId="0D68CD70" w14:textId="77777777" w:rsidR="00210409" w:rsidRDefault="00210409">
      <w:pPr>
        <w:pStyle w:val="FootnoteText"/>
      </w:pPr>
      <w:r>
        <w:rPr>
          <w:rStyle w:val="FootnoteReference"/>
        </w:rPr>
        <w:footnoteRef/>
      </w:r>
      <w:r>
        <w:t xml:space="preserve"> Alexandria and her Schools.</w:t>
      </w:r>
    </w:p>
  </w:footnote>
  <w:footnote w:id="416">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7">
    <w:p w14:paraId="0D68CD72" w14:textId="77777777" w:rsidR="00210409" w:rsidRDefault="00210409">
      <w:pPr>
        <w:pStyle w:val="FootnoteText"/>
      </w:pPr>
      <w:r>
        <w:rPr>
          <w:rStyle w:val="FootnoteReference"/>
        </w:rPr>
        <w:footnoteRef/>
      </w:r>
      <w:r>
        <w:t xml:space="preserve"> Rev. S. Crane, D.D., in The Universalist.</w:t>
      </w:r>
    </w:p>
  </w:footnote>
  <w:footnote w:id="418">
    <w:p w14:paraId="0D68CD73" w14:textId="77777777" w:rsidR="00210409" w:rsidRDefault="00210409">
      <w:pPr>
        <w:pStyle w:val="FootnoteText"/>
      </w:pPr>
      <w:r>
        <w:rPr>
          <w:rStyle w:val="FootnoteReference"/>
        </w:rPr>
        <w:footnoteRef/>
      </w:r>
      <w:r>
        <w:t xml:space="preserve"> Grimm’s Michael Angelo.</w:t>
      </w:r>
    </w:p>
  </w:footnote>
  <w:footnote w:id="419">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20">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36C17"/>
    <w:rsid w:val="0084195D"/>
    <w:rsid w:val="00843C6F"/>
    <w:rsid w:val="00844304"/>
    <w:rsid w:val="008522DC"/>
    <w:rsid w:val="00854491"/>
    <w:rsid w:val="00854D0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191</Pages>
  <Words>71848</Words>
  <Characters>409539</Characters>
  <Application>Microsoft Office Word</Application>
  <DocSecurity>0</DocSecurity>
  <Lines>3412</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56</cp:revision>
  <cp:lastPrinted>2022-11-05T15:35:00Z</cp:lastPrinted>
  <dcterms:created xsi:type="dcterms:W3CDTF">2021-12-30T21:50:00Z</dcterms:created>
  <dcterms:modified xsi:type="dcterms:W3CDTF">2022-11-05T23:17:00Z</dcterms:modified>
</cp:coreProperties>
</file>