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César: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¿Dónde se escribe la “memoria” del “mexicano”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¿hay una “memoria” o no la inventaron?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parte de la memoria habitamos?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¿es consciente o inconsciente es relación con la memoria…?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Alejandro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Rolando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¿No son los códices un dispositivo de exotización?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 decir, uno tiene que seguir las rutas de la colonización para acceder a un dispositivo totalmente tocado por el encuentro de varios mundos y del que sólo existen unos pocos de antes de 1521.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veces me siento más tomando el rifle de Vasconcelos que haciendo cualquier acto justicia.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