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e-Pilot Cognitive &amp; Decision-Making Monitoring System</w:t>
      </w:r>
    </w:p>
    <w:p>
      <w:pPr>
        <w:pStyle w:val="Subtitle"/>
      </w:pPr>
      <w:r>
        <w:t xml:space="preserve">A Database-Centric, IoT-Enabled Framework for Real-Time Cognitive State Assessment of Commercial and Freighter Aircraft Pilots</w:t>
      </w:r>
    </w:p>
    <w:p>
      <w:pPr>
        <w:spacing w:after="80"/>
        <w:jc w:val="center"/>
      </w:pPr>
      <w:r>
        <w:rPr>
          <w:rFonts w:ascii="Calibri" w:cs="Calibri" w:eastAsia="Calibri" w:hAnsi="Calibri"/>
          <w:i/>
          <w:iCs/>
          <w:sz w:val="22"/>
          <w:szCs w:val="22"/>
        </w:rPr>
        <w:t xml:space="preserve">BCSE302L Database Systems &amp; BCSE302P Database Systems Lab</w:t>
      </w:r>
    </w:p>
    <w:p>
      <w:pPr>
        <w:spacing w:after="80"/>
        <w:jc w:val="center"/>
      </w:pPr>
      <w:r>
        <w:rPr>
          <w:rFonts w:ascii="Calibri" w:cs="Calibri" w:eastAsia="Calibri" w:hAnsi="Calibri"/>
          <w:i/>
          <w:iCs/>
          <w:sz w:val="22"/>
          <w:szCs w:val="22"/>
        </w:rPr>
        <w:t xml:space="preserve">Course Project Report</w:t>
      </w:r>
    </w:p>
    <w:p>
      <w:pPr>
        <w:spacing w:after="1400"/>
        <w:jc w:val="center"/>
      </w:pPr>
      <w:r>
        <w:rPr>
          <w:rFonts w:ascii="Calibri" w:cs="Calibri" w:eastAsia="Calibri" w:hAnsi="Calibri"/>
          <w:i/>
          <w:iCs/>
          <w:sz w:val="22"/>
          <w:szCs w:val="22"/>
        </w:rPr>
        <w:t xml:space="preserve">VIT Vellore</w:t>
      </w:r>
    </w:p>
    <w:p>
      <w:r>
        <w:br w:type="page"/>
      </w:r>
    </w:p>
    <w:p>
      <w:pPr>
        <w:pStyle w:val="Heading1"/>
        <w:spacing w:after="160" w:before="320"/>
      </w:pPr>
      <w:r>
        <w:t xml:space="preserve">Abstract</w:t>
      </w:r>
    </w:p>
    <w:p>
      <w:pPr>
        <w:spacing w:after="160" w:line="276"/>
        <w:jc w:val="both"/>
      </w:pPr>
      <w:r>
        <w:rPr>
          <w:rFonts w:ascii="Calibri" w:cs="Calibri" w:eastAsia="Calibri" w:hAnsi="Calibri"/>
          <w:sz w:val="22"/>
          <w:szCs w:val="22"/>
        </w:rPr>
        <w:t xml:space="preserve">Human error remains one of the most persistent contributing factors in aviation incidents, and a substantial share of that error traces not to a lack of piloting skill but to a degraded cognitive state — fatigue, stress, attentional tunnelling, or cognitive overload — particularly during high-workload phases such as system failures, severe weather, or other in-flight emergencies. Existing pilot health-monitoring proposals overwhelmingly emphasise physical vitals (heart rate, blood oxygen, body temperature), while the pilot's cognitive and decision-making state — arguably the more safety-critical variable — remains comparatively under-instrumented.</w:t>
      </w:r>
    </w:p>
    <w:p>
      <w:pPr>
        <w:spacing w:after="160" w:line="276"/>
        <w:jc w:val="both"/>
      </w:pPr>
      <w:r>
        <w:rPr>
          <w:rFonts w:ascii="Calibri" w:cs="Calibri" w:eastAsia="Calibri" w:hAnsi="Calibri"/>
          <w:sz w:val="22"/>
          <w:szCs w:val="22"/>
        </w:rPr>
        <w:t xml:space="preserve">This project proposes a database-centric cognitive monitoring system for commercial and freighter aircraft pilots. The system continuously ingests physiological and behavioural signals (EEG, eye-tracking/PERCLOS, heart-rate variability, galvanic skin response, and cockpit control-input telemetry) captured via a combination of inbuilt aircraft sensors and low-cost IoT edge devices, classifies the pilot's cognitive workload and decision-quality state using lightweight AI models, and persists this data in a normalised relational database engineered for real-time alerting, transactional integrity, and post-flight longitudinal analysis.</w:t>
      </w:r>
    </w:p>
    <w:p>
      <w:pPr>
        <w:spacing w:after="160" w:line="276"/>
        <w:jc w:val="both"/>
      </w:pPr>
      <w:r>
        <w:rPr>
          <w:rFonts w:ascii="Calibri" w:cs="Calibri" w:eastAsia="Calibri" w:hAnsi="Calibri"/>
          <w:sz w:val="22"/>
          <w:szCs w:val="22"/>
        </w:rPr>
        <w:t xml:space="preserve">The central contribution of this project, in line with the course objectives of BCSE302L/P, is the database design itself: an ER model capturing pilots, flights, sensor devices, and readings; a schema normalised to at least BCNF; indexing strategies (B+ tree, composite indexes) suited to high-frequency time-series ingestion; ACID-compliant transaction handling for safety-critical alert generation; and concurrency control for simultaneous multi-sensor writes. The system's principal analytical goal is to contrast pilot cognitive and behavioural signatures during normal, smooth flight against simulated emergency scenarios, establishing a baseline-versus-deviation model. The project's primary focus is on commercial and freighter aviation, with a discussed future scope extending the framework to combat aircraft, where G-force-induced cognitive impairment and compressed decision windows raise the operational stakes further.</w:t>
      </w:r>
    </w:p>
    <w:p>
      <w:pPr>
        <w:pStyle w:val="Heading1"/>
        <w:spacing w:after="160" w:before="32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Introduction &amp; Motivation</w:t>
      </w:r>
    </w:p>
    <w:p>
      <w:pPr>
        <w:spacing w:after="160" w:line="276"/>
        <w:jc w:val="both"/>
      </w:pPr>
      <w:r>
        <w:rPr>
          <w:rFonts w:ascii="Calibri" w:cs="Calibri" w:eastAsia="Calibri" w:hAnsi="Calibri"/>
          <w:sz w:val="22"/>
          <w:szCs w:val="22"/>
        </w:rPr>
        <w:t xml:space="preserve">Modern flight decks are highly automated, yet the pilot remains the final decision-making authority in abnormal and emergency situations. Studies on pilot cognitive workload consistently show that periods of low workload (leading to boredom and reduced vigilance) alternate with acute periods of high workload during critical phases, and that this variability directly affects reaction time, situational awareness, and error rate. A system capable of continuously and unobtrusively estimating a pilot's cognitive state — and flagging dangerous deviations — has clear value for both real-time flight-deck safety and post-flight training/debrief analysis.</w:t>
      </w:r>
    </w:p>
    <w:p>
      <w:pPr>
        <w:spacing w:after="160" w:line="276"/>
        <w:jc w:val="both"/>
      </w:pPr>
      <w:r>
        <w:rPr>
          <w:rFonts w:ascii="Calibri" w:cs="Calibri" w:eastAsia="Calibri" w:hAnsi="Calibri"/>
          <w:sz w:val="22"/>
          <w:szCs w:val="22"/>
        </w:rPr>
        <w:t xml:space="preserve">This project deliberately narrows its scope relative to a full aviation safety system: cognitive and behavioural state under normal versus emergency conditions is treated as the primary signal, while physical health (vitals) is treated as a secondary, supporting input. This decision is motivated by the observation that decision-quality degradation, not raw physiological abnormality, is the more direct precursor to pilot error.</w:t>
      </w:r>
    </w:p>
    <w:p>
      <w:pPr>
        <w:pStyle w:val="Heading2"/>
        <w:spacing w:after="120" w:before="240"/>
      </w:pPr>
      <w:r>
        <w:t xml:space="preserve">1.1 Course Objectives Addressed</w:t>
      </w:r>
    </w:p>
    <w:p>
      <w:pPr>
        <w:pStyle w:val="ListParagraph"/>
        <w:numPr>
          <w:ilvl w:val="0"/>
          <w:numId w:val="2"/>
        </w:numPr>
        <w:spacing w:after="80"/>
      </w:pPr>
      <w:r>
        <w:rPr>
          <w:rFonts w:ascii="Calibri" w:cs="Calibri" w:eastAsia="Calibri" w:hAnsi="Calibri"/>
          <w:sz w:val="22"/>
          <w:szCs w:val="22"/>
        </w:rPr>
        <w:t xml:space="preserve">Design of an Entity-Relationship model for a real-life, safety-critical application, and its mapping to a relational schema (Module 1–2).</w:t>
      </w:r>
    </w:p>
    <w:p>
      <w:pPr>
        <w:pStyle w:val="ListParagraph"/>
        <w:numPr>
          <w:ilvl w:val="0"/>
          <w:numId w:val="2"/>
        </w:numPr>
        <w:spacing w:after="80"/>
      </w:pPr>
      <w:r>
        <w:rPr>
          <w:rFonts w:ascii="Calibri" w:cs="Calibri" w:eastAsia="Calibri" w:hAnsi="Calibri"/>
          <w:sz w:val="22"/>
          <w:szCs w:val="22"/>
        </w:rPr>
        <w:t xml:space="preserve">Normalisation of the schema through 3NF/BCNF, with an explicit discussion of functional dependencies among sensor, device, and flight data (Module 3).</w:t>
      </w:r>
    </w:p>
    <w:p>
      <w:pPr>
        <w:pStyle w:val="ListParagraph"/>
        <w:numPr>
          <w:ilvl w:val="0"/>
          <w:numId w:val="2"/>
        </w:numPr>
        <w:spacing w:after="80"/>
      </w:pPr>
      <w:r>
        <w:rPr>
          <w:rFonts w:ascii="Calibri" w:cs="Calibri" w:eastAsia="Calibri" w:hAnsi="Calibri"/>
          <w:sz w:val="22"/>
          <w:szCs w:val="22"/>
        </w:rPr>
        <w:t xml:space="preserve">Physical database design: indexing (B+ tree, composite/multi-level indexing) and query optimisation for high-frequency, time-ordered sensor data (Module 4).</w:t>
      </w:r>
    </w:p>
    <w:p>
      <w:pPr>
        <w:pStyle w:val="ListParagraph"/>
        <w:numPr>
          <w:ilvl w:val="0"/>
          <w:numId w:val="2"/>
        </w:numPr>
        <w:spacing w:after="80"/>
      </w:pPr>
      <w:r>
        <w:rPr>
          <w:rFonts w:ascii="Calibri" w:cs="Calibri" w:eastAsia="Calibri" w:hAnsi="Calibri"/>
          <w:sz w:val="22"/>
          <w:szCs w:val="22"/>
        </w:rPr>
        <w:t xml:space="preserve">Transaction management and ACID guarantees for safety-critical alert generation and logging (Module 5).</w:t>
      </w:r>
    </w:p>
    <w:p>
      <w:pPr>
        <w:pStyle w:val="ListParagraph"/>
        <w:numPr>
          <w:ilvl w:val="0"/>
          <w:numId w:val="2"/>
        </w:numPr>
        <w:spacing w:after="80"/>
      </w:pPr>
      <w:r>
        <w:rPr>
          <w:rFonts w:ascii="Calibri" w:cs="Calibri" w:eastAsia="Calibri" w:hAnsi="Calibri"/>
          <w:sz w:val="22"/>
          <w:szCs w:val="22"/>
        </w:rPr>
        <w:t xml:space="preserve">Concurrency control for simultaneous multi-sensor, multi-device ingestion (Module 6).</w:t>
      </w:r>
    </w:p>
    <w:p>
      <w:pPr>
        <w:pStyle w:val="ListParagraph"/>
        <w:numPr>
          <w:ilvl w:val="0"/>
          <w:numId w:val="2"/>
        </w:numPr>
        <w:spacing w:after="80"/>
      </w:pPr>
      <w:r>
        <w:rPr>
          <w:rFonts w:ascii="Calibri" w:cs="Calibri" w:eastAsia="Calibri" w:hAnsi="Calibri"/>
          <w:sz w:val="22"/>
          <w:szCs w:val="22"/>
        </w:rPr>
        <w:t xml:space="preserve">Optional NoSQL component for raw high-frequency time-series storage, satisfying Module 7 without displacing the relational core (Module 7).</w:t>
      </w:r>
    </w:p>
    <w:p>
      <w:pPr>
        <w:pStyle w:val="Heading1"/>
        <w:spacing w:after="160" w:before="320"/>
      </w:pPr>
      <w:r>
        <w:t xml:space="preserve">2. Problem Statement</w:t>
      </w:r>
    </w:p>
    <w:p>
      <w:pPr>
        <w:spacing w:after="160" w:line="276"/>
        <w:jc w:val="both"/>
      </w:pPr>
      <w:r>
        <w:rPr>
          <w:rFonts w:ascii="Calibri" w:cs="Calibri" w:eastAsia="Calibri" w:hAnsi="Calibri"/>
          <w:sz w:val="22"/>
          <w:szCs w:val="22"/>
        </w:rPr>
        <w:t xml:space="preserve">Design and implement a database-backed system to measure, store, and analyse the cognitive and behavioural state of commercial and freighter aircraft pilots — using a combination of inbuilt aircraft sensors and supplementary IoT devices — with the specific objective of detecting deviations in decision-making quality and cognitive load between normal, smooth flight operations and emergency/high-workload scenarios. The system should support real-time anomaly alerting during flight and structured post-flight/longitudinal analysis of pilot performance trends.</w:t>
      </w:r>
    </w:p>
    <w:p>
      <w:pPr>
        <w:pStyle w:val="Heading1"/>
        <w:spacing w:after="160" w:before="320"/>
      </w:pPr>
      <w:r>
        <w:t xml:space="preserve">3. Cognitive &amp; Behavioural Measures</w:t>
      </w:r>
    </w:p>
    <w:p>
      <w:pPr>
        <w:spacing w:after="160" w:line="276"/>
        <w:jc w:val="both"/>
      </w:pPr>
      <w:r>
        <w:rPr>
          <w:rFonts w:ascii="Calibri" w:cs="Calibri" w:eastAsia="Calibri" w:hAnsi="Calibri"/>
          <w:sz w:val="22"/>
          <w:szCs w:val="22"/>
        </w:rPr>
        <w:t xml:space="preserve">The table below lists the cognitive/behavioural constructs targeted by the system, what each captures, and the sensing modality used to acquire it. Measures are ordered roughly by how directly they relate to decision-making quality (the project's primary focus) versus general physiological stress.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000"/>
      </w:tblGrid>
      <w:tr>
        <w:trPr>
          <w:tblHeader/>
        </w:trPr>
        <w:tc>
          <w:tcPr>
            <w:tcW w:type="dxa" w:w="32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Measure</w:t>
            </w:r>
          </w:p>
        </w:tc>
        <w:tc>
          <w:tcPr>
            <w:tcW w:type="dxa" w:w="33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What it Captures</w:t>
            </w:r>
          </w:p>
        </w:tc>
        <w:tc>
          <w:tcPr>
            <w:tcW w:type="dxa" w:w="30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Sensing Modality / Device</w:t>
            </w:r>
          </w:p>
        </w:tc>
      </w:tr>
      <w:tr>
        <w:tc>
          <w:tcPr>
            <w:tcW w:type="dxa" w:w="3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Control-input pattern (yoke/throttle micro-corrections, reaction latency)</w:t>
            </w:r>
          </w:p>
        </w:tc>
        <w:tc>
          <w:tcPr>
            <w:tcW w:type="dxa" w:w="3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Decision quality, motor control degradation, response delay under load</w:t>
            </w:r>
          </w:p>
        </w:tc>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Flight-sim SDK logging (X-Plane / MSFS) or aircraft control-column telemetry</w:t>
            </w:r>
          </w:p>
        </w:tc>
      </w:tr>
      <w:tr>
        <w:tc>
          <w:tcPr>
            <w:tcW w:type="dxa" w:w="3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Cognitive workload index (EEG band power: theta/alpha/beta)</w:t>
            </w:r>
          </w:p>
        </w:tc>
        <w:tc>
          <w:tcPr>
            <w:tcW w:type="dxa" w:w="3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Mental workload, task engagement, overload</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EEG headset — OpenBCI, Emotiv Insight (consumer-grade, IoT-friendly)</w:t>
            </w:r>
          </w:p>
        </w:tc>
      </w:tr>
      <w:tr>
        <w:tc>
          <w:tcPr>
            <w:tcW w:type="dxa" w:w="3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PERCLOS (% eye closure) &amp; blink rate</w:t>
            </w:r>
          </w:p>
        </w:tc>
        <w:tc>
          <w:tcPr>
            <w:tcW w:type="dxa" w:w="3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Drowsiness, vigilance decrement</w:t>
            </w:r>
          </w:p>
        </w:tc>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Eye-tracking camera (Tobii) or webcam + OpenCV / Mediapipe</w:t>
            </w:r>
          </w:p>
        </w:tc>
      </w:tr>
      <w:tr>
        <w:tc>
          <w:tcPr>
            <w:tcW w:type="dxa" w:w="3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Gaze dispersion / fixation pattern</w:t>
            </w:r>
          </w:p>
        </w:tc>
        <w:tc>
          <w:tcPr>
            <w:tcW w:type="dxa" w:w="3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Attentional tunnelling under stress, scan-pattern breakdown</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Same eye-tracker; gaze-mapping software</w:t>
            </w:r>
          </w:p>
        </w:tc>
      </w:tr>
      <w:tr>
        <w:tc>
          <w:tcPr>
            <w:tcW w:type="dxa" w:w="3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Pupil dilation</w:t>
            </w:r>
          </w:p>
        </w:tc>
        <w:tc>
          <w:tcPr>
            <w:tcW w:type="dxa" w:w="3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Acute stress / arousal response</w:t>
            </w:r>
          </w:p>
        </w:tc>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Eye-tracker with pupillometry support</w:t>
            </w:r>
          </w:p>
        </w:tc>
      </w:tr>
      <w:tr>
        <w:tc>
          <w:tcPr>
            <w:tcW w:type="dxa" w:w="3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Heart-rate variability (HRV)</w:t>
            </w:r>
          </w:p>
        </w:tc>
        <w:tc>
          <w:tcPr>
            <w:tcW w:type="dxa" w:w="3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Autonomic stress load, cognitive strain</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PPG wrist sensor / ECG chest strap (Arduino/ESP32-compatible)</w:t>
            </w:r>
          </w:p>
        </w:tc>
      </w:tr>
      <w:tr>
        <w:tc>
          <w:tcPr>
            <w:tcW w:type="dxa" w:w="3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Galvanic skin response (GSR/EDA)</w:t>
            </w:r>
          </w:p>
        </w:tc>
        <w:tc>
          <w:tcPr>
            <w:tcW w:type="dxa" w:w="3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Acute stress spikes</w:t>
            </w:r>
          </w:p>
        </w:tc>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Grove GSR sensor (Arduino/ESP32-friendly)</w:t>
            </w:r>
          </w:p>
        </w:tc>
      </w:tr>
      <w:tr>
        <w:tc>
          <w:tcPr>
            <w:tcW w:type="dxa" w:w="3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Respiration rate</w:t>
            </w:r>
          </w:p>
        </w:tc>
        <w:tc>
          <w:tcPr>
            <w:tcW w:type="dxa" w:w="3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Panic / acute-stress indicator</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Chest-strap respiration sensor</w:t>
            </w:r>
          </w:p>
        </w:tc>
      </w:tr>
      <w:tr>
        <w:tc>
          <w:tcPr>
            <w:tcW w:type="dxa" w:w="3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Voice stress / speech rate</w:t>
            </w:r>
          </w:p>
        </w:tc>
        <w:tc>
          <w:tcPr>
            <w:tcW w:type="dxa" w:w="3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Cognitive stress during radio communication</w:t>
            </w:r>
          </w:p>
        </w:tc>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Cockpit audio channel + pitch/tempo analysis</w:t>
            </w:r>
          </w:p>
        </w:tc>
      </w:tr>
    </w:tbl>
    <w:p>
      <w:pPr>
        <w:spacing w:after="160" w:line="276"/>
        <w:jc w:val="both"/>
      </w:pPr>
      <w:r>
        <w:rPr>
          <w:rFonts w:ascii="Calibri" w:cs="Calibri" w:eastAsia="Calibri" w:hAnsi="Calibri"/>
          <w:sz w:val="22"/>
          <w:szCs w:val="22"/>
        </w:rPr>
        <w:t xml:space="preserve">For a realistic student build, the recommended minimum sensor set is: one consumer EEG headband, a webcam-based eye/gaze tracker, one PPG/GSR wearable, and control-input logging from a flight simulator — the latter being the most direct and easiest-to-obtain proxy for decision-making quality under both normal and emergency conditions.</w:t>
      </w:r>
    </w:p>
    <w:p>
      <w:pPr>
        <w:pStyle w:val="Heading1"/>
        <w:spacing w:after="160" w:before="320"/>
      </w:pPr>
      <w:r>
        <w:t xml:space="preserve">4. IoT Integration</w:t>
      </w:r>
    </w:p>
    <w:p>
      <w:pPr>
        <w:spacing w:after="160" w:line="276"/>
        <w:jc w:val="both"/>
      </w:pPr>
      <w:r>
        <w:rPr>
          <w:rFonts w:ascii="Calibri" w:cs="Calibri" w:eastAsia="Calibri" w:hAnsi="Calibri"/>
          <w:sz w:val="22"/>
          <w:szCs w:val="22"/>
        </w:rPr>
        <w:t xml:space="preserve">IoT devices form the acquisition layer of the system; the relational database remains the system of record. Keeping this boundary explicit is important both architecturally and for the project report, since the DBMS course objectives are graded on the data layer, not the sensing hardware.</w:t>
      </w:r>
    </w:p>
    <w:p>
      <w:pPr>
        <w:pStyle w:val="Heading2"/>
        <w:spacing w:after="120" w:before="240"/>
      </w:pPr>
      <w:r>
        <w:t xml:space="preserve">4.1 Recommended Hardware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700"/>
      </w:tblGrid>
      <w:tr>
        <w:trPr>
          <w:tblHeader/>
        </w:trPr>
        <w:tc>
          <w:tcPr>
            <w:tcW w:type="dxa" w:w="30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Component</w:t>
            </w:r>
          </w:p>
        </w:tc>
        <w:tc>
          <w:tcPr>
            <w:tcW w:type="dxa" w:w="28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Role</w:t>
            </w:r>
          </w:p>
        </w:tc>
        <w:tc>
          <w:tcPr>
            <w:tcW w:type="dxa" w:w="37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Notes</w:t>
            </w:r>
          </w:p>
        </w:tc>
      </w:tr>
      <w:tr>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ESP32 / Arduino Nano 33 BLE</w:t>
            </w:r>
          </w:p>
        </w:tc>
        <w:tc>
          <w:tcPr>
            <w:tcW w:type="dxa" w:w="28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Edge microcontroller node</w:t>
            </w:r>
          </w:p>
        </w:tc>
        <w:tc>
          <w:tcPr>
            <w:tcW w:type="dxa" w:w="37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Built-in WiFi/BLE; low cost; sufficient processing for sampling + local buffering</w:t>
            </w:r>
          </w:p>
        </w:tc>
      </w:tr>
      <w:tr>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Grove GSR sensor</w:t>
            </w:r>
          </w:p>
        </w:tc>
        <w:tc>
          <w:tcPr>
            <w:tcW w:type="dxa" w:w="2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Skin conductance (stress spikes)</w:t>
            </w:r>
          </w:p>
        </w:tc>
        <w:tc>
          <w:tcPr>
            <w:tcW w:type="dxa" w:w="3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Arduino/ESP32 compatible, analog read</w:t>
            </w:r>
          </w:p>
        </w:tc>
      </w:tr>
      <w:tr>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Pulse / PPG sensor</w:t>
            </w:r>
          </w:p>
        </w:tc>
        <w:tc>
          <w:tcPr>
            <w:tcW w:type="dxa" w:w="28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Heart rate &amp; HRV</w:t>
            </w:r>
          </w:p>
        </w:tc>
        <w:tc>
          <w:tcPr>
            <w:tcW w:type="dxa" w:w="37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Clip-on finger or wrist sensor</w:t>
            </w:r>
          </w:p>
        </w:tc>
      </w:tr>
      <w:tr>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Consumer EEG headband (OpenBCI / Emotiv Insight)</w:t>
            </w:r>
          </w:p>
        </w:tc>
        <w:tc>
          <w:tcPr>
            <w:tcW w:type="dxa" w:w="2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Band-power workload index</w:t>
            </w:r>
          </w:p>
        </w:tc>
        <w:tc>
          <w:tcPr>
            <w:tcW w:type="dxa" w:w="3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Streams via BLE; SDK provides theta/alpha/beta bands</w:t>
            </w:r>
          </w:p>
        </w:tc>
      </w:tr>
      <w:tr>
        <w:tc>
          <w:tcPr>
            <w:tcW w:type="dxa" w:w="30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Webcam + Mediapipe/OpenCV</w:t>
            </w:r>
          </w:p>
        </w:tc>
        <w:tc>
          <w:tcPr>
            <w:tcW w:type="dxa" w:w="28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PERCLOS, blink rate, gaze proxy</w:t>
            </w:r>
          </w:p>
        </w:tc>
        <w:tc>
          <w:tcPr>
            <w:tcW w:type="dxa" w:w="37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 dedicated hardware cost; runs on the ingestion laptop</w:t>
            </w:r>
          </w:p>
        </w:tc>
      </w:tr>
      <w:tr>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MQTT broker (Mosquitto)</w:t>
            </w:r>
          </w:p>
        </w:tc>
        <w:tc>
          <w:tcPr>
            <w:tcW w:type="dxa" w:w="2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Message bus between edge nodes and backend</w:t>
            </w:r>
          </w:p>
        </w:tc>
        <w:tc>
          <w:tcPr>
            <w:tcW w:type="dxa" w:w="3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Standard IoT integration pattern; supports pub/sub per sensor topic</w:t>
            </w:r>
          </w:p>
        </w:tc>
      </w:tr>
    </w:tbl>
    <w:p>
      <w:pPr>
        <w:pStyle w:val="Heading2"/>
        <w:spacing w:after="120" w:before="240"/>
      </w:pPr>
      <w:r>
        <w:t xml:space="preserve">4.2 Data Flow</w:t>
      </w:r>
    </w:p>
    <w:p>
      <w:pPr>
        <w:spacing w:after="160" w:line="276"/>
        <w:jc w:val="both"/>
      </w:pPr>
      <w:r>
        <w:rPr>
          <w:rFonts w:ascii="Calibri" w:cs="Calibri" w:eastAsia="Calibri" w:hAnsi="Calibri"/>
          <w:sz w:val="22"/>
          <w:szCs w:val="22"/>
        </w:rPr>
        <w:t xml:space="preserve">Sensor Node (ESP32) → MQTT topic (per sensor type) → Ingestion Service (Python/Node subscriber) → validation &amp; batching → Relational Database. A lightweight ingestion service subscribes to each MQTT topic, timestamps and validates incoming readings, and writes them into the appropriate table. This is also where the project's concurrency-control discussion becomes concrete: multiple sensor streams (EEG, GSR, PPG, eye-tracker) write to the same flight/session record concurrently, motivating a discussion of row-level locking granularity.</w:t>
      </w:r>
    </w:p>
    <w:p>
      <w:pPr>
        <w:spacing w:after="160" w:line="276"/>
        <w:jc w:val="both"/>
      </w:pPr>
      <w:r>
        <w:rPr>
          <w:rFonts w:ascii="Calibri" w:cs="Calibri" w:eastAsia="Calibri" w:hAnsi="Calibri"/>
          <w:sz w:val="22"/>
          <w:szCs w:val="22"/>
        </w:rPr>
        <w:t xml:space="preserve">Because IoT sensors are inherently lossy and asynchronous — different sampling rates (GSR ~10 Hz, eye-tracker ~30 fps, EEG ~250 Hz) — the schema should favour separate per-sensor-type tables joined by a common reading_session_id, rather than a single sparse wide table. This is a genuine, defensible design decision worth stating explicitly in the report.</w:t>
      </w:r>
    </w:p>
    <w:p>
      <w:pPr>
        <w:pStyle w:val="Heading1"/>
        <w:spacing w:after="160" w:before="320"/>
      </w:pPr>
      <w:r>
        <w:t xml:space="preserve">5. AI / Analytics Layer</w:t>
      </w:r>
    </w:p>
    <w:p>
      <w:pPr>
        <w:spacing w:after="160" w:line="276"/>
        <w:jc w:val="both"/>
      </w:pPr>
      <w:r>
        <w:rPr>
          <w:rFonts w:ascii="Calibri" w:cs="Calibri" w:eastAsia="Calibri" w:hAnsi="Calibri"/>
          <w:sz w:val="22"/>
          <w:szCs w:val="22"/>
        </w:rPr>
        <w:t xml:space="preserve">The AI layer is kept intentionally lightweight, since it supports the database design rather than being the graded deliverable itself.</w:t>
      </w:r>
    </w:p>
    <w:p>
      <w:pPr>
        <w:pStyle w:val="ListParagraph"/>
        <w:numPr>
          <w:ilvl w:val="0"/>
          <w:numId w:val="2"/>
        </w:numPr>
        <w:spacing w:after="80"/>
      </w:pPr>
      <w:r>
        <w:rPr>
          <w:rFonts w:ascii="Calibri" w:cs="Calibri" w:eastAsia="Calibri" w:hAnsi="Calibri"/>
          <w:sz w:val="22"/>
          <w:szCs w:val="22"/>
        </w:rPr>
        <w:t xml:space="preserve">Anomaly / state classification: a Random Forest or small LSTM over a sliding time window, classifying cognitive state as normal / elevated-load / critical.</w:t>
      </w:r>
    </w:p>
    <w:p>
      <w:pPr>
        <w:pStyle w:val="ListParagraph"/>
        <w:numPr>
          <w:ilvl w:val="0"/>
          <w:numId w:val="2"/>
        </w:numPr>
        <w:spacing w:after="80"/>
      </w:pPr>
      <w:r>
        <w:rPr>
          <w:rFonts w:ascii="Calibri" w:cs="Calibri" w:eastAsia="Calibri" w:hAnsi="Calibri"/>
          <w:sz w:val="22"/>
          <w:szCs w:val="22"/>
        </w:rPr>
        <w:t xml:space="preserve">Sensor fusion: a simple weighted or Kalman-filter fusion of EEG, HRV, and GSR into a single derived “cognitive load index”, stored as an aggregated/materialised metric — a good example of a derived table for the DB-design discussion.</w:t>
      </w:r>
    </w:p>
    <w:p>
      <w:pPr>
        <w:pStyle w:val="ListParagraph"/>
        <w:numPr>
          <w:ilvl w:val="0"/>
          <w:numId w:val="2"/>
        </w:numPr>
        <w:spacing w:after="80"/>
      </w:pPr>
      <w:r>
        <w:rPr>
          <w:rFonts w:ascii="Calibri" w:cs="Calibri" w:eastAsia="Calibri" w:hAnsi="Calibri"/>
          <w:sz w:val="22"/>
          <w:szCs w:val="22"/>
        </w:rPr>
        <w:t xml:space="preserve">Flight-phase segmentation: rule-based or clustering approach to auto-tag flight phase (taxi / climb / cruise / emergency) from control-input patterns.</w:t>
      </w:r>
    </w:p>
    <w:p>
      <w:pPr>
        <w:spacing w:after="160" w:line="276"/>
        <w:jc w:val="both"/>
      </w:pPr>
      <w:r>
        <w:rPr>
          <w:rFonts w:ascii="Calibri" w:cs="Calibri" w:eastAsia="Calibri" w:hAnsi="Calibri"/>
          <w:sz w:val="22"/>
          <w:szCs w:val="22"/>
        </w:rPr>
        <w:t xml:space="preserve">Quantum Information Science (QIS) is mentioned only as a long-horizon future-scope idea (e.g. quantum-inspired optimisation for large-scale anomaly search) and is deliberately not built into the core system — there is no mature, accessible QIS tooling suited to a semester project, and forcing it in would dilute the database-design focus the course is graded on.</w:t>
      </w:r>
    </w:p>
    <w:p>
      <w:pPr>
        <w:pStyle w:val="Heading1"/>
        <w:spacing w:after="160" w:before="320"/>
      </w:pPr>
      <w:r>
        <w:t xml:space="preserve">6. Database Design</w:t>
      </w:r>
    </w:p>
    <w:p>
      <w:pPr>
        <w:pStyle w:val="Heading2"/>
        <w:spacing w:after="120" w:before="240"/>
      </w:pPr>
      <w:r>
        <w:t xml:space="preserve">6.1 Core Entities</w:t>
      </w:r>
    </w:p>
    <w:p>
      <w:pPr>
        <w:spacing w:after="160" w:line="276"/>
        <w:jc w:val="both"/>
      </w:pPr>
      <w:r>
        <w:rPr>
          <w:rFonts w:ascii="Calibri" w:cs="Calibri" w:eastAsia="Calibri" w:hAnsi="Calibri"/>
          <w:sz w:val="22"/>
          <w:szCs w:val="22"/>
        </w:rPr>
        <w:t xml:space="preserve">Pilot, Flight, Aircraft, SensorDevice, SensorReading, CognitiveStateSnapshot, FlightPhase, EmergencyEvent, Alert, CrewAssignment. Key relationships: a Flight has many SensorReadings; each SensorReading belongs to exactly one SensorDevice and one Flight; a CognitiveStateSnapshot is derived periodically from a window of SensorReadings and tagged with a FlightPhase; an Alert is generated transactionally when a CognitiveStateSnapshot crosses a defined threshold.</w:t>
      </w:r>
    </w:p>
    <w:p>
      <w:pPr>
        <w:pStyle w:val="Heading2"/>
        <w:spacing w:after="120" w:before="240"/>
      </w:pPr>
      <w:r>
        <w:t xml:space="preserve">6.2 Normalisation</w:t>
      </w:r>
    </w:p>
    <w:p>
      <w:pPr>
        <w:spacing w:after="160" w:line="276"/>
        <w:jc w:val="both"/>
      </w:pPr>
      <w:r>
        <w:rPr>
          <w:rFonts w:ascii="Calibri" w:cs="Calibri" w:eastAsia="Calibri" w:hAnsi="Calibri"/>
          <w:sz w:val="22"/>
          <w:szCs w:val="22"/>
        </w:rPr>
        <w:t xml:space="preserve">Sensor metadata (device type, calibration date, firmware version) must not be repeated on every reading row — a classic 2NF/3NF violation to identify and resolve by factoring SensorDevice into its own table. BCNF reasoning can be demonstrated further: e.g. if a given device can only ever be assigned to one aircraft type, this functional dependency should be modelled explicitly rather than left implicit in the SensorReading table.</w:t>
      </w:r>
    </w:p>
    <w:p>
      <w:pPr>
        <w:pStyle w:val="Heading2"/>
        <w:spacing w:after="120" w:before="240"/>
      </w:pPr>
      <w:r>
        <w:t xml:space="preserve">6.3 Indexing &amp; Query Optimisation</w:t>
      </w:r>
    </w:p>
    <w:p>
      <w:pPr>
        <w:spacing w:after="160" w:line="276"/>
        <w:jc w:val="both"/>
      </w:pPr>
      <w:r>
        <w:rPr>
          <w:rFonts w:ascii="Calibri" w:cs="Calibri" w:eastAsia="Calibri" w:hAnsi="Calibri"/>
          <w:sz w:val="22"/>
          <w:szCs w:val="22"/>
        </w:rPr>
        <w:t xml:space="preserve">The SensorReading table will be large and strictly time-ordered, making it the natural case study for B+ tree indexing on a composite key such as (flight_id, timestamp). This supports a discussion of why a composite index outperforms separate single-column indexes for the system's dominant query pattern — time-range scans within a specific flight.</w:t>
      </w:r>
    </w:p>
    <w:p>
      <w:pPr>
        <w:pStyle w:val="Heading2"/>
        <w:spacing w:after="120" w:before="240"/>
      </w:pPr>
      <w:r>
        <w:t xml:space="preserve">6.4 Transactions &amp; Concurrency</w:t>
      </w:r>
    </w:p>
    <w:p>
      <w:pPr>
        <w:spacing w:after="160" w:line="276"/>
        <w:jc w:val="both"/>
      </w:pPr>
      <w:r>
        <w:rPr>
          <w:rFonts w:ascii="Calibri" w:cs="Calibri" w:eastAsia="Calibri" w:hAnsi="Calibri"/>
          <w:sz w:val="22"/>
          <w:szCs w:val="22"/>
        </w:rPr>
        <w:t xml:space="preserve">Alert generation should be transactional: the alert write, the CognitiveStateSnapshot update, and the notification log entry must commit atomically — a concrete, defensible ACID example. Concurrency control is motivated naturally by concurrent writes from multiple sensor streams into the same flight record, giving a real basis to discuss row-level versus table-level locking granularity.</w:t>
      </w:r>
    </w:p>
    <w:p>
      <w:pPr>
        <w:pStyle w:val="Heading2"/>
        <w:spacing w:after="120" w:before="240"/>
      </w:pPr>
      <w:r>
        <w:t xml:space="preserve">6.5 Normal vs. Emergency Analysis</w:t>
      </w:r>
    </w:p>
    <w:p>
      <w:pPr>
        <w:spacing w:after="160" w:line="276"/>
        <w:jc w:val="both"/>
      </w:pPr>
      <w:r>
        <w:rPr>
          <w:rFonts w:ascii="Calibri" w:cs="Calibri" w:eastAsia="Calibri" w:hAnsi="Calibri"/>
          <w:sz w:val="22"/>
          <w:szCs w:val="22"/>
        </w:rPr>
        <w:t xml:space="preserve">Every SensorReading and CognitiveStateSnapshot is tagged with a flight_phase and an is_emergency_simulated flag. The system's core analytical query — and a strong demo for the project defence — compares aggregate cognitive-load index, reaction latency, and control-input error rate grouped by phase (normal cruise vs. simulated emergency) using GROUP BY and window functions.</w:t>
      </w:r>
    </w:p>
    <w:p>
      <w:pPr>
        <w:pStyle w:val="Heading2"/>
        <w:spacing w:after="120" w:before="240"/>
      </w:pPr>
      <w:r>
        <w:t xml:space="preserve">6.6 Optional NoSQL Component</w:t>
      </w:r>
    </w:p>
    <w:p>
      <w:pPr>
        <w:spacing w:after="160" w:line="276"/>
        <w:jc w:val="both"/>
      </w:pPr>
      <w:r>
        <w:rPr>
          <w:rFonts w:ascii="Calibri" w:cs="Calibri" w:eastAsia="Calibri" w:hAnsi="Calibri"/>
          <w:sz w:val="22"/>
          <w:szCs w:val="22"/>
        </w:rPr>
        <w:t xml:space="preserve">A secondary time-series or document store (MongoDB or InfluxDB) may hold raw, high-frequency sensor streams, while the relational database retains structured and aggregated data. This satisfies the syllabus's optional NoSQL module (CAP theorem, document/columnar stores) without displacing the relational schema as the primary system of record — the safer design choice for grading purposes.</w:t>
      </w:r>
    </w:p>
    <w:p>
      <w:pPr>
        <w:pStyle w:val="Heading1"/>
        <w:spacing w:after="160" w:before="320"/>
      </w:pPr>
      <w:r>
        <w:t xml:space="preserve">7. Real / Public Datasets</w:t>
      </w:r>
    </w:p>
    <w:p>
      <w:pPr>
        <w:spacing w:after="160" w:line="276"/>
        <w:jc w:val="both"/>
      </w:pPr>
      <w:r>
        <w:rPr>
          <w:rFonts w:ascii="Calibri" w:cs="Calibri" w:eastAsia="Calibri" w:hAnsi="Calibri"/>
          <w:sz w:val="22"/>
          <w:szCs w:val="22"/>
        </w:rPr>
        <w:t xml:space="preserve">The following publicly documented datasets are directly relevant and can be used to validate the schema, seed the database with realistic records, and train/evaluate the AI layer without needing full-scale in-flight data collection.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300"/>
      </w:tblGrid>
      <w:tr>
        <w:trPr>
          <w:tblHeader/>
        </w:trPr>
        <w:tc>
          <w:tcPr>
            <w:tcW w:type="dxa" w:w="26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Dataset</w:t>
            </w:r>
          </w:p>
        </w:tc>
        <w:tc>
          <w:tcPr>
            <w:tcW w:type="dxa" w:w="46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Description</w:t>
            </w:r>
          </w:p>
        </w:tc>
        <w:tc>
          <w:tcPr>
            <w:tcW w:type="dxa" w:w="23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Source</w:t>
            </w:r>
          </w:p>
        </w:tc>
      </w:tr>
      <w:tr>
        <w:tc>
          <w:tcPr>
            <w:tcW w:type="dxa" w:w="2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EEG Dataset for Mental Workload Prediction in Flight-Deck Environment</w:t>
            </w:r>
          </w:p>
        </w:tc>
        <w:tc>
          <w:tcPr>
            <w:tcW w:type="dxa" w:w="4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EEG recordings from two professional pilots across five A320 flight-simulator flights, plus N-back and Heat-the-Chair induction tasks; includes NASA-TLX self-reported workload scores. Publicly available.</w:t>
            </w:r>
          </w:p>
        </w:tc>
        <w:tc>
          <w:tcPr>
            <w:tcW w:type="dxa" w:w="2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Sensors (MDPI), 2024 — doi.org/10.3390/s24041174</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Live In-Flight EEG (Single-Engine Aircraft)</w:t>
            </w:r>
          </w:p>
        </w:tc>
        <w:tc>
          <w:tcPr>
            <w:tcW w:type="dxa" w:w="4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EEG recorded from 10 FAA-certified collegiate pilots during real single-engine training flights, classified into low/medium/high workload (91.67% accuracy achieved).</w:t>
            </w:r>
          </w:p>
        </w:tc>
        <w:tc>
          <w:tcPr>
            <w:tcW w:type="dxa" w:w="2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Scientific Reports, 2023 — nature.com/articles/s41598-023-29647-0</w:t>
            </w:r>
          </w:p>
        </w:tc>
      </w:tr>
      <w:tr>
        <w:tc>
          <w:tcPr>
            <w:tcW w:type="dxa" w:w="2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CogPilot (DAF-MIT)</w:t>
            </w:r>
          </w:p>
        </w:tc>
        <w:tc>
          <w:tcPr>
            <w:tcW w:type="dxa" w:w="4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VR-based Air Force pilot training dataset combining eye tracking (HTC Vive Pro Eye), voice, and physiological measurements; used for flight task difficulty prediction.</w:t>
            </w:r>
          </w:p>
        </w:tc>
        <w:tc>
          <w:tcPr>
            <w:tcW w:type="dxa" w:w="2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arXiv 2207.07033; multiple follow-up papers (e.g. MDPI MTI 2025)</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In-Flight Cessna 172 Multimodal Dataset</w:t>
            </w:r>
          </w:p>
        </w:tc>
        <w:tc>
          <w:tcPr>
            <w:tcW w:type="dxa" w:w="4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Real general-aviation flights combining wearable EEG, ECG, EDA, body temperature, eye-tracking glasses, and ADS-B flight-recorder data.</w:t>
            </w:r>
          </w:p>
        </w:tc>
        <w:tc>
          <w:tcPr>
            <w:tcW w:type="dxa" w:w="2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ResearchGate, 2025</w:t>
            </w:r>
          </w:p>
        </w:tc>
      </w:tr>
      <w:tr>
        <w:tc>
          <w:tcPr>
            <w:tcW w:type="dxa" w:w="2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Cognitive Load Estimation in VR Flight Simulator</w:t>
            </w:r>
          </w:p>
        </w:tc>
        <w:tc>
          <w:tcPr>
            <w:tcW w:type="dxa" w:w="4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Eye-gaze (pupil diameter, fixation, gaze direction) and EEG band-power data compared against control-input-based workload metrics.</w:t>
            </w:r>
          </w:p>
        </w:tc>
        <w:tc>
          <w:tcPr>
            <w:tcW w:type="dxa" w:w="2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PMC11373147</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FatigueSet / AdVitam / MCDD</w:t>
            </w:r>
          </w:p>
        </w:tc>
        <w:tc>
          <w:tcPr>
            <w:tcW w:type="dxa" w:w="4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Non-aviation drowsiness/fatigue datasets (exercise-induced fatigue; sleep-deprived automated driving; cognitive-task-induced drowsiness with KSS ratings) — useful for the ML layer.</w:t>
            </w:r>
          </w:p>
        </w:tc>
        <w:tc>
          <w:tcPr>
            <w:tcW w:type="dxa" w:w="2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arXiv 2506.06360 (survey with links to each)</w:t>
            </w:r>
          </w:p>
        </w:tc>
      </w:tr>
      <w:tr>
        <w:tc>
          <w:tcPr>
            <w:tcW w:type="dxa" w:w="2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Driver Drowsiness Dataset (DDD)</w:t>
            </w:r>
          </w:p>
        </w:tc>
        <w:tc>
          <w:tcPr>
            <w:tcW w:type="dxa" w:w="46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41,000+ labelled images for eyes-open/eyes-closed drowsiness detection — useful for the PERCLOS/webcam module only.</w:t>
            </w:r>
          </w:p>
        </w:tc>
        <w:tc>
          <w:tcPr>
            <w:tcW w:type="dxa" w:w="2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Kaggle — kaggle.com/datasets/ismailnasri20/driver-drowsiness-dataset-ddd</w:t>
            </w:r>
          </w:p>
        </w:tc>
      </w:tr>
    </w:tbl>
    <w:p>
      <w:pPr>
        <w:spacing w:after="160" w:line="276"/>
        <w:jc w:val="both"/>
      </w:pPr>
      <w:r>
        <w:rPr>
          <w:rFonts w:ascii="Calibri" w:cs="Calibri" w:eastAsia="Calibri" w:hAnsi="Calibri"/>
          <w:sz w:val="22"/>
          <w:szCs w:val="22"/>
        </w:rPr>
        <w:t xml:space="preserve">Recommended primary dataset: the A320 flight-deck EEG dataset, since it is directly aviation-specific, publicly downloadable, and includes labelled workload scores. This can be supplemented with a small live dataset generated from your own ESP32 + GSR/PPG rig for the demo — reporting both a validated public dataset and a live IoT demo is a strong combination for evaluation.</w:t>
      </w:r>
    </w:p>
    <w:p>
      <w:pPr>
        <w:pStyle w:val="Heading2"/>
        <w:spacing w:after="120" w:before="240"/>
      </w:pPr>
      <w:r>
        <w:t xml:space="preserve">7.1 Direct Links</w:t>
      </w:r>
    </w:p>
    <w:p>
      <w:pPr>
        <w:spacing w:after="120"/>
      </w:pPr>
      <w:r>
        <w:rPr>
          <w:rFonts w:ascii="Calibri" w:cs="Calibri" w:eastAsia="Calibri" w:hAnsi="Calibri"/>
          <w:b/>
          <w:bCs/>
          <w:sz w:val="22"/>
          <w:szCs w:val="22"/>
        </w:rPr>
        <w:t xml:space="preserve">A320 Flight-Deck EEG Dataset (Sensors, MDPI 2024): </w:t>
      </w:r>
      <w:hyperlink w:history="1" r:id="rIdkreujji266daix6aifvdm">
        <w:r>
          <w:rPr>
            <w:rStyle w:val="Hyperlink"/>
            <w:rFonts w:ascii="Calibri" w:cs="Calibri" w:eastAsia="Calibri" w:hAnsi="Calibri"/>
            <w:sz w:val="22"/>
            <w:szCs w:val="22"/>
          </w:rPr>
          <w:t xml:space="preserve">https://doi.org/10.3390/s24041174</w:t>
        </w:r>
      </w:hyperlink>
    </w:p>
    <w:p>
      <w:pPr>
        <w:spacing w:after="120"/>
      </w:pPr>
      <w:r>
        <w:rPr>
          <w:rFonts w:ascii="Calibri" w:cs="Calibri" w:eastAsia="Calibri" w:hAnsi="Calibri"/>
          <w:b/>
          <w:bCs/>
          <w:sz w:val="22"/>
          <w:szCs w:val="22"/>
        </w:rPr>
        <w:t xml:space="preserve">A320 Flight-Deck EEG Dataset (PMC mirror): </w:t>
      </w:r>
      <w:hyperlink w:history="1" r:id="rIdolcvokq-__rjk05v70n0x">
        <w:r>
          <w:rPr>
            <w:rStyle w:val="Hyperlink"/>
            <w:rFonts w:ascii="Calibri" w:cs="Calibri" w:eastAsia="Calibri" w:hAnsi="Calibri"/>
            <w:sz w:val="22"/>
            <w:szCs w:val="22"/>
          </w:rPr>
          <w:t xml:space="preserve">https://pmc.ncbi.nlm.nih.gov/articles/PMC10891818/</w:t>
        </w:r>
      </w:hyperlink>
    </w:p>
    <w:p>
      <w:pPr>
        <w:spacing w:after="120"/>
      </w:pPr>
      <w:r>
        <w:rPr>
          <w:rFonts w:ascii="Calibri" w:cs="Calibri" w:eastAsia="Calibri" w:hAnsi="Calibri"/>
          <w:b/>
          <w:bCs/>
          <w:sz w:val="22"/>
          <w:szCs w:val="22"/>
        </w:rPr>
        <w:t xml:space="preserve">Live In-Flight EEG Workload Study (Scientific Reports): </w:t>
      </w:r>
      <w:hyperlink w:history="1" r:id="rIdp9cwbwcszvj11lgcez098">
        <w:r>
          <w:rPr>
            <w:rStyle w:val="Hyperlink"/>
            <w:rFonts w:ascii="Calibri" w:cs="Calibri" w:eastAsia="Calibri" w:hAnsi="Calibri"/>
            <w:sz w:val="22"/>
            <w:szCs w:val="22"/>
          </w:rPr>
          <w:t xml:space="preserve">https://www.nature.com/articles/s41598-023-29647-0</w:t>
        </w:r>
      </w:hyperlink>
    </w:p>
    <w:p>
      <w:pPr>
        <w:spacing w:after="120"/>
      </w:pPr>
      <w:r>
        <w:rPr>
          <w:rFonts w:ascii="Calibri" w:cs="Calibri" w:eastAsia="Calibri" w:hAnsi="Calibri"/>
          <w:b/>
          <w:bCs/>
          <w:sz w:val="22"/>
          <w:szCs w:val="22"/>
        </w:rPr>
        <w:t xml:space="preserve">Live In-Flight EEG Workload Study (PubMed): </w:t>
      </w:r>
      <w:hyperlink w:history="1" r:id="rIdkrxo3kmcwteshmrswikjt">
        <w:r>
          <w:rPr>
            <w:rStyle w:val="Hyperlink"/>
            <w:rFonts w:ascii="Calibri" w:cs="Calibri" w:eastAsia="Calibri" w:hAnsi="Calibri"/>
            <w:sz w:val="22"/>
            <w:szCs w:val="22"/>
          </w:rPr>
          <w:t xml:space="preserve">https://pubmed.ncbi.nlm.nih.gov/36782004/</w:t>
        </w:r>
      </w:hyperlink>
    </w:p>
    <w:p>
      <w:pPr>
        <w:spacing w:after="120"/>
      </w:pPr>
      <w:r>
        <w:rPr>
          <w:rFonts w:ascii="Calibri" w:cs="Calibri" w:eastAsia="Calibri" w:hAnsi="Calibri"/>
          <w:b/>
          <w:bCs/>
          <w:sz w:val="22"/>
          <w:szCs w:val="22"/>
        </w:rPr>
        <w:t xml:space="preserve">CogPilot Challenge Description (arXiv): </w:t>
      </w:r>
      <w:hyperlink w:history="1" r:id="rId2-9y4x0mbyv9ctmqpj4i4">
        <w:r>
          <w:rPr>
            <w:rStyle w:val="Hyperlink"/>
            <w:rFonts w:ascii="Calibri" w:cs="Calibri" w:eastAsia="Calibri" w:hAnsi="Calibri"/>
            <w:sz w:val="22"/>
            <w:szCs w:val="22"/>
          </w:rPr>
          <w:t xml:space="preserve">https://arxiv.org/pdf/2207.07033</w:t>
        </w:r>
      </w:hyperlink>
    </w:p>
    <w:p>
      <w:pPr>
        <w:spacing w:after="120"/>
      </w:pPr>
      <w:r>
        <w:rPr>
          <w:rFonts w:ascii="Calibri" w:cs="Calibri" w:eastAsia="Calibri" w:hAnsi="Calibri"/>
          <w:b/>
          <w:bCs/>
          <w:sz w:val="22"/>
          <w:szCs w:val="22"/>
        </w:rPr>
        <w:t xml:space="preserve">Cognitive Load in VR Flight Simulator (PMC): </w:t>
      </w:r>
      <w:hyperlink w:history="1" r:id="rIdofvqvmsxoezhsyslgkamf">
        <w:r>
          <w:rPr>
            <w:rStyle w:val="Hyperlink"/>
            <w:rFonts w:ascii="Calibri" w:cs="Calibri" w:eastAsia="Calibri" w:hAnsi="Calibri"/>
            <w:sz w:val="22"/>
            <w:szCs w:val="22"/>
          </w:rPr>
          <w:t xml:space="preserve">https://www.ncbi.nlm.nih.gov/pmc/articles/PMC11373147/</w:t>
        </w:r>
      </w:hyperlink>
    </w:p>
    <w:p>
      <w:pPr>
        <w:spacing w:after="120"/>
      </w:pPr>
      <w:r>
        <w:rPr>
          <w:rFonts w:ascii="Calibri" w:cs="Calibri" w:eastAsia="Calibri" w:hAnsi="Calibri"/>
          <w:b/>
          <w:bCs/>
          <w:sz w:val="22"/>
          <w:szCs w:val="22"/>
        </w:rPr>
        <w:t xml:space="preserve">In-Flight Cessna 172 Multimodal Dataset (ResearchGate): </w:t>
      </w:r>
      <w:hyperlink w:history="1" r:id="rIdyzadmq6-sqrtuib2_pc3l">
        <w:r>
          <w:rPr>
            <w:rStyle w:val="Hyperlink"/>
            <w:rFonts w:ascii="Calibri" w:cs="Calibri" w:eastAsia="Calibri" w:hAnsi="Calibri"/>
            <w:sz w:val="22"/>
            <w:szCs w:val="22"/>
          </w:rPr>
          <w:t xml:space="preserve">https://www.researchgate.net/publication/395397307_An_in-flight_multimodal_data_collection_method_for_assessing_pilot_cognitive_states_and_performance_in_general_aviation</w:t>
        </w:r>
      </w:hyperlink>
    </w:p>
    <w:p>
      <w:pPr>
        <w:spacing w:after="120"/>
      </w:pPr>
      <w:r>
        <w:rPr>
          <w:rFonts w:ascii="Calibri" w:cs="Calibri" w:eastAsia="Calibri" w:hAnsi="Calibri"/>
          <w:b/>
          <w:bCs/>
          <w:sz w:val="22"/>
          <w:szCs w:val="22"/>
        </w:rPr>
        <w:t xml:space="preserve">Fatigue/Drowsiness Dataset Survey (arXiv): </w:t>
      </w:r>
      <w:hyperlink w:history="1" r:id="rIdfy9k8g6y88g1mmwsyhucq">
        <w:r>
          <w:rPr>
            <w:rStyle w:val="Hyperlink"/>
            <w:rFonts w:ascii="Calibri" w:cs="Calibri" w:eastAsia="Calibri" w:hAnsi="Calibri"/>
            <w:sz w:val="22"/>
            <w:szCs w:val="22"/>
          </w:rPr>
          <w:t xml:space="preserve">https://arxiv.org/pdf/2506.06360</w:t>
        </w:r>
      </w:hyperlink>
    </w:p>
    <w:p>
      <w:pPr>
        <w:spacing w:after="120"/>
      </w:pPr>
      <w:r>
        <w:rPr>
          <w:rFonts w:ascii="Calibri" w:cs="Calibri" w:eastAsia="Calibri" w:hAnsi="Calibri"/>
          <w:b/>
          <w:bCs/>
          <w:sz w:val="22"/>
          <w:szCs w:val="22"/>
        </w:rPr>
        <w:t xml:space="preserve">Driver Drowsiness Dataset (Kaggle): </w:t>
      </w:r>
      <w:hyperlink w:history="1" r:id="rIdjfcljo30d4bq72wtai7ux">
        <w:r>
          <w:rPr>
            <w:rStyle w:val="Hyperlink"/>
            <w:rFonts w:ascii="Calibri" w:cs="Calibri" w:eastAsia="Calibri" w:hAnsi="Calibri"/>
            <w:sz w:val="22"/>
            <w:szCs w:val="22"/>
          </w:rPr>
          <w:t xml:space="preserve">https://www.kaggle.com/datasets/ismailnasri20/driver-drowsiness-dataset-ddd</w:t>
        </w:r>
      </w:hyperlink>
    </w:p>
    <w:p>
      <w:pPr>
        <w:spacing w:after="120"/>
      </w:pPr>
      <w:r>
        <w:rPr>
          <w:rFonts w:ascii="Calibri" w:cs="Calibri" w:eastAsia="Calibri" w:hAnsi="Calibri"/>
          <w:b/>
          <w:bCs/>
          <w:sz w:val="22"/>
          <w:szCs w:val="22"/>
        </w:rPr>
        <w:t xml:space="preserve">Pilot Fatigue Detection via EEG+ECG Fusion (Frontiers, 2026): </w:t>
      </w:r>
      <w:hyperlink w:history="1" r:id="rId2bbzxjdakcmbwb65hm5bh">
        <w:r>
          <w:rPr>
            <w:rStyle w:val="Hyperlink"/>
            <w:rFonts w:ascii="Calibri" w:cs="Calibri" w:eastAsia="Calibri" w:hAnsi="Calibri"/>
            <w:sz w:val="22"/>
            <w:szCs w:val="22"/>
          </w:rPr>
          <w:t xml:space="preserve">https://www.ncbi.nlm.nih.gov/pmc/articles/PMC12909498/</w:t>
        </w:r>
      </w:hyperlink>
    </w:p>
    <w:p>
      <w:pPr>
        <w:pStyle w:val="Heading1"/>
        <w:spacing w:after="160" w:before="320"/>
      </w:pPr>
      <w:r>
        <w:t xml:space="preserve">8. Related &amp; Prior Work</w:t>
      </w:r>
    </w:p>
    <w:p>
      <w:pPr>
        <w:spacing w:after="160" w:line="276"/>
        <w:jc w:val="both"/>
      </w:pPr>
      <w:r>
        <w:rPr>
          <w:rFonts w:ascii="Calibri" w:cs="Calibri" w:eastAsia="Calibri" w:hAnsi="Calibri"/>
          <w:sz w:val="22"/>
          <w:szCs w:val="22"/>
        </w:rPr>
        <w:t xml:space="preserve">A brief survey of directly relevant prior work, useful for the report's literature review section:</w:t>
      </w:r>
    </w:p>
    <w:p>
      <w:pPr>
        <w:pStyle w:val="ListParagraph"/>
        <w:numPr>
          <w:ilvl w:val="0"/>
          <w:numId w:val="2"/>
        </w:numPr>
        <w:spacing w:after="80"/>
      </w:pPr>
      <w:r>
        <w:rPr>
          <w:rFonts w:ascii="Calibri" w:cs="Calibri" w:eastAsia="Calibri" w:hAnsi="Calibri"/>
          <w:sz w:val="22"/>
          <w:szCs w:val="22"/>
        </w:rPr>
        <w:t xml:space="preserve">Flight-deck EEG mental workload studies validate that EEG temporal patterns differ significantly across task difficulty levels and correlate with self-perceived workload (NASA-TLX), and that this generalises from simplified induction tasks to actual A320 simulator scenarios.</w:t>
      </w:r>
    </w:p>
    <w:p>
      <w:pPr>
        <w:pStyle w:val="ListParagraph"/>
        <w:numPr>
          <w:ilvl w:val="0"/>
          <w:numId w:val="2"/>
        </w:numPr>
        <w:spacing w:after="80"/>
      </w:pPr>
      <w:r>
        <w:rPr>
          <w:rFonts w:ascii="Calibri" w:cs="Calibri" w:eastAsia="Calibri" w:hAnsi="Calibri"/>
          <w:sz w:val="22"/>
          <w:szCs w:val="22"/>
        </w:rPr>
        <w:t xml:space="preserve">Live single-engine flight EEG research demonstrates that machine learning on EEG band power (delta/theta/alpha/beta) can classify pilot workload with over 90% accuracy using ensemble methods, confirming EEG as a viable real-flight signal, not just a simulator artefact.</w:t>
      </w:r>
    </w:p>
    <w:p>
      <w:pPr>
        <w:pStyle w:val="ListParagraph"/>
        <w:numPr>
          <w:ilvl w:val="0"/>
          <w:numId w:val="2"/>
        </w:numPr>
        <w:spacing w:after="80"/>
      </w:pPr>
      <w:r>
        <w:rPr>
          <w:rFonts w:ascii="Calibri" w:cs="Calibri" w:eastAsia="Calibri" w:hAnsi="Calibri"/>
          <w:sz w:val="22"/>
          <w:szCs w:val="22"/>
        </w:rPr>
        <w:t xml:space="preserve">The CogPilot programme (U.S. Department of the Air Force) is the most directly relevant large-scale precedent for this project's combat-aviation future scope, combining eye tracking, voice, and physiological data in an immersive VR pilot-training environment.</w:t>
      </w:r>
    </w:p>
    <w:p>
      <w:pPr>
        <w:pStyle w:val="ListParagraph"/>
        <w:numPr>
          <w:ilvl w:val="0"/>
          <w:numId w:val="2"/>
        </w:numPr>
        <w:spacing w:after="80"/>
      </w:pPr>
      <w:r>
        <w:rPr>
          <w:rFonts w:ascii="Calibri" w:cs="Calibri" w:eastAsia="Calibri" w:hAnsi="Calibri"/>
          <w:sz w:val="22"/>
          <w:szCs w:val="22"/>
        </w:rPr>
        <w:t xml:space="preserve">Recent 2025–2026 work extends multimodal fusion (EEG+ECG, EMG/EOG/EDA with flight dynamics) using transformer and LSTM architectures, achieving high accuracy (88–97%) in cross-subject workload/fatigue classification — evidence that the sensor fusion approach proposed here is state-of-the-art-aligned, not speculative.</w:t>
      </w:r>
    </w:p>
    <w:p>
      <w:pPr>
        <w:pStyle w:val="ListParagraph"/>
        <w:numPr>
          <w:ilvl w:val="0"/>
          <w:numId w:val="2"/>
        </w:numPr>
        <w:spacing w:after="80"/>
      </w:pPr>
      <w:r>
        <w:rPr>
          <w:rFonts w:ascii="Calibri" w:cs="Calibri" w:eastAsia="Calibri" w:hAnsi="Calibri"/>
          <w:sz w:val="22"/>
          <w:szCs w:val="22"/>
        </w:rPr>
        <w:t xml:space="preserve">Patent/prior-art note: as with the IoT-Sentry project, before finalising any novel-differentiator claims (e.g. a specific fusion algorithm or edge-deployable workload index), a prior-art search against these existing works is essential to identify genuinely unclaimed technical ground.</w:t>
      </w:r>
    </w:p>
    <w:p>
      <w:pPr>
        <w:pStyle w:val="Heading1"/>
        <w:spacing w:after="160" w:before="320"/>
      </w:pPr>
      <w:r>
        <w:t xml:space="preserve">9. Future Scope</w:t>
      </w:r>
    </w:p>
    <w:p>
      <w:pPr>
        <w:pStyle w:val="ListParagraph"/>
        <w:numPr>
          <w:ilvl w:val="0"/>
          <w:numId w:val="2"/>
        </w:numPr>
        <w:spacing w:after="80"/>
      </w:pPr>
      <w:r>
        <w:rPr>
          <w:rFonts w:ascii="Calibri" w:cs="Calibri" w:eastAsia="Calibri" w:hAnsi="Calibri"/>
          <w:sz w:val="22"/>
          <w:szCs w:val="22"/>
        </w:rPr>
        <w:t xml:space="preserve">Extension to combat aircraft: incorporating G-force and vestibular disorientation as additional inputs, tighter real-time alerting latency requirements, and encrypted/high-integrity logging given operational sensitivity.</w:t>
      </w:r>
    </w:p>
    <w:p>
      <w:pPr>
        <w:pStyle w:val="ListParagraph"/>
        <w:numPr>
          <w:ilvl w:val="0"/>
          <w:numId w:val="2"/>
        </w:numPr>
        <w:spacing w:after="80"/>
      </w:pPr>
      <w:r>
        <w:rPr>
          <w:rFonts w:ascii="Calibri" w:cs="Calibri" w:eastAsia="Calibri" w:hAnsi="Calibri"/>
          <w:sz w:val="22"/>
          <w:szCs w:val="22"/>
        </w:rPr>
        <w:t xml:space="preserve">Quantum-inspired optimisation for large-scale, real-time anomaly detection across fleet-wide data (mentioned as a direction, not implemented in this project).</w:t>
      </w:r>
    </w:p>
    <w:p>
      <w:pPr>
        <w:pStyle w:val="ListParagraph"/>
        <w:numPr>
          <w:ilvl w:val="0"/>
          <w:numId w:val="2"/>
        </w:numPr>
        <w:spacing w:after="80"/>
      </w:pPr>
      <w:r>
        <w:rPr>
          <w:rFonts w:ascii="Calibri" w:cs="Calibri" w:eastAsia="Calibri" w:hAnsi="Calibri"/>
          <w:sz w:val="22"/>
          <w:szCs w:val="22"/>
        </w:rPr>
        <w:t xml:space="preserve">Federated/fleet-level analytics: aggregating anonymised cognitive-load trends across pilots and routes for airline-level fatigue-risk management, building on existing NASA and FAA fatigue-risk frameworks.</w:t>
      </w:r>
    </w:p>
    <w:p>
      <w:pPr>
        <w:pStyle w:val="ListParagraph"/>
        <w:numPr>
          <w:ilvl w:val="0"/>
          <w:numId w:val="2"/>
        </w:numPr>
        <w:spacing w:after="80"/>
      </w:pPr>
      <w:r>
        <w:rPr>
          <w:rFonts w:ascii="Calibri" w:cs="Calibri" w:eastAsia="Calibri" w:hAnsi="Calibri"/>
          <w:sz w:val="22"/>
          <w:szCs w:val="22"/>
        </w:rPr>
        <w:t xml:space="preserve">Integration with cockpit automation: dynamically adjusting automation assistance level based on detected cognitive load, subject to strict certification and human-factors review.</w:t>
      </w:r>
    </w:p>
    <w:p>
      <w:pPr>
        <w:pStyle w:val="Heading1"/>
        <w:spacing w:after="160" w:before="320"/>
      </w:pPr>
      <w:r>
        <w:t xml:space="preserve">10. Project-to-Syllabus Mapping (Summary)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42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Syllabus Module</w:t>
            </w:r>
          </w:p>
        </w:tc>
        <w:tc>
          <w:tcPr>
            <w:tcW w:type="dxa" w:w="5300"/>
            <w:shd w:fill="1F4E79"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Project Component</w:t>
            </w:r>
          </w:p>
        </w:tc>
      </w:tr>
      <w:tr>
        <w:tc>
          <w:tcPr>
            <w:tcW w:type="dxa" w:w="4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1 – DB Concepts &amp; Architecture</w:t>
            </w:r>
          </w:p>
        </w:tc>
        <w:tc>
          <w:tcPr>
            <w:tcW w:type="dxa" w:w="5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Overall client/server ingestion architecture: edge → MQTT → ingestion service → DBMS</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2 – Relational Model &amp; ER Modeling</w:t>
            </w:r>
          </w:p>
        </w:tc>
        <w:tc>
          <w:tcPr>
            <w:tcW w:type="dxa" w:w="5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ER model: Pilot, Flight, Aircraft, SensorDevice, SensorReading, CognitiveStateSnapshot, Alert</w:t>
            </w:r>
          </w:p>
        </w:tc>
      </w:tr>
      <w:tr>
        <w:tc>
          <w:tcPr>
            <w:tcW w:type="dxa" w:w="4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3 – Relational DB Design</w:t>
            </w:r>
          </w:p>
        </w:tc>
        <w:tc>
          <w:tcPr>
            <w:tcW w:type="dxa" w:w="5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Normalisation to 3NF/BCNF; functional dependency analysis on device/sensor metadata</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4 – Physical DB Design &amp; Query Processing</w:t>
            </w:r>
          </w:p>
        </w:tc>
        <w:tc>
          <w:tcPr>
            <w:tcW w:type="dxa" w:w="5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B+ tree / composite indexing on (flight_id, timestamp); query optimisation for time-range scans</w:t>
            </w:r>
          </w:p>
        </w:tc>
      </w:tr>
      <w:tr>
        <w:tc>
          <w:tcPr>
            <w:tcW w:type="dxa" w:w="4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5 – Transaction Processing &amp; Recovery</w:t>
            </w:r>
          </w:p>
        </w:tc>
        <w:tc>
          <w:tcPr>
            <w:tcW w:type="dxa" w:w="5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ACID-compliant alert generation; log-based recovery for safety-critical writes</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6 – Concurrency Control</w:t>
            </w:r>
          </w:p>
        </w:tc>
        <w:tc>
          <w:tcPr>
            <w:tcW w:type="dxa" w:w="53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Row-level locking for concurrent multi-sensor ingestion into shared flight records</w:t>
            </w:r>
          </w:p>
        </w:tc>
      </w:tr>
      <w:tr>
        <w:tc>
          <w:tcPr>
            <w:tcW w:type="dxa" w:w="42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Module 7 – NoSQL (optional)</w:t>
            </w:r>
          </w:p>
        </w:tc>
        <w:tc>
          <w:tcPr>
            <w:tcW w:type="dxa" w:w="5300"/>
            <w:shd w:fill="F2F6FA"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Secondary document/time-series store for raw high-frequency sensor streams</w:t>
            </w:r>
          </w:p>
        </w:tc>
      </w:tr>
    </w:tbl>
    <w:p>
      <w:pPr>
        <w:pStyle w:val="Heading1"/>
        <w:spacing w:after="160" w:before="320"/>
      </w:pPr>
      <w:r>
        <w:t xml:space="preserve">11. References</w:t>
      </w:r>
    </w:p>
    <w:p>
      <w:pPr>
        <w:spacing w:after="160" w:line="276"/>
        <w:jc w:val="both"/>
      </w:pPr>
      <w:r>
        <w:rPr>
          <w:rFonts w:ascii="Calibri" w:cs="Calibri" w:eastAsia="Calibri" w:hAnsi="Calibri"/>
          <w:sz w:val="20"/>
          <w:szCs w:val="20"/>
        </w:rPr>
        <w:t xml:space="preserve">R. Elmasri &amp; S. B. Navathe, Fundamentals of Database Systems, 7th Edition, Addison Wesley, 2016.</w:t>
      </w:r>
    </w:p>
    <w:p>
      <w:pPr>
        <w:spacing w:after="160" w:line="276"/>
        <w:jc w:val="both"/>
      </w:pPr>
      <w:r>
        <w:rPr>
          <w:rFonts w:ascii="Calibri" w:cs="Calibri" w:eastAsia="Calibri" w:hAnsi="Calibri"/>
          <w:sz w:val="20"/>
          <w:szCs w:val="20"/>
        </w:rPr>
        <w:t xml:space="preserve">A. Silberschatz, H. F. Korth &amp; S. Sudarshan, Database System Concepts, 7th Edition, McGraw Hill, 2019.</w:t>
      </w:r>
    </w:p>
    <w:p>
      <w:pPr>
        <w:spacing w:after="160" w:line="276"/>
        <w:jc w:val="both"/>
      </w:pPr>
      <w:r>
        <w:rPr>
          <w:rFonts w:ascii="Calibri" w:cs="Calibri" w:eastAsia="Calibri" w:hAnsi="Calibri"/>
          <w:sz w:val="20"/>
          <w:szCs w:val="20"/>
        </w:rPr>
        <w:t xml:space="preserve">EEG Dataset Collection for Mental Workload Predictions in Flight-Deck Environment, Sensors (MDPI), 2024, https://doi.org/10.3390/s24041174</w:t>
      </w:r>
    </w:p>
    <w:p>
      <w:pPr>
        <w:spacing w:after="160" w:line="276"/>
        <w:jc w:val="both"/>
      </w:pPr>
      <w:r>
        <w:rPr>
          <w:rFonts w:ascii="Calibri" w:cs="Calibri" w:eastAsia="Calibri" w:hAnsi="Calibri"/>
          <w:sz w:val="20"/>
          <w:szCs w:val="20"/>
        </w:rPr>
        <w:t xml:space="preserve">Using machine learning methods and EEG to discriminate aircraft pilot cognitive workload during flight, Scientific Reports, 2023, https://www.nature.com/articles/s41598-023-29647-0</w:t>
      </w:r>
    </w:p>
    <w:p>
      <w:pPr>
        <w:spacing w:after="160" w:line="276"/>
        <w:jc w:val="both"/>
      </w:pPr>
      <w:r>
        <w:rPr>
          <w:rFonts w:ascii="Calibri" w:cs="Calibri" w:eastAsia="Calibri" w:hAnsi="Calibri"/>
          <w:sz w:val="20"/>
          <w:szCs w:val="20"/>
        </w:rPr>
        <w:t xml:space="preserve">Developing a Series of AI Challenges for the United States Department of the Air Force (CogPilot), arXiv:2207.07033.</w:t>
      </w:r>
    </w:p>
    <w:p>
      <w:pPr>
        <w:spacing w:after="160" w:line="276"/>
        <w:jc w:val="both"/>
      </w:pPr>
      <w:r>
        <w:rPr>
          <w:rFonts w:ascii="Calibri" w:cs="Calibri" w:eastAsia="Calibri" w:hAnsi="Calibri"/>
          <w:sz w:val="20"/>
          <w:szCs w:val="20"/>
        </w:rPr>
        <w:t xml:space="preserve">Cognitive Load Estimation in VR Flight Simulator, PMC11373147.</w:t>
      </w:r>
    </w:p>
    <w:p>
      <w:pPr>
        <w:spacing w:after="160" w:line="276"/>
        <w:jc w:val="both"/>
      </w:pPr>
      <w:r>
        <w:rPr>
          <w:rFonts w:ascii="Calibri" w:cs="Calibri" w:eastAsia="Calibri" w:hAnsi="Calibri"/>
          <w:sz w:val="20"/>
          <w:szCs w:val="20"/>
        </w:rPr>
        <w:t xml:space="preserve">An in-flight multimodal data collection method for assessing pilot cognitive states and performance in general aviation, ResearchGate, 2025.</w:t>
      </w:r>
    </w:p>
    <w:p>
      <w:pPr>
        <w:spacing w:after="160" w:line="276"/>
        <w:jc w:val="both"/>
      </w:pPr>
      <w:r>
        <w:rPr>
          <w:rFonts w:ascii="Calibri" w:cs="Calibri" w:eastAsia="Calibri" w:hAnsi="Calibri"/>
          <w:sz w:val="20"/>
          <w:szCs w:val="20"/>
        </w:rPr>
        <w:t xml:space="preserve">To assure aviation safety: pilot fatigue detection based on short-term multimodal physiological signals, Frontiers in Human Neuroscience, 2026, PMC12909498.</w:t>
      </w:r>
    </w:p>
    <w:p>
      <w:pPr>
        <w:spacing w:after="160" w:line="276"/>
        <w:jc w:val="both"/>
      </w:pPr>
      <w:r>
        <w:rPr>
          <w:rFonts w:ascii="Calibri" w:cs="Calibri" w:eastAsia="Calibri" w:hAnsi="Calibri"/>
          <w:sz w:val="20"/>
          <w:szCs w:val="20"/>
        </w:rPr>
        <w:t xml:space="preserve">Towards Generalizable Drowsiness Monitoring with Physiological Sensors: A Preliminary Study, arXiv:2506.06360.</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4E79"/>
      <w:sz w:val="44"/>
      <w:szCs w:val="44"/>
    </w:rPr>
  </w:style>
  <w:style w:type="paragraph" w:styleId="Subtitle">
    <w:name w:val="Subtitle"/>
    <w:basedOn w:val="Normal"/>
    <w:next w:val="Normal"/>
    <w:pPr>
      <w:spacing w:after="400"/>
      <w:jc w:val="center"/>
    </w:pPr>
    <w:rPr>
      <w:rFonts w:ascii="Calibri" w:cs="Calibri" w:eastAsia="Calibri" w:hAnsi="Calibri"/>
      <w:i/>
      <w:i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reujji266daix6aifvdm" Type="http://schemas.openxmlformats.org/officeDocument/2006/relationships/hyperlink" Target="https://doi.org/10.3390/s24041174" TargetMode="External"/><Relationship Id="rIdolcvokq-__rjk05v70n0x" Type="http://schemas.openxmlformats.org/officeDocument/2006/relationships/hyperlink" Target="https://pmc.ncbi.nlm.nih.gov/articles/PMC10891818/" TargetMode="External"/><Relationship Id="rIdp9cwbwcszvj11lgcez098" Type="http://schemas.openxmlformats.org/officeDocument/2006/relationships/hyperlink" Target="https://www.nature.com/articles/s41598-023-29647-0" TargetMode="External"/><Relationship Id="rIdkrxo3kmcwteshmrswikjt" Type="http://schemas.openxmlformats.org/officeDocument/2006/relationships/hyperlink" Target="https://pubmed.ncbi.nlm.nih.gov/36782004/" TargetMode="External"/><Relationship Id="rId2-9y4x0mbyv9ctmqpj4i4" Type="http://schemas.openxmlformats.org/officeDocument/2006/relationships/hyperlink" Target="https://arxiv.org/pdf/2207.07033" TargetMode="External"/><Relationship Id="rIdofvqvmsxoezhsyslgkamf" Type="http://schemas.openxmlformats.org/officeDocument/2006/relationships/hyperlink" Target="https://www.ncbi.nlm.nih.gov/pmc/articles/PMC11373147/" TargetMode="External"/><Relationship Id="rIdyzadmq6-sqrtuib2_pc3l" Type="http://schemas.openxmlformats.org/officeDocument/2006/relationships/hyperlink" Target="https://www.researchgate.net/publication/395397307_An_in-flight_multimodal_data_collection_method_for_assessing_pilot_cognitive_states_and_performance_in_general_aviation" TargetMode="External"/><Relationship Id="rIdfy9k8g6y88g1mmwsyhucq" Type="http://schemas.openxmlformats.org/officeDocument/2006/relationships/hyperlink" Target="https://arxiv.org/pdf/2506.06360" TargetMode="External"/><Relationship Id="rIdjfcljo30d4bq72wtai7ux" Type="http://schemas.openxmlformats.org/officeDocument/2006/relationships/hyperlink" Target="https://www.kaggle.com/datasets/ismailnasri20/driver-drowsiness-dataset-ddd" TargetMode="External"/><Relationship Id="rId2bbzxjdakcmbwb65hm5bh" Type="http://schemas.openxmlformats.org/officeDocument/2006/relationships/hyperlink" Target="https://www.ncbi.nlm.nih.gov/pmc/articles/PMC12909498/"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2026-08-05T20:08:44.740Z</dcterms:created>
  <dcterms:modified xsi:type="dcterms:W3CDTF">2026-08-05T20:08:44.763Z</dcterms:modified>
</cp:coreProperties>
</file>

<file path=docProps/custom.xml><?xml version="1.0" encoding="utf-8"?>
<Properties xmlns="http://schemas.openxmlformats.org/officeDocument/2006/custom-properties" xmlns:vt="http://schemas.openxmlformats.org/officeDocument/2006/docPropsVTypes"/>
</file>