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A8591" w14:textId="5D7ADD84" w:rsidR="00752E18" w:rsidRDefault="00752E18" w:rsidP="00281F00">
      <w:r>
        <w:rPr>
          <w:noProof/>
        </w:rPr>
        <w:drawing>
          <wp:inline distT="0" distB="0" distL="0" distR="0" wp14:anchorId="4D910611" wp14:editId="35727DC7">
            <wp:extent cx="6523463" cy="1114425"/>
            <wp:effectExtent l="0" t="0" r="0" b="0"/>
            <wp:docPr id="1762100833" name="Picture 1" descr="A white text on a purpl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100833" name="Picture 1" descr="A white text on a purple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25023" cy="1114692"/>
                    </a:xfrm>
                    <a:prstGeom prst="rect">
                      <a:avLst/>
                    </a:prstGeom>
                  </pic:spPr>
                </pic:pic>
              </a:graphicData>
            </a:graphic>
          </wp:inline>
        </w:drawing>
      </w:r>
    </w:p>
    <w:p w14:paraId="0E6F1839" w14:textId="2B6CB853" w:rsidR="00752E18" w:rsidRPr="005E46F4" w:rsidRDefault="005E46F4" w:rsidP="005E46F4">
      <w:pPr>
        <w:jc w:val="center"/>
        <w:rPr>
          <w:b/>
          <w:bCs/>
          <w:sz w:val="36"/>
          <w:szCs w:val="36"/>
        </w:rPr>
      </w:pPr>
      <w:r w:rsidRPr="005E46F4">
        <w:rPr>
          <w:b/>
          <w:bCs/>
          <w:sz w:val="36"/>
          <w:szCs w:val="36"/>
        </w:rPr>
        <w:t>2023 AGA Datathon Abstract Submission</w:t>
      </w:r>
    </w:p>
    <w:p w14:paraId="55A3FF04" w14:textId="77777777" w:rsidR="005E46F4" w:rsidRDefault="005E46F4" w:rsidP="00281F00"/>
    <w:p w14:paraId="23003947" w14:textId="0702B890" w:rsidR="00281F00" w:rsidRDefault="00281F00" w:rsidP="00281F00">
      <w:r>
        <w:rPr>
          <w:noProof/>
        </w:rPr>
        <mc:AlternateContent>
          <mc:Choice Requires="wps">
            <w:drawing>
              <wp:anchor distT="45720" distB="45720" distL="114300" distR="114300" simplePos="0" relativeHeight="251659264" behindDoc="0" locked="0" layoutInCell="1" allowOverlap="1" wp14:anchorId="4A1D8C18" wp14:editId="6A944291">
                <wp:simplePos x="0" y="0"/>
                <wp:positionH relativeFrom="margin">
                  <wp:align>right</wp:align>
                </wp:positionH>
                <wp:positionV relativeFrom="paragraph">
                  <wp:posOffset>0</wp:posOffset>
                </wp:positionV>
                <wp:extent cx="5048250" cy="27305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273050"/>
                        </a:xfrm>
                        <a:prstGeom prst="rect">
                          <a:avLst/>
                        </a:prstGeom>
                        <a:solidFill>
                          <a:srgbClr val="FFFFFF"/>
                        </a:solidFill>
                        <a:ln w="9525">
                          <a:solidFill>
                            <a:srgbClr val="000000"/>
                          </a:solidFill>
                          <a:miter lim="800000"/>
                          <a:headEnd/>
                          <a:tailEnd/>
                        </a:ln>
                      </wps:spPr>
                      <wps:txbx>
                        <w:txbxContent>
                          <w:p w14:paraId="12CE2037" w14:textId="194DA705" w:rsidR="00281F00" w:rsidRDefault="003555BE" w:rsidP="00281F00">
                            <w:r>
                              <w:t>Data Noobs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1D8C18" id="_x0000_t202" coordsize="21600,21600" o:spt="202" path="m,l,21600r21600,l21600,xe">
                <v:stroke joinstyle="miter"/>
                <v:path gradientshapeok="t" o:connecttype="rect"/>
              </v:shapetype>
              <v:shape id="Text Box 2" o:spid="_x0000_s1026" type="#_x0000_t202" style="position:absolute;margin-left:346.3pt;margin-top:0;width:397.5pt;height:21.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">
                <v:textbox>
                  <w:txbxContent>
                    <w:p w14:paraId="12CE2037" w14:textId="194DA705" w:rsidR="00281F00" w:rsidRDefault="003555BE" w:rsidP="00281F00">
                      <w:r>
                        <w:t>Data Noobs</w:t>
                      </w:r>
                    </w:p>
                  </w:txbxContent>
                </v:textbox>
                <w10:wrap type="square" anchorx="margin"/>
              </v:shape>
            </w:pict>
          </mc:Fallback>
        </mc:AlternateContent>
      </w:r>
      <w:r>
        <w:t xml:space="preserve">Team Name: </w:t>
      </w:r>
    </w:p>
    <w:p w14:paraId="08B69129" w14:textId="423433B2" w:rsidR="00B12CF3" w:rsidRDefault="00B12CF3" w:rsidP="00281F00"/>
    <w:p w14:paraId="7186534C" w14:textId="77777777" w:rsidR="00D50F86" w:rsidRDefault="00D50F86" w:rsidP="00281F00"/>
    <w:p w14:paraId="5EEB87B1" w14:textId="7757773D" w:rsidR="00281F00" w:rsidRDefault="00281F00" w:rsidP="00281F00">
      <w:r>
        <w:rPr>
          <w:noProof/>
        </w:rPr>
        <mc:AlternateContent>
          <mc:Choice Requires="wps">
            <w:drawing>
              <wp:anchor distT="45720" distB="45720" distL="114300" distR="114300" simplePos="0" relativeHeight="251661312" behindDoc="0" locked="0" layoutInCell="1" allowOverlap="1" wp14:anchorId="2BB0584B" wp14:editId="4B3A4613">
                <wp:simplePos x="0" y="0"/>
                <wp:positionH relativeFrom="column">
                  <wp:posOffset>1093470</wp:posOffset>
                </wp:positionH>
                <wp:positionV relativeFrom="paragraph">
                  <wp:posOffset>5715</wp:posOffset>
                </wp:positionV>
                <wp:extent cx="4817745" cy="1059180"/>
                <wp:effectExtent l="0" t="0" r="8255" b="762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7745" cy="1059180"/>
                        </a:xfrm>
                        <a:prstGeom prst="rect">
                          <a:avLst/>
                        </a:prstGeom>
                        <a:solidFill>
                          <a:srgbClr val="FFFFFF"/>
                        </a:solidFill>
                        <a:ln w="9525">
                          <a:solidFill>
                            <a:srgbClr val="000000"/>
                          </a:solidFill>
                          <a:miter lim="800000"/>
                          <a:headEnd/>
                          <a:tailEnd/>
                        </a:ln>
                      </wps:spPr>
                      <wps:txbx>
                        <w:txbxContent>
                          <w:p w14:paraId="0AEB1047" w14:textId="77777777" w:rsidR="003555BE" w:rsidRPr="003555BE" w:rsidRDefault="003555BE" w:rsidP="003555BE">
                            <w:pPr>
                              <w:numPr>
                                <w:ilvl w:val="0"/>
                                <w:numId w:val="1"/>
                              </w:numPr>
                              <w:spacing w:before="100" w:beforeAutospacing="1" w:after="100" w:afterAutospacing="1" w:line="240" w:lineRule="auto"/>
                              <w:rPr>
                                <w:rFonts w:eastAsia="Times New Roman" w:cstheme="minorHAnsi"/>
                                <w:color w:val="1F2328"/>
                              </w:rPr>
                            </w:pPr>
                            <w:r w:rsidRPr="003555BE">
                              <w:rPr>
                                <w:rFonts w:eastAsia="Times New Roman" w:cstheme="minorHAnsi"/>
                                <w:color w:val="1F2328"/>
                              </w:rPr>
                              <w:t xml:space="preserve">Elina </w:t>
                            </w:r>
                            <w:proofErr w:type="spellStart"/>
                            <w:r w:rsidRPr="003555BE">
                              <w:rPr>
                                <w:rFonts w:eastAsia="Times New Roman" w:cstheme="minorHAnsi"/>
                                <w:color w:val="1F2328"/>
                              </w:rPr>
                              <w:t>Paraschou</w:t>
                            </w:r>
                            <w:proofErr w:type="spellEnd"/>
                            <w:r w:rsidRPr="003555BE">
                              <w:rPr>
                                <w:rFonts w:eastAsia="Times New Roman" w:cstheme="minorHAnsi"/>
                                <w:color w:val="1F2328"/>
                              </w:rPr>
                              <w:t>, MS Analytics at American University</w:t>
                            </w:r>
                          </w:p>
                          <w:p w14:paraId="76DC35BA" w14:textId="77777777" w:rsidR="003555BE" w:rsidRPr="003555BE" w:rsidRDefault="003555BE" w:rsidP="003555BE">
                            <w:pPr>
                              <w:numPr>
                                <w:ilvl w:val="0"/>
                                <w:numId w:val="1"/>
                              </w:numPr>
                              <w:spacing w:before="60" w:after="100" w:afterAutospacing="1" w:line="240" w:lineRule="auto"/>
                              <w:rPr>
                                <w:rFonts w:eastAsia="Times New Roman" w:cstheme="minorHAnsi"/>
                                <w:color w:val="1F2328"/>
                              </w:rPr>
                            </w:pPr>
                            <w:r w:rsidRPr="003555BE">
                              <w:rPr>
                                <w:rFonts w:eastAsia="Times New Roman" w:cstheme="minorHAnsi"/>
                                <w:color w:val="1F2328"/>
                              </w:rPr>
                              <w:t>Kritika Goyal, MS Analytics at American University</w:t>
                            </w:r>
                          </w:p>
                          <w:p w14:paraId="79061AC6" w14:textId="77777777" w:rsidR="003555BE" w:rsidRPr="003555BE" w:rsidRDefault="003555BE" w:rsidP="003555BE">
                            <w:pPr>
                              <w:numPr>
                                <w:ilvl w:val="0"/>
                                <w:numId w:val="1"/>
                              </w:numPr>
                              <w:spacing w:before="60" w:after="100" w:afterAutospacing="1" w:line="240" w:lineRule="auto"/>
                              <w:rPr>
                                <w:rFonts w:eastAsia="Times New Roman" w:cstheme="minorHAnsi"/>
                                <w:color w:val="1F2328"/>
                              </w:rPr>
                            </w:pPr>
                            <w:r w:rsidRPr="003555BE">
                              <w:rPr>
                                <w:rFonts w:eastAsia="Times New Roman" w:cstheme="minorHAnsi"/>
                                <w:color w:val="1F2328"/>
                              </w:rPr>
                              <w:t>Nabila Nishat Raisa, MS Analytics at American University</w:t>
                            </w:r>
                          </w:p>
                          <w:p w14:paraId="7A3E2805" w14:textId="77777777" w:rsidR="003555BE" w:rsidRPr="003555BE" w:rsidRDefault="003555BE" w:rsidP="003555BE">
                            <w:pPr>
                              <w:numPr>
                                <w:ilvl w:val="0"/>
                                <w:numId w:val="1"/>
                              </w:numPr>
                              <w:spacing w:before="60" w:after="100" w:afterAutospacing="1" w:line="240" w:lineRule="auto"/>
                              <w:rPr>
                                <w:rFonts w:eastAsia="Times New Roman" w:cstheme="minorHAnsi"/>
                                <w:color w:val="1F2328"/>
                              </w:rPr>
                            </w:pPr>
                            <w:proofErr w:type="spellStart"/>
                            <w:r w:rsidRPr="003555BE">
                              <w:rPr>
                                <w:rFonts w:eastAsia="Times New Roman" w:cstheme="minorHAnsi"/>
                                <w:color w:val="1F2328"/>
                              </w:rPr>
                              <w:t>Aatsend</w:t>
                            </w:r>
                            <w:proofErr w:type="spellEnd"/>
                            <w:r w:rsidRPr="003555BE">
                              <w:rPr>
                                <w:rFonts w:eastAsia="Times New Roman" w:cstheme="minorHAnsi"/>
                                <w:color w:val="1F2328"/>
                              </w:rPr>
                              <w:t xml:space="preserve"> </w:t>
                            </w:r>
                            <w:proofErr w:type="spellStart"/>
                            <w:r w:rsidRPr="003555BE">
                              <w:rPr>
                                <w:rFonts w:eastAsia="Times New Roman" w:cstheme="minorHAnsi"/>
                                <w:color w:val="1F2328"/>
                              </w:rPr>
                              <w:t>Lkhagvadorj</w:t>
                            </w:r>
                            <w:proofErr w:type="spellEnd"/>
                            <w:r w:rsidRPr="003555BE">
                              <w:rPr>
                                <w:rFonts w:eastAsia="Times New Roman" w:cstheme="minorHAnsi"/>
                                <w:color w:val="1F2328"/>
                              </w:rPr>
                              <w:t>, MS Analytics at American University</w:t>
                            </w:r>
                          </w:p>
                          <w:p w14:paraId="7883C4BD" w14:textId="77777777" w:rsidR="00281F00" w:rsidRDefault="00281F0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0584B" id="_x0000_s1027" type="#_x0000_t202" style="position:absolute;margin-left:86.1pt;margin-top:.45pt;width:379.35pt;height:83.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">
                <v:textbox>
                  <w:txbxContent>
                    <w:p w14:paraId="0AEB1047" w14:textId="77777777" w:rsidR="003555BE" w:rsidRPr="003555BE" w:rsidRDefault="003555BE" w:rsidP="003555BE">
                      <w:pPr>
                        <w:numPr>
                          <w:ilvl w:val="0"/>
                          <w:numId w:val="1"/>
                        </w:numPr>
                        <w:spacing w:before="100" w:beforeAutospacing="1" w:after="100" w:afterAutospacing="1" w:line="240" w:lineRule="auto"/>
                        <w:rPr>
                          <w:rFonts w:eastAsia="Times New Roman" w:cstheme="minorHAnsi"/>
                          <w:color w:val="1F2328"/>
                        </w:rPr>
                      </w:pPr>
                      <w:r w:rsidRPr="003555BE">
                        <w:rPr>
                          <w:rFonts w:eastAsia="Times New Roman" w:cstheme="minorHAnsi"/>
                          <w:color w:val="1F2328"/>
                        </w:rPr>
                        <w:t xml:space="preserve">Elina </w:t>
                      </w:r>
                      <w:proofErr w:type="spellStart"/>
                      <w:r w:rsidRPr="003555BE">
                        <w:rPr>
                          <w:rFonts w:eastAsia="Times New Roman" w:cstheme="minorHAnsi"/>
                          <w:color w:val="1F2328"/>
                        </w:rPr>
                        <w:t>Paraschou</w:t>
                      </w:r>
                      <w:proofErr w:type="spellEnd"/>
                      <w:r w:rsidRPr="003555BE">
                        <w:rPr>
                          <w:rFonts w:eastAsia="Times New Roman" w:cstheme="minorHAnsi"/>
                          <w:color w:val="1F2328"/>
                        </w:rPr>
                        <w:t>, MS Analytics at American University</w:t>
                      </w:r>
                    </w:p>
                    <w:p w14:paraId="76DC35BA" w14:textId="77777777" w:rsidR="003555BE" w:rsidRPr="003555BE" w:rsidRDefault="003555BE" w:rsidP="003555BE">
                      <w:pPr>
                        <w:numPr>
                          <w:ilvl w:val="0"/>
                          <w:numId w:val="1"/>
                        </w:numPr>
                        <w:spacing w:before="60" w:after="100" w:afterAutospacing="1" w:line="240" w:lineRule="auto"/>
                        <w:rPr>
                          <w:rFonts w:eastAsia="Times New Roman" w:cstheme="minorHAnsi"/>
                          <w:color w:val="1F2328"/>
                        </w:rPr>
                      </w:pPr>
                      <w:r w:rsidRPr="003555BE">
                        <w:rPr>
                          <w:rFonts w:eastAsia="Times New Roman" w:cstheme="minorHAnsi"/>
                          <w:color w:val="1F2328"/>
                        </w:rPr>
                        <w:t>Kritika Goyal, MS Analytics at American University</w:t>
                      </w:r>
                    </w:p>
                    <w:p w14:paraId="79061AC6" w14:textId="77777777" w:rsidR="003555BE" w:rsidRPr="003555BE" w:rsidRDefault="003555BE" w:rsidP="003555BE">
                      <w:pPr>
                        <w:numPr>
                          <w:ilvl w:val="0"/>
                          <w:numId w:val="1"/>
                        </w:numPr>
                        <w:spacing w:before="60" w:after="100" w:afterAutospacing="1" w:line="240" w:lineRule="auto"/>
                        <w:rPr>
                          <w:rFonts w:eastAsia="Times New Roman" w:cstheme="minorHAnsi"/>
                          <w:color w:val="1F2328"/>
                        </w:rPr>
                      </w:pPr>
                      <w:r w:rsidRPr="003555BE">
                        <w:rPr>
                          <w:rFonts w:eastAsia="Times New Roman" w:cstheme="minorHAnsi"/>
                          <w:color w:val="1F2328"/>
                        </w:rPr>
                        <w:t>Nabila Nishat Raisa, MS Analytics at American University</w:t>
                      </w:r>
                    </w:p>
                    <w:p w14:paraId="7A3E2805" w14:textId="77777777" w:rsidR="003555BE" w:rsidRPr="003555BE" w:rsidRDefault="003555BE" w:rsidP="003555BE">
                      <w:pPr>
                        <w:numPr>
                          <w:ilvl w:val="0"/>
                          <w:numId w:val="1"/>
                        </w:numPr>
                        <w:spacing w:before="60" w:after="100" w:afterAutospacing="1" w:line="240" w:lineRule="auto"/>
                        <w:rPr>
                          <w:rFonts w:eastAsia="Times New Roman" w:cstheme="minorHAnsi"/>
                          <w:color w:val="1F2328"/>
                        </w:rPr>
                      </w:pPr>
                      <w:proofErr w:type="spellStart"/>
                      <w:r w:rsidRPr="003555BE">
                        <w:rPr>
                          <w:rFonts w:eastAsia="Times New Roman" w:cstheme="minorHAnsi"/>
                          <w:color w:val="1F2328"/>
                        </w:rPr>
                        <w:t>Aatsend</w:t>
                      </w:r>
                      <w:proofErr w:type="spellEnd"/>
                      <w:r w:rsidRPr="003555BE">
                        <w:rPr>
                          <w:rFonts w:eastAsia="Times New Roman" w:cstheme="minorHAnsi"/>
                          <w:color w:val="1F2328"/>
                        </w:rPr>
                        <w:t xml:space="preserve"> </w:t>
                      </w:r>
                      <w:proofErr w:type="spellStart"/>
                      <w:r w:rsidRPr="003555BE">
                        <w:rPr>
                          <w:rFonts w:eastAsia="Times New Roman" w:cstheme="minorHAnsi"/>
                          <w:color w:val="1F2328"/>
                        </w:rPr>
                        <w:t>Lkhagvadorj</w:t>
                      </w:r>
                      <w:proofErr w:type="spellEnd"/>
                      <w:r w:rsidRPr="003555BE">
                        <w:rPr>
                          <w:rFonts w:eastAsia="Times New Roman" w:cstheme="minorHAnsi"/>
                          <w:color w:val="1F2328"/>
                        </w:rPr>
                        <w:t>, MS Analytics at American University</w:t>
                      </w:r>
                    </w:p>
                    <w:p w14:paraId="7883C4BD" w14:textId="77777777" w:rsidR="00281F00" w:rsidRDefault="00281F00"/>
                  </w:txbxContent>
                </v:textbox>
                <w10:wrap type="square"/>
              </v:shape>
            </w:pict>
          </mc:Fallback>
        </mc:AlternateContent>
      </w:r>
      <w:r>
        <w:t xml:space="preserve">Team Members: </w:t>
      </w:r>
    </w:p>
    <w:p w14:paraId="721F7EC4" w14:textId="0EB811A3" w:rsidR="00281F00" w:rsidRDefault="00281F00" w:rsidP="00281F00"/>
    <w:p w14:paraId="3D4F2C00" w14:textId="374450F6" w:rsidR="00A772A0" w:rsidRDefault="00A772A0" w:rsidP="00281F00"/>
    <w:p w14:paraId="2157CD26" w14:textId="052A7CC0" w:rsidR="00A772A0" w:rsidRDefault="00A772A0" w:rsidP="00281F00"/>
    <w:p w14:paraId="01DA256B" w14:textId="77777777" w:rsidR="00D50F86" w:rsidRDefault="00D50F86" w:rsidP="00281F00"/>
    <w:p w14:paraId="554C9E08" w14:textId="77777777" w:rsidR="00D50F86" w:rsidRDefault="00D50F86" w:rsidP="00281F00"/>
    <w:p w14:paraId="4065F9C8" w14:textId="28DA2F12" w:rsidR="00281F00" w:rsidRDefault="00281F00" w:rsidP="00281F00">
      <w:r>
        <w:rPr>
          <w:noProof/>
        </w:rPr>
        <mc:AlternateContent>
          <mc:Choice Requires="wps">
            <w:drawing>
              <wp:anchor distT="45720" distB="45720" distL="114300" distR="114300" simplePos="0" relativeHeight="251663360" behindDoc="0" locked="0" layoutInCell="1" allowOverlap="1" wp14:anchorId="27B3E9B3" wp14:editId="592A21F3">
                <wp:simplePos x="0" y="0"/>
                <wp:positionH relativeFrom="margin">
                  <wp:align>right</wp:align>
                </wp:positionH>
                <wp:positionV relativeFrom="paragraph">
                  <wp:posOffset>6985</wp:posOffset>
                </wp:positionV>
                <wp:extent cx="4723130" cy="495300"/>
                <wp:effectExtent l="0" t="0" r="13970"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3510" cy="495656"/>
                        </a:xfrm>
                        <a:prstGeom prst="rect">
                          <a:avLst/>
                        </a:prstGeom>
                        <a:solidFill>
                          <a:srgbClr val="FFFFFF"/>
                        </a:solidFill>
                        <a:ln w="9525">
                          <a:solidFill>
                            <a:srgbClr val="000000"/>
                          </a:solidFill>
                          <a:miter lim="800000"/>
                          <a:headEnd/>
                          <a:tailEnd/>
                        </a:ln>
                      </wps:spPr>
                      <wps:txbx>
                        <w:txbxContent>
                          <w:p w14:paraId="7D91CD6B" w14:textId="7554F492" w:rsidR="00281F00" w:rsidRPr="00D50F86" w:rsidRDefault="003555BE">
                            <w:pPr>
                              <w:rPr>
                                <w:rFonts w:cstheme="minorHAnsi"/>
                                <w:color w:val="000000" w:themeColor="text1"/>
                              </w:rPr>
                            </w:pPr>
                            <w:r w:rsidRPr="00D50F86">
                              <w:rPr>
                                <w:rFonts w:cstheme="minorHAnsi"/>
                                <w:color w:val="000000" w:themeColor="text1"/>
                                <w:shd w:val="clear" w:color="auto" w:fill="FFFFFF"/>
                              </w:rPr>
                              <w:t xml:space="preserve">Allocation of public </w:t>
                            </w:r>
                            <w:r w:rsidRPr="00D50F86">
                              <w:rPr>
                                <w:rFonts w:cstheme="minorHAnsi"/>
                                <w:color w:val="000000" w:themeColor="text1"/>
                                <w:shd w:val="clear" w:color="auto" w:fill="FFFFFF"/>
                              </w:rPr>
                              <w:t>investments</w:t>
                            </w:r>
                            <w:r w:rsidRPr="00D50F86">
                              <w:rPr>
                                <w:rFonts w:cstheme="minorHAnsi"/>
                                <w:color w:val="000000" w:themeColor="text1"/>
                                <w:shd w:val="clear" w:color="auto" w:fill="FFFFFF"/>
                              </w:rPr>
                              <w:t xml:space="preserve"> within New York State with a focus on minority/women programs and small businesses.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3E9B3" id="_x0000_s1028" type="#_x0000_t202" style="position:absolute;margin-left:320.7pt;margin-top:.55pt;width:371.9pt;height:39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">
                <v:textbox>
                  <w:txbxContent>
                    <w:p w14:paraId="7D91CD6B" w14:textId="7554F492" w:rsidR="00281F00" w:rsidRPr="00D50F86" w:rsidRDefault="003555BE">
                      <w:pPr>
                        <w:rPr>
                          <w:rFonts w:cstheme="minorHAnsi"/>
                          <w:color w:val="000000" w:themeColor="text1"/>
                        </w:rPr>
                      </w:pPr>
                      <w:r w:rsidRPr="00D50F86">
                        <w:rPr>
                          <w:rFonts w:cstheme="minorHAnsi"/>
                          <w:color w:val="000000" w:themeColor="text1"/>
                          <w:shd w:val="clear" w:color="auto" w:fill="FFFFFF"/>
                        </w:rPr>
                        <w:t xml:space="preserve">Allocation of public </w:t>
                      </w:r>
                      <w:r w:rsidRPr="00D50F86">
                        <w:rPr>
                          <w:rFonts w:cstheme="minorHAnsi"/>
                          <w:color w:val="000000" w:themeColor="text1"/>
                          <w:shd w:val="clear" w:color="auto" w:fill="FFFFFF"/>
                        </w:rPr>
                        <w:t>investments</w:t>
                      </w:r>
                      <w:r w:rsidRPr="00D50F86">
                        <w:rPr>
                          <w:rFonts w:cstheme="minorHAnsi"/>
                          <w:color w:val="000000" w:themeColor="text1"/>
                          <w:shd w:val="clear" w:color="auto" w:fill="FFFFFF"/>
                        </w:rPr>
                        <w:t xml:space="preserve"> within New York State with a focus on minority/women programs and small businesses.</w:t>
                      </w:r>
                    </w:p>
                  </w:txbxContent>
                </v:textbox>
                <w10:wrap type="square" anchorx="margin"/>
              </v:shape>
            </w:pict>
          </mc:Fallback>
        </mc:AlternateContent>
      </w:r>
      <w:r>
        <w:t xml:space="preserve">Application Name: </w:t>
      </w:r>
    </w:p>
    <w:p w14:paraId="5D827FF9" w14:textId="597C50D3" w:rsidR="00A772A0" w:rsidRDefault="00A772A0" w:rsidP="00281F00"/>
    <w:p w14:paraId="671C5902" w14:textId="77777777" w:rsidR="00D50F86" w:rsidRDefault="00D50F86" w:rsidP="00281F00"/>
    <w:p w14:paraId="3080AD70" w14:textId="03887835" w:rsidR="00D50F86" w:rsidRDefault="00D50F86" w:rsidP="00281F00"/>
    <w:p w14:paraId="72746844" w14:textId="2578444D" w:rsidR="00A772A0" w:rsidRDefault="00D50F86" w:rsidP="00281F00">
      <w:r>
        <w:rPr>
          <w:noProof/>
        </w:rPr>
        <mc:AlternateContent>
          <mc:Choice Requires="wps">
            <w:drawing>
              <wp:anchor distT="45720" distB="45720" distL="114300" distR="114300" simplePos="0" relativeHeight="251665408" behindDoc="0" locked="0" layoutInCell="1" allowOverlap="1" wp14:anchorId="2EBA8D9C" wp14:editId="22A8F5A8">
                <wp:simplePos x="0" y="0"/>
                <wp:positionH relativeFrom="column">
                  <wp:posOffset>1341333</wp:posOffset>
                </wp:positionH>
                <wp:positionV relativeFrom="paragraph">
                  <wp:posOffset>6985</wp:posOffset>
                </wp:positionV>
                <wp:extent cx="4502150" cy="1404620"/>
                <wp:effectExtent l="0" t="0" r="19050" b="76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150" cy="1404620"/>
                        </a:xfrm>
                        <a:prstGeom prst="rect">
                          <a:avLst/>
                        </a:prstGeom>
                        <a:noFill/>
                        <a:ln w="9525">
                          <a:solidFill>
                            <a:srgbClr val="000000"/>
                          </a:solidFill>
                          <a:miter lim="800000"/>
                          <a:headEnd/>
                          <a:tailEnd/>
                        </a:ln>
                      </wps:spPr>
                      <wps:txbx>
                        <w:txbxContent>
                          <w:p w14:paraId="57D0A6E5" w14:textId="6CB98107" w:rsidR="00A772A0" w:rsidRPr="00D50F86" w:rsidRDefault="00422E20">
                            <w:pPr>
                              <w:rPr>
                                <w:rFonts w:ascii="Calibri" w:hAnsi="Calibri" w:cs="Calibri"/>
                                <w:color w:val="000000" w:themeColor="text1"/>
                              </w:rPr>
                            </w:pPr>
                            <w:r>
                              <w:rPr>
                                <w:rFonts w:ascii="Calibri" w:hAnsi="Calibri" w:cs="Calibri"/>
                                <w:color w:val="000000" w:themeColor="text1"/>
                              </w:rPr>
                              <w:t>How the distribution of federal funds in New York state is influenced by regions, programs, industries, and disbursements to date, focusing on small businesses and minority/women related programs. The analysis shows funding disparities among sectors. It highlights the need for equitable resource allocation, particularly to sectors represented by women.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BA8D9C" id="_x0000_s1029" type="#_x0000_t202" style="position:absolute;margin-left:105.6pt;margin-top:.55pt;width:354.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" filled="f">
                <v:textbox style="mso-fit-shape-to-text:t">
                  <w:txbxContent>
                    <w:p w14:paraId="57D0A6E5" w14:textId="6CB98107" w:rsidR="00A772A0" w:rsidRPr="00D50F86" w:rsidRDefault="00422E20">
                      <w:pPr>
                        <w:rPr>
                          <w:rFonts w:ascii="Calibri" w:hAnsi="Calibri" w:cs="Calibri"/>
                          <w:color w:val="000000" w:themeColor="text1"/>
                        </w:rPr>
                      </w:pPr>
                      <w:r>
                        <w:rPr>
                          <w:rFonts w:ascii="Calibri" w:hAnsi="Calibri" w:cs="Calibri"/>
                          <w:color w:val="000000" w:themeColor="text1"/>
                        </w:rPr>
                        <w:t>How the distribution of federal funds in New York state is influenced by regions, programs, industries, and disbursements to date, focusing on small businesses and minority/women related programs. The analysis shows funding disparities among sectors. It highlights the need for equitable resource allocation, particularly to sectors represented by women.</w:t>
                      </w:r>
                    </w:p>
                  </w:txbxContent>
                </v:textbox>
                <w10:wrap type="square"/>
              </v:shape>
            </w:pict>
          </mc:Fallback>
        </mc:AlternateContent>
      </w:r>
      <w:r w:rsidR="00A772A0">
        <w:t xml:space="preserve">Application Summary: </w:t>
      </w:r>
    </w:p>
    <w:p w14:paraId="7A9F8E3B" w14:textId="5F7A67B6" w:rsidR="00281F00" w:rsidRPr="00A772A0" w:rsidRDefault="00A772A0" w:rsidP="00281F00">
      <w:pPr>
        <w:rPr>
          <w:sz w:val="16"/>
          <w:szCs w:val="16"/>
        </w:rPr>
      </w:pPr>
      <w:r>
        <w:rPr>
          <w:sz w:val="16"/>
          <w:szCs w:val="16"/>
        </w:rPr>
        <w:t>50 words or less</w:t>
      </w:r>
    </w:p>
    <w:p w14:paraId="2A8466AE" w14:textId="4476811C" w:rsidR="003555BE" w:rsidRDefault="003555BE" w:rsidP="00281F00"/>
    <w:p w14:paraId="562074FA" w14:textId="0BBE13DB" w:rsidR="00A772A0" w:rsidRDefault="00A772A0" w:rsidP="00281F00">
      <w:r>
        <w:lastRenderedPageBreak/>
        <w:t xml:space="preserve">Application Abstract: </w:t>
      </w:r>
      <w:r w:rsidR="00D50F86">
        <w:rPr>
          <w:noProof/>
        </w:rPr>
        <mc:AlternateContent>
          <mc:Choice Requires="wps">
            <w:drawing>
              <wp:anchor distT="45720" distB="45720" distL="114300" distR="114300" simplePos="0" relativeHeight="251670528" behindDoc="0" locked="0" layoutInCell="1" allowOverlap="1" wp14:anchorId="160C7448" wp14:editId="76D598B6">
                <wp:simplePos x="0" y="0"/>
                <wp:positionH relativeFrom="margin">
                  <wp:posOffset>0</wp:posOffset>
                </wp:positionH>
                <wp:positionV relativeFrom="paragraph">
                  <wp:posOffset>327660</wp:posOffset>
                </wp:positionV>
                <wp:extent cx="5261610" cy="4537710"/>
                <wp:effectExtent l="0" t="0" r="8890" b="88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1610" cy="4537710"/>
                        </a:xfrm>
                        <a:prstGeom prst="rect">
                          <a:avLst/>
                        </a:prstGeom>
                        <a:solidFill>
                          <a:srgbClr val="FFFFFF"/>
                        </a:solidFill>
                        <a:ln w="9525">
                          <a:solidFill>
                            <a:srgbClr val="000000"/>
                          </a:solidFill>
                          <a:miter lim="800000"/>
                          <a:headEnd/>
                          <a:tailEnd/>
                        </a:ln>
                      </wps:spPr>
                      <wps:txbx>
                        <w:txbxContent>
                          <w:p w14:paraId="4A0072CB" w14:textId="77777777" w:rsidR="00D50F86" w:rsidRDefault="00D50F86" w:rsidP="00D50F86">
                            <w:pPr>
                              <w:ind w:firstLine="720"/>
                              <w:rPr>
                                <w:rFonts w:ascii="Segoe UI" w:hAnsi="Segoe UI" w:cs="Segoe UI"/>
                                <w:color w:val="1F2328"/>
                                <w:shd w:val="clear" w:color="auto" w:fill="FFFFFF"/>
                              </w:rPr>
                            </w:pPr>
                            <w:r>
                              <w:rPr>
                                <w:rFonts w:ascii="Segoe UI" w:hAnsi="Segoe UI" w:cs="Segoe UI"/>
                                <w:color w:val="1F2328"/>
                                <w:shd w:val="clear" w:color="auto" w:fill="FFFFFF"/>
                              </w:rPr>
                              <w:t xml:space="preserve">In today's competitive market, equal distribution of public funds among industries, programs, and regions is vital to make well-informed decisions that promote economic growth and optimizes resource allocation. This analysis examines the impact of federal funding within New York state with a focus on small businesses and minority/related programs in the state, using the Database of Economic Incentives from data.gov. A multiple OLS regression analysis was performed to assess how public awards are influenced by regions, programs, industries, and disbursements to date. Hypothesis testing was conducted to diver deeper into the effects of public funding on minority/women related programs and small businesses. Our research shows a concerning trend. In both the case of minority/women programs and small businesses, the allocation of funds falls below the desired threshold. Specifically, for every additional dollar invested in small businesses, there is a decrease of $16,050 in agriculture. Women and people of color make up a significant of portion of the agriculture industry in New York. Additionally, for every dollar allocated in minority/women related programs, there is an increase of $7,154 in agriculture, which indicates the unique challenges women face in the labor market. This analysis shows the disparities in the distribution of public funds and highlights the need for more equitable resource allocation. Achieving a fair balance across these sectors is vital for promoting economic diversity, supporting minority and women programs. Addressing these disparities in funding allocation is important to foster social equity in New York state. </w:t>
                            </w:r>
                          </w:p>
                          <w:p w14:paraId="0E40B38F" w14:textId="77777777" w:rsidR="00D50F86" w:rsidRDefault="00D50F86" w:rsidP="00D50F86">
                            <w:pPr>
                              <w:ind w:firstLine="720"/>
                              <w:rPr>
                                <w:rFonts w:ascii="Segoe UI" w:hAnsi="Segoe UI" w:cs="Segoe UI"/>
                                <w:color w:val="1F2328"/>
                                <w:shd w:val="clear" w:color="auto" w:fill="FFFFFF"/>
                              </w:rPr>
                            </w:pPr>
                          </w:p>
                          <w:p w14:paraId="6335384F" w14:textId="77777777" w:rsidR="00D50F86" w:rsidRDefault="00D50F86" w:rsidP="00D50F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C7448" id="_x0000_s1030" type="#_x0000_t202" style="position:absolute;margin-left:0;margin-top:25.8pt;width:414.3pt;height:357.3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">
                <v:textbox>
                  <w:txbxContent>
                    <w:p w14:paraId="4A0072CB" w14:textId="77777777" w:rsidR="00D50F86" w:rsidRDefault="00D50F86" w:rsidP="00D50F86">
                      <w:pPr>
                        <w:ind w:firstLine="720"/>
                        <w:rPr>
                          <w:rFonts w:ascii="Segoe UI" w:hAnsi="Segoe UI" w:cs="Segoe UI"/>
                          <w:color w:val="1F2328"/>
                          <w:shd w:val="clear" w:color="auto" w:fill="FFFFFF"/>
                        </w:rPr>
                      </w:pPr>
                      <w:r>
                        <w:rPr>
                          <w:rFonts w:ascii="Segoe UI" w:hAnsi="Segoe UI" w:cs="Segoe UI"/>
                          <w:color w:val="1F2328"/>
                          <w:shd w:val="clear" w:color="auto" w:fill="FFFFFF"/>
                        </w:rPr>
                        <w:t xml:space="preserve">In today's competitive market, equal distribution of public funds among industries, programs, and regions is vital to make well-informed decisions that promote economic growth and optimizes resource allocation. This analysis examines the impact of federal funding within New York state with a focus on small businesses and minority/related programs in the state, using the Database of Economic Incentives from data.gov. A multiple OLS regression analysis was performed to assess how public awards are influenced by regions, programs, industries, and disbursements to date. Hypothesis testing was conducted to diver deeper into the effects of public funding on minority/women related programs and small businesses. Our research shows a concerning trend. In both the case of minority/women programs and small businesses, the allocation of funds falls below the desired threshold. Specifically, for every additional dollar invested in small businesses, there is a decrease of $16,050 in agriculture. Women and people of color make up a significant of portion of the agriculture industry in New York. Additionally, for every dollar allocated in minority/women related programs, there is an increase of $7,154 in agriculture, which indicates the unique challenges women face in the labor market. This analysis shows the disparities in the distribution of public funds and highlights the need for more equitable resource allocation. Achieving a fair balance across these sectors is vital for promoting economic diversity, supporting minority and women programs. Addressing these disparities in funding allocation is important to foster social equity in New York state. </w:t>
                      </w:r>
                    </w:p>
                    <w:p w14:paraId="0E40B38F" w14:textId="77777777" w:rsidR="00D50F86" w:rsidRDefault="00D50F86" w:rsidP="00D50F86">
                      <w:pPr>
                        <w:ind w:firstLine="720"/>
                        <w:rPr>
                          <w:rFonts w:ascii="Segoe UI" w:hAnsi="Segoe UI" w:cs="Segoe UI"/>
                          <w:color w:val="1F2328"/>
                          <w:shd w:val="clear" w:color="auto" w:fill="FFFFFF"/>
                        </w:rPr>
                      </w:pPr>
                    </w:p>
                    <w:p w14:paraId="6335384F" w14:textId="77777777" w:rsidR="00D50F86" w:rsidRDefault="00D50F86" w:rsidP="00D50F86"/>
                  </w:txbxContent>
                </v:textbox>
                <w10:wrap type="square" anchorx="margin"/>
              </v:shape>
            </w:pict>
          </mc:Fallback>
        </mc:AlternateContent>
      </w:r>
    </w:p>
    <w:p w14:paraId="57A92823" w14:textId="1AE6A59F" w:rsidR="00281F00" w:rsidRDefault="00281F00" w:rsidP="00281F00">
      <w:pPr>
        <w:rPr>
          <w:sz w:val="16"/>
          <w:szCs w:val="16"/>
        </w:rPr>
      </w:pPr>
    </w:p>
    <w:p w14:paraId="4D64F061" w14:textId="63BB2EC9" w:rsidR="00052D21" w:rsidRDefault="00052D21" w:rsidP="00281F00">
      <w:pPr>
        <w:rPr>
          <w:sz w:val="16"/>
          <w:szCs w:val="16"/>
        </w:rPr>
      </w:pPr>
    </w:p>
    <w:p w14:paraId="5E5EB559" w14:textId="2B8855B5" w:rsidR="00052D21" w:rsidRDefault="00052D21" w:rsidP="00281F00">
      <w:pPr>
        <w:rPr>
          <w:sz w:val="16"/>
          <w:szCs w:val="16"/>
        </w:rPr>
      </w:pPr>
    </w:p>
    <w:p w14:paraId="6A87FF0B" w14:textId="709CACCA" w:rsidR="00052D21" w:rsidRDefault="00052D21" w:rsidP="00281F00">
      <w:pPr>
        <w:rPr>
          <w:sz w:val="16"/>
          <w:szCs w:val="16"/>
        </w:rPr>
      </w:pPr>
    </w:p>
    <w:p w14:paraId="67EA08A6" w14:textId="0F90927D" w:rsidR="00052D21" w:rsidRDefault="00052D21" w:rsidP="00281F00">
      <w:pPr>
        <w:rPr>
          <w:sz w:val="16"/>
          <w:szCs w:val="16"/>
        </w:rPr>
      </w:pPr>
    </w:p>
    <w:p w14:paraId="68FCAC3F" w14:textId="4025F6FD" w:rsidR="00052D21" w:rsidRPr="00C21BF0" w:rsidRDefault="00052D21" w:rsidP="00281F00">
      <w:pPr>
        <w:rPr>
          <w:rFonts w:ascii="Calibri" w:hAnsi="Calibri" w:cs="Calibri"/>
          <w:b/>
          <w:bCs/>
          <w:sz w:val="28"/>
          <w:szCs w:val="28"/>
        </w:rPr>
      </w:pPr>
    </w:p>
    <w:p w14:paraId="248B77C1" w14:textId="77777777" w:rsidR="00D50F86" w:rsidRDefault="00D50F86" w:rsidP="00281F00">
      <w:pPr>
        <w:rPr>
          <w:rFonts w:ascii="Calibri" w:hAnsi="Calibri" w:cs="Calibri"/>
          <w:b/>
          <w:bCs/>
          <w:sz w:val="28"/>
          <w:szCs w:val="28"/>
        </w:rPr>
      </w:pPr>
    </w:p>
    <w:p w14:paraId="540B3166" w14:textId="21BDB0F8" w:rsidR="00052D21" w:rsidRDefault="00D50F86" w:rsidP="00281F00">
      <w:pPr>
        <w:rPr>
          <w:rFonts w:ascii="Calibri" w:hAnsi="Calibri" w:cs="Calibri"/>
          <w:b/>
          <w:bCs/>
          <w:sz w:val="28"/>
          <w:szCs w:val="28"/>
        </w:rPr>
      </w:pPr>
      <w:r>
        <w:rPr>
          <w:rFonts w:ascii="Calibri" w:hAnsi="Calibri" w:cs="Calibri"/>
          <w:b/>
          <w:bCs/>
          <w:sz w:val="28"/>
          <w:szCs w:val="28"/>
        </w:rPr>
        <w:t xml:space="preserve"> </w:t>
      </w:r>
    </w:p>
    <w:p w14:paraId="13AF6DC2" w14:textId="26A1366A" w:rsidR="00B62388" w:rsidRDefault="00B62388" w:rsidP="00281F00">
      <w:pPr>
        <w:rPr>
          <w:rFonts w:ascii="Calibri" w:hAnsi="Calibri" w:cs="Calibri"/>
          <w:b/>
          <w:bCs/>
          <w:sz w:val="28"/>
          <w:szCs w:val="28"/>
        </w:rPr>
      </w:pPr>
    </w:p>
    <w:p w14:paraId="495DBCEE" w14:textId="053AE121" w:rsidR="00B62388" w:rsidRPr="00C21BF0" w:rsidRDefault="00422E20" w:rsidP="00281F00">
      <w:pPr>
        <w:rPr>
          <w:rFonts w:ascii="Calibri" w:hAnsi="Calibri" w:cs="Calibri"/>
          <w:b/>
          <w:bCs/>
          <w:sz w:val="28"/>
          <w:szCs w:val="28"/>
        </w:rPr>
      </w:pPr>
      <w:r>
        <w:rPr>
          <w:rFonts w:ascii="Calibri" w:hAnsi="Calibri" w:cs="Calibri"/>
          <w:b/>
          <w:bCs/>
          <w:noProof/>
          <w:sz w:val="28"/>
          <w:szCs w:val="28"/>
        </w:rPr>
        <w:drawing>
          <wp:anchor distT="0" distB="0" distL="114300" distR="114300" simplePos="0" relativeHeight="251668480" behindDoc="1" locked="0" layoutInCell="1" allowOverlap="1" wp14:anchorId="1955998B" wp14:editId="485682A7">
            <wp:simplePos x="0" y="0"/>
            <wp:positionH relativeFrom="column">
              <wp:posOffset>4528185</wp:posOffset>
            </wp:positionH>
            <wp:positionV relativeFrom="paragraph">
              <wp:posOffset>2628728</wp:posOffset>
            </wp:positionV>
            <wp:extent cx="1941830" cy="638175"/>
            <wp:effectExtent l="0" t="0" r="1270" b="0"/>
            <wp:wrapTight wrapText="bothSides">
              <wp:wrapPolygon edited="0">
                <wp:start x="0" y="0"/>
                <wp:lineTo x="0" y="21063"/>
                <wp:lineTo x="21473" y="21063"/>
                <wp:lineTo x="21473" y="0"/>
                <wp:lineTo x="0" y="0"/>
              </wp:wrapPolygon>
            </wp:wrapTight>
            <wp:docPr id="547743431" name="Picture 1"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43431" name="Picture 1" descr="A blue and orange 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1830" cy="638175"/>
                    </a:xfrm>
                    <a:prstGeom prst="rect">
                      <a:avLst/>
                    </a:prstGeom>
                  </pic:spPr>
                </pic:pic>
              </a:graphicData>
            </a:graphic>
            <wp14:sizeRelH relativeFrom="page">
              <wp14:pctWidth>0</wp14:pctWidth>
            </wp14:sizeRelH>
            <wp14:sizeRelV relativeFrom="page">
              <wp14:pctHeight>0</wp14:pctHeight>
            </wp14:sizeRelV>
          </wp:anchor>
        </w:drawing>
      </w:r>
    </w:p>
    <w:sectPr w:rsidR="00B62388" w:rsidRPr="00C21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63427"/>
    <w:multiLevelType w:val="multilevel"/>
    <w:tmpl w:val="100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6885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F00"/>
    <w:rsid w:val="00052D21"/>
    <w:rsid w:val="00281F00"/>
    <w:rsid w:val="003555BE"/>
    <w:rsid w:val="00422E20"/>
    <w:rsid w:val="00520EBB"/>
    <w:rsid w:val="005D1CBE"/>
    <w:rsid w:val="005E46F4"/>
    <w:rsid w:val="00752E18"/>
    <w:rsid w:val="008273F9"/>
    <w:rsid w:val="00881EEB"/>
    <w:rsid w:val="00A772A0"/>
    <w:rsid w:val="00B12CF3"/>
    <w:rsid w:val="00B62388"/>
    <w:rsid w:val="00B94996"/>
    <w:rsid w:val="00C21BF0"/>
    <w:rsid w:val="00D40467"/>
    <w:rsid w:val="00D50F86"/>
    <w:rsid w:val="00E254FC"/>
    <w:rsid w:val="00F02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4940A"/>
  <w15:chartTrackingRefBased/>
  <w15:docId w15:val="{B5B697E4-D899-46E5-80A0-89ED42158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2D21"/>
    <w:rPr>
      <w:color w:val="0563C1" w:themeColor="hyperlink"/>
      <w:u w:val="single"/>
    </w:rPr>
  </w:style>
  <w:style w:type="character" w:styleId="UnresolvedMention">
    <w:name w:val="Unresolved Mention"/>
    <w:basedOn w:val="DefaultParagraphFont"/>
    <w:uiPriority w:val="99"/>
    <w:semiHidden/>
    <w:unhideWhenUsed/>
    <w:rsid w:val="00052D21"/>
    <w:rPr>
      <w:color w:val="605E5C"/>
      <w:shd w:val="clear" w:color="auto" w:fill="E1DFDD"/>
    </w:rPr>
  </w:style>
  <w:style w:type="character" w:styleId="FollowedHyperlink">
    <w:name w:val="FollowedHyperlink"/>
    <w:basedOn w:val="DefaultParagraphFont"/>
    <w:uiPriority w:val="99"/>
    <w:semiHidden/>
    <w:unhideWhenUsed/>
    <w:rsid w:val="00D50F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35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582B83588EA64994CC9B493995D4B2" ma:contentTypeVersion="18" ma:contentTypeDescription="Create a new document." ma:contentTypeScope="" ma:versionID="3cfa0d73c17cd9f907d0dfd6ebab7ce2">
  <xsd:schema xmlns:xsd="http://www.w3.org/2001/XMLSchema" xmlns:xs="http://www.w3.org/2001/XMLSchema" xmlns:p="http://schemas.microsoft.com/office/2006/metadata/properties" xmlns:ns2="1bcc541c-a7da-4167-bb1c-7a107cbd8867" xmlns:ns3="3a91d148-500c-4af6-a2fa-06912cce903e" targetNamespace="http://schemas.microsoft.com/office/2006/metadata/properties" ma:root="true" ma:fieldsID="1ff5fbd4322775afb224367d1a31ab6e" ns2:_="" ns3:_="">
    <xsd:import namespace="1bcc541c-a7da-4167-bb1c-7a107cbd8867"/>
    <xsd:import namespace="3a91d148-500c-4af6-a2fa-06912cce90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cc541c-a7da-4167-bb1c-7a107cbd88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a87db6f3-70db-408f-a1a6-f852f9717b94"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91d148-500c-4af6-a2fa-06912cce903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d2a9176-376e-44ab-b40a-28e97d1b0b30}" ma:internalName="TaxCatchAll" ma:showField="CatchAllData" ma:web="3a91d148-500c-4af6-a2fa-06912cce903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bcc541c-a7da-4167-bb1c-7a107cbd8867">
      <Terms xmlns="http://schemas.microsoft.com/office/infopath/2007/PartnerControls"/>
    </lcf76f155ced4ddcb4097134ff3c332f>
    <TaxCatchAll xmlns="3a91d148-500c-4af6-a2fa-06912cce903e" xsi:nil="true"/>
  </documentManagement>
</p:properties>
</file>

<file path=customXml/itemProps1.xml><?xml version="1.0" encoding="utf-8"?>
<ds:datastoreItem xmlns:ds="http://schemas.openxmlformats.org/officeDocument/2006/customXml" ds:itemID="{0E2A4BA4-7877-40D2-9BC4-A10987EE18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cc541c-a7da-4167-bb1c-7a107cbd8867"/>
    <ds:schemaRef ds:uri="3a91d148-500c-4af6-a2fa-06912cce90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7FFC2C-0B49-4D9B-938F-C69959232A09}">
  <ds:schemaRefs>
    <ds:schemaRef ds:uri="http://schemas.microsoft.com/sharepoint/v3/contenttype/forms"/>
  </ds:schemaRefs>
</ds:datastoreItem>
</file>

<file path=customXml/itemProps3.xml><?xml version="1.0" encoding="utf-8"?>
<ds:datastoreItem xmlns:ds="http://schemas.openxmlformats.org/officeDocument/2006/customXml" ds:itemID="{A03B3DDC-BF57-485A-B625-673B64B0C79A}">
  <ds:schemaRefs>
    <ds:schemaRef ds:uri="http://schemas.microsoft.com/office/2006/metadata/properties"/>
    <ds:schemaRef ds:uri="http://schemas.microsoft.com/office/infopath/2007/PartnerControls"/>
    <ds:schemaRef ds:uri="1bcc541c-a7da-4167-bb1c-7a107cbd8867"/>
    <ds:schemaRef ds:uri="3a91d148-500c-4af6-a2fa-06912cce903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26</Words>
  <Characters>151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CGI Federal, Inc</Company>
  <LinksUpToDate>false</LinksUpToDate>
  <CharactersWithSpaces>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Fuselier, Bryan J (CGI Federal)</dc:creator>
  <cp:keywords/>
  <dc:description/>
  <cp:lastModifiedBy>Paschalina Paraschou</cp:lastModifiedBy>
  <cp:revision>2</cp:revision>
  <dcterms:created xsi:type="dcterms:W3CDTF">2023-10-24T15:21:00Z</dcterms:created>
  <dcterms:modified xsi:type="dcterms:W3CDTF">2023-10-24T15:21:00Z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0x01010093582B83588EA64994CC9B493995D4B2</vt:lpwstr>
  </property>
</Properties>
</file>