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600"/>
      </w:pPr>
    </w:p>
    <w:p>
      <w:pPr>
        <w:spacing w:line="600"/>
      </w:pPr>
    </w:p>
    <w:p>
      <w:pPr>
        <w:spacing w:line="600"/>
      </w:pPr>
    </w:p>
    <w:p>
      <w:pPr>
        <w:jc w:val="center"/>
      </w:pPr>
      <w:r>
        <w:rPr>
          <w:b/>
          <w:bCs/>
          <w:color w:val="0D7C8F"/>
          <w:sz w:val="44"/>
          <w:szCs w:val="44"/>
        </w:rPr>
        <w:t xml:space="preserve">NEURA POOL</w:t>
      </w:r>
    </w:p>
    <w:p>
      <w:pPr>
        <w:spacing w:after="200"/>
        <w:jc w:val="center"/>
      </w:pPr>
      <w:r>
        <w:rPr>
          <w:color w:val="1A3A52"/>
          <w:sz w:val="28"/>
          <w:szCs w:val="28"/>
        </w:rPr>
        <w:t xml:space="preserve">Brand Identity Guidelines</w:t>
      </w:r>
    </w:p>
    <w:p>
      <w:pPr>
        <w:spacing w:line="400"/>
      </w:pPr>
    </w:p>
    <w:p>
      <w:pPr>
        <w:jc w:val="center"/>
      </w:pPr>
      <w:r>
        <w:rPr>
          <w:color w:val="666666"/>
        </w:rPr>
        <w:t xml:space="preserve">Intelligence. Efficiency. Trust.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Pool Service Management for Modern Businesses</w:t>
      </w:r>
    </w:p>
    <w:p>
      <w:pPr>
        <w:spacing w:line="600"/>
      </w:pPr>
    </w:p>
    <w:p>
      <w:pPr>
        <w:spacing w:line="600"/>
      </w:pPr>
    </w:p>
    <w:p>
      <w:pPr>
        <w:jc w:val="center"/>
      </w:pPr>
      <w:r>
        <w:rPr>
          <w:color w:val="F5F5F5"/>
          <w:sz w:val="18"/>
          <w:szCs w:val="18"/>
        </w:rPr>
        <w:t xml:space="preserve">By Neuraliti</w:t>
      </w:r>
    </w:p>
    <w:p>
      <w:r>
        <w:br w:type="page"/>
      </w:r>
    </w:p>
    <w:p>
      <w:pPr>
        <w:pStyle w:val="Heading1"/>
      </w:pPr>
      <w:r>
        <w:t xml:space="preserve">Brand Overview</w:t>
      </w:r>
    </w:p>
    <w:p>
      <w:pPr>
        <w:spacing w:after="200"/>
      </w:pPr>
      <w:r>
        <w:t xml:space="preserve">Neura Pool is an intelligent pool service management platform designed for business owners who demand efficiency, reliability, and data-driven insights. Built on the Neuraliti brand, Neura Pool combines modern technology with industry expertise to transform how pool service companies operate.</w:t>
      </w:r>
    </w:p>
    <w:p>
      <w:pPr>
        <w:pStyle w:val="Heading2"/>
      </w:pPr>
      <w:r>
        <w:t xml:space="preserve">Brand Positioning</w:t>
      </w:r>
    </w:p>
    <w:p>
      <w:pPr>
        <w:spacing w:after="120"/>
      </w:pPr>
      <w:r>
        <w:rPr>
          <w:b/>
          <w:bCs/>
        </w:rPr>
        <w:t xml:space="preserve">Target Audience: </w:t>
      </w:r>
      <w:r>
        <w:t xml:space="preserve">Pool service company owners and operators</w:t>
      </w:r>
    </w:p>
    <w:p>
      <w:pPr>
        <w:spacing w:after="120"/>
      </w:pPr>
      <w:r>
        <w:rPr>
          <w:b/>
          <w:bCs/>
        </w:rPr>
        <w:t xml:space="preserve">Core Value Props: </w:t>
      </w:r>
      <w:r>
        <w:t xml:space="preserve">Team coordination, operational efficiency, intelligent reporting, AI-powered insights</w:t>
      </w:r>
    </w:p>
    <w:p>
      <w:pPr>
        <w:spacing w:after="120"/>
      </w:pPr>
      <w:r>
        <w:rPr>
          <w:b/>
          <w:bCs/>
        </w:rPr>
        <w:t xml:space="preserve">Brand Personality: </w:t>
      </w:r>
      <w:r>
        <w:t xml:space="preserve">Modern, professional, intelligent, trustworthy</w:t>
      </w:r>
    </w:p>
    <w:p>
      <w:pPr>
        <w:spacing w:after="240"/>
      </w:pPr>
      <w:r>
        <w:rPr>
          <w:b/>
          <w:bCs/>
        </w:rPr>
        <w:t xml:space="preserve">Visual Direction: </w:t>
      </w:r>
      <w:r>
        <w:t xml:space="preserve">Subtle water/liquid elements merged with neural/tech aesthetics. Professional and sophisticated.</w:t>
      </w:r>
    </w:p>
    <w:p>
      <w:pPr>
        <w:pStyle w:val="Heading1"/>
      </w:pPr>
      <w:r>
        <w:t xml:space="preserve">Logo System</w:t>
      </w:r>
    </w:p>
    <w:p>
      <w:pPr>
        <w:spacing w:after="200"/>
      </w:pPr>
      <w:r>
        <w:t xml:space="preserve">The Neura Pool logo merges three design concepts: concentric circles representing neural networks and intelligence, flowing water representing the core domain, and modern geometric forms suggesting efficiency and technology.</w:t>
      </w:r>
    </w:p>
    <w:p>
      <w:pPr>
        <w:pStyle w:val="Heading2"/>
      </w:pPr>
      <w:r>
        <w:t xml:space="preserve">Logo Architecture</w:t>
      </w:r>
    </w:p>
    <w:p>
      <w:pPr>
        <w:spacing w:after="80" w:before="80"/>
      </w:pPr>
      <w:r>
        <w:rPr>
          <w:b/>
          <w:bCs/>
        </w:rPr>
        <w:t xml:space="preserve">Mark: </w:t>
      </w:r>
      <w:r>
        <w:t xml:space="preserve">Abstract neural-water hybrid. Three concentric circles in Deep Teal with a bright cyan water droplet at center.</w:t>
      </w:r>
    </w:p>
    <w:p>
      <w:pPr>
        <w:spacing w:after="80"/>
      </w:pPr>
      <w:r>
        <w:rPr>
          <w:b/>
          <w:bCs/>
        </w:rPr>
        <w:t xml:space="preserve">Wordmark: </w:t>
      </w:r>
      <w:r>
        <w:t xml:space="preserve">&amp;#x201C;Neura Pool&amp;#x201D; in Calibri Bold. Primary wordmark uses Midnight Blue.</w:t>
      </w:r>
    </w:p>
    <w:p>
      <w:pPr>
        <w:spacing w:after="200"/>
      </w:pPr>
      <w:r>
        <w:rPr>
          <w:b/>
          <w:bCs/>
        </w:rPr>
        <w:t xml:space="preserve">Lockup: </w:t>
      </w:r>
      <w:r>
        <w:t xml:space="preserve">Mark (120px) + Wordmark (36pt). Recommended clearance: minimum 1/4 mark width on all sides.</w:t>
      </w:r>
    </w:p>
    <w:p>
      <w:pPr>
        <w:pStyle w:val="Heading2"/>
      </w:pPr>
      <w:r>
        <w:t xml:space="preserve">Logo Variations</w:t>
      </w:r>
    </w:p>
    <w:p>
      <w:pPr>
        <w:spacing w:after="80"/>
      </w:pPr>
      <w:r>
        <w:rPr>
          <w:b/>
          <w:bCs/>
        </w:rPr>
        <w:t xml:space="preserve">1. Full Lockup (Primary)</w:t>
      </w:r>
      <w:r>
        <w:t xml:space="preserve">— Mark + Wordmark. Use for main branding.</w:t>
      </w:r>
    </w:p>
    <w:p>
      <w:pPr>
        <w:spacing w:after="80"/>
      </w:pPr>
      <w:r>
        <w:rPr>
          <w:b/>
          <w:bCs/>
        </w:rPr>
        <w:t xml:space="preserve">2. Mark Only (Icon)</w:t>
      </w:r>
      <w:r>
        <w:t xml:space="preserve">— Icon without text. Use for app icons, favicons, small spaces.</w:t>
      </w:r>
    </w:p>
    <w:p>
      <w:pPr>
        <w:spacing w:after="80"/>
      </w:pPr>
      <w:r>
        <w:rPr>
          <w:b/>
          <w:bCs/>
        </w:rPr>
        <w:t xml:space="preserve">3. Monochrome (Dark)</w:t>
      </w:r>
      <w:r>
        <w:t xml:space="preserve">— Mark/wordmark in single color. Use for print, embossing.</w:t>
      </w:r>
    </w:p>
    <w:p>
      <w:pPr>
        <w:spacing w:after="200"/>
      </w:pPr>
      <w:r>
        <w:rPr>
          <w:b/>
          <w:bCs/>
        </w:rPr>
        <w:t xml:space="preserve">4. Reversed (White)</w:t>
      </w:r>
      <w:r>
        <w:t xml:space="preserve">— Logo in white. Use on dark backgrounds.</w:t>
      </w:r>
    </w:p>
    <w:p>
      <w:pPr>
        <w:pStyle w:val="Heading2"/>
      </w:pPr>
      <w:r>
        <w:t xml:space="preserve">Logo Clear Space</w:t>
      </w:r>
    </w:p>
    <w:p>
      <w:pPr>
        <w:spacing w:after="200"/>
      </w:pPr>
      <w:r>
        <w:t xml:space="preserve">Maintain minimum clear space equal to 1/4 of the mark width on all sides. Never crowd the logo or place other elements too close.</w:t>
      </w:r>
    </w:p>
    <w:p>
      <w:pPr>
        <w:pStyle w:val="Heading2"/>
      </w:pPr>
      <w:r>
        <w:t xml:space="preserve">Logo Misuse</w:t>
      </w:r>
    </w:p>
    <w:p>
      <w:pPr>
        <w:spacing w:after="80"/>
      </w:pPr>
      <w:r>
        <w:rPr>
          <w:b/>
          <w:bCs/>
          <w:color w:val="DE4A51"/>
        </w:rPr>
        <w:t xml:space="preserve">✗ Do NOT </w:t>
      </w:r>
      <w:r>
        <w:t xml:space="preserve">stretch, skew, or distort the logo</w:t>
      </w:r>
    </w:p>
    <w:p>
      <w:pPr>
        <w:spacing w:after="80"/>
      </w:pPr>
      <w:r>
        <w:rPr>
          <w:b/>
          <w:bCs/>
          <w:color w:val="DE4A51"/>
        </w:rPr>
        <w:t xml:space="preserve">✗ Do NOT </w:t>
      </w:r>
      <w:r>
        <w:t xml:space="preserve">change logo colors without approval</w:t>
      </w:r>
    </w:p>
    <w:p>
      <w:pPr>
        <w:spacing w:after="80"/>
      </w:pPr>
      <w:r>
        <w:rPr>
          <w:b/>
          <w:bCs/>
          <w:color w:val="DE4A51"/>
        </w:rPr>
        <w:t xml:space="preserve">✗ Do NOT </w:t>
      </w:r>
      <w:r>
        <w:t xml:space="preserve">add effects (shadows, glows, gradients) to the logo</w:t>
      </w:r>
    </w:p>
    <w:p>
      <w:pPr>
        <w:spacing w:after="200"/>
      </w:pPr>
      <w:r>
        <w:rPr>
          <w:b/>
          <w:bCs/>
          <w:color w:val="DE4A51"/>
        </w:rPr>
        <w:t xml:space="preserve">✗ Do NOT </w:t>
      </w:r>
      <w:r>
        <w:t xml:space="preserve">place logo on a busy/colored background without contrast</w:t>
      </w:r>
    </w:p>
    <w:p>
      <w:r>
        <w:br w:type="page"/>
      </w:r>
    </w:p>
    <w:p>
      <w:pPr>
        <w:pStyle w:val="Heading1"/>
      </w:pPr>
      <w:r>
        <w:t xml:space="preserve">Color Palette</w:t>
      </w:r>
    </w:p>
    <w:p>
      <w:pPr>
        <w:spacing w:after="200"/>
      </w:pPr>
      <w:r>
        <w:t xml:space="preserve">Neura Pool&amp;#x2019;s color palette combines trust, technology, and nature. Deep Teal and Midnight Blue convey professionalism and stability. Bright Cyan adds energy and signals AI/innovation.</w:t>
      </w:r>
    </w:p>
    <w:p>
      <w:pPr>
        <w:pStyle w:val="Heading2"/>
      </w:pPr>
      <w:r>
        <w:t xml:space="preserve">Primary Colors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3560"/>
      </w:tblGrid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0D7C8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Deep Teal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#0D7C8F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brand color. Headings, buttons, key elements.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Midnight Blue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#1A3A52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Secondary color. Body text, backgrounds, accents.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00D9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Bright Cyan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#00D9FF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Accent color. CTAs, highlights, interactive elements.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Semantic Colors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3560"/>
      </w:tblGrid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29A07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Success Green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#29A078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Positive states, completed actions, alerts.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CBB2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Warning Yellow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#FCBB2C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Warnings, cautions, pending states.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E4A5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Error Red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#DE4A51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Errors, deletions, critical alerts.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Neutral Colors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3560"/>
      </w:tblGrid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Light Gray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#F5F5F5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Backgrounds, subtle dividers.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6666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Medium Gray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#666666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Secondary text, disabled states.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Dark Gray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#333333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Body text, dark backgrounds.</w:t>
            </w:r>
          </w:p>
        </w:tc>
      </w:tr>
      <w:tr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#FFFFFF</w:t>
            </w:r>
          </w:p>
        </w:tc>
        <w:tc>
          <w:tcPr>
            <w:tcW w:type="dxa" w:w="3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backgrounds, text on dark.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Color Guidelines</w:t>
      </w:r>
    </w:p>
    <w:p>
      <w:pPr>
        <w:spacing w:after="80"/>
      </w:pPr>
      <w:r>
        <w:rPr>
          <w:b/>
          <w:bCs/>
          <w:color w:val="29A078"/>
        </w:rPr>
        <w:t xml:space="preserve">✓ DO</w:t>
      </w:r>
      <w:r>
        <w:t xml:space="preserve"> use Deep Teal as the primary brand color</w:t>
      </w:r>
    </w:p>
    <w:p>
      <w:pPr>
        <w:spacing w:after="80"/>
      </w:pPr>
      <w:r>
        <w:rPr>
          <w:b/>
          <w:bCs/>
          <w:color w:val="29A078"/>
        </w:rPr>
        <w:t xml:space="preserve">✓ DO</w:t>
      </w:r>
      <w:r>
        <w:t xml:space="preserve"> pair Deep Teal with Midnight Blue for professional contexts</w:t>
      </w:r>
    </w:p>
    <w:p>
      <w:pPr>
        <w:spacing w:after="80"/>
      </w:pPr>
      <w:r>
        <w:rPr>
          <w:b/>
          <w:bCs/>
          <w:color w:val="29A078"/>
        </w:rPr>
        <w:t xml:space="preserve">✓ DO</w:t>
      </w:r>
      <w:r>
        <w:t xml:space="preserve"> use Bright Cyan sparingly for high-priority CTAs</w:t>
      </w:r>
    </w:p>
    <w:p>
      <w:pPr>
        <w:spacing w:after="80"/>
      </w:pPr>
      <w:r>
        <w:rPr>
          <w:b/>
          <w:bCs/>
          <w:color w:val="DE4A51"/>
        </w:rPr>
        <w:t xml:space="preserve">✗ DO NOT</w:t>
      </w:r>
      <w:r>
        <w:t xml:space="preserve"> mix Bright Cyan with Bright Cyan</w:t>
      </w:r>
    </w:p>
    <w:p>
      <w:pPr>
        <w:spacing w:after="80"/>
      </w:pPr>
      <w:r>
        <w:rPr>
          <w:b/>
          <w:bCs/>
          <w:color w:val="DE4A51"/>
        </w:rPr>
        <w:t xml:space="preserve">✗ DO NOT</w:t>
      </w:r>
      <w:r>
        <w:t xml:space="preserve"> use more than 3 primary brand colors in a single design</w:t>
      </w:r>
    </w:p>
    <w:p>
      <w:pPr>
        <w:spacing w:after="200"/>
      </w:pPr>
      <w:r>
        <w:rPr>
          <w:b/>
          <w:bCs/>
          <w:color w:val="DE4A51"/>
        </w:rPr>
        <w:t xml:space="preserve">✗ DO NOT</w:t>
      </w:r>
      <w:r>
        <w:t xml:space="preserve"> use brand colors for error/warning states (use semantic colors)</w:t>
      </w:r>
    </w:p>
    <w:p>
      <w:r>
        <w:br w:type="page"/>
      </w:r>
    </w:p>
    <w:p>
      <w:pPr>
        <w:pStyle w:val="Heading1"/>
      </w:pPr>
      <w:r>
        <w:t xml:space="preserve">Typography</w:t>
      </w:r>
    </w:p>
    <w:p>
      <w:pPr>
        <w:spacing w:after="200"/>
      </w:pPr>
      <w:r>
        <w:t xml:space="preserve">Neura Pool uses clean, modern typography that conveys professionalism and accessibility. All typefaces are system fonts for reliability and performance.</w:t>
      </w:r>
    </w:p>
    <w:p>
      <w:pPr>
        <w:pStyle w:val="Heading2"/>
      </w:pPr>
      <w:r>
        <w:t xml:space="preserve">Font Families</w:t>
      </w:r>
    </w:p>
    <w:p>
      <w:pPr>
        <w:spacing w:after="80" w:before="80"/>
      </w:pPr>
      <w:r>
        <w:rPr>
          <w:b/>
          <w:bCs/>
        </w:rPr>
        <w:t xml:space="preserve">Headings &amp; Displays: </w:t>
      </w:r>
      <w:r>
        <w:t xml:space="preserve">Calibri Bold</w:t>
      </w:r>
    </w:p>
    <w:p>
      <w:pPr>
        <w:spacing w:after="80"/>
      </w:pPr>
      <w:r>
        <w:rPr>
          <w:b/>
          <w:bCs/>
        </w:rPr>
        <w:t xml:space="preserve">Body Text: </w:t>
      </w:r>
      <w:r>
        <w:t xml:space="preserve">Calibri Regular</w:t>
      </w:r>
    </w:p>
    <w:p>
      <w:pPr>
        <w:spacing w:after="200"/>
      </w:pPr>
      <w:r>
        <w:rPr>
          <w:b/>
          <w:bCs/>
        </w:rPr>
        <w:t xml:space="preserve">Code/Monospace: </w:t>
      </w:r>
      <w:r>
        <w:t xml:space="preserve">Courier New</w:t>
      </w:r>
    </w:p>
    <w:p>
      <w:pPr>
        <w:pStyle w:val="Heading2"/>
      </w:pPr>
      <w:r>
        <w:t xml:space="preserve">Type Scale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60"/>
        <w:gridCol w:w="1500"/>
      </w:tblGrid>
      <w:tr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  <w:tc>
          <w:tcPr>
            <w:tcW w:type="dxa" w:w="2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H1: Page Title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36pt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Bold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Deep Teal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H2: Section Heading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24pt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Bold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Midnight Blue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Body: Regular text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16pt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Dark Gray</w:t>
            </w:r>
          </w:p>
        </w:tc>
      </w:tr>
      <w:tr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Small: Labels, captions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14pt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</w:t>
            </w:r>
          </w:p>
        </w:tc>
        <w:tc>
          <w:tcPr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Medium Gray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Line Height &amp; Spacing</w:t>
      </w:r>
    </w:p>
    <w:p>
      <w:pPr>
        <w:spacing w:after="80"/>
      </w:pPr>
      <w:r>
        <w:rPr>
          <w:b/>
          <w:bCs/>
        </w:rPr>
        <w:t xml:space="preserve">Line Height: </w:t>
      </w:r>
      <w:r>
        <w:t xml:space="preserve">1.5x for body text, 1.2x for headings</w:t>
      </w:r>
    </w:p>
    <w:p>
      <w:pPr>
        <w:spacing w:after="80"/>
      </w:pPr>
      <w:r>
        <w:rPr>
          <w:b/>
          <w:bCs/>
        </w:rPr>
        <w:t xml:space="preserve">Paragraph Spacing: </w:t>
      </w:r>
      <w:r>
        <w:t xml:space="preserve">0.5em below headings, 0.25em within sections</w:t>
      </w:r>
    </w:p>
    <w:p>
      <w:pPr>
        <w:spacing w:after="200"/>
      </w:pPr>
      <w:r>
        <w:rPr>
          <w:b/>
          <w:bCs/>
        </w:rPr>
        <w:t xml:space="preserve">Letter Spacing: </w:t>
      </w:r>
      <w:r>
        <w:t xml:space="preserve">Normal (-0.02em on headings for tightness)</w:t>
      </w:r>
    </w:p>
    <w:p>
      <w:r>
        <w:br w:type="page"/>
      </w:r>
    </w:p>
    <w:p>
      <w:pPr>
        <w:pStyle w:val="Heading1"/>
      </w:pPr>
      <w:r>
        <w:t xml:space="preserve">Brand Voice &amp; Personality</w:t>
      </w:r>
    </w:p>
    <w:p>
      <w:pPr>
        <w:pStyle w:val="Heading2"/>
      </w:pPr>
      <w:r>
        <w:t xml:space="preserve">Tone</w:t>
      </w:r>
    </w:p>
    <w:p>
      <w:pPr>
        <w:spacing w:after="200"/>
      </w:pPr>
      <w:r>
        <w:t xml:space="preserve">Professional, confident, and approachable. We speak to business owners with respect, clarity, and zero jargon. We&amp;#x2019;re modern without being trendy. Smart without being arrogant.</w:t>
      </w:r>
    </w:p>
    <w:p>
      <w:pPr>
        <w:pStyle w:val="Heading2"/>
      </w:pPr>
      <w:r>
        <w:t xml:space="preserve">Core Values</w:t>
      </w:r>
    </w:p>
    <w:p>
      <w:pPr>
        <w:spacing w:after="80"/>
      </w:pPr>
      <w:r>
        <w:rPr>
          <w:b/>
          <w:bCs/>
        </w:rPr>
        <w:t xml:space="preserve">Intelligence: </w:t>
      </w:r>
      <w:r>
        <w:t xml:space="preserve">We leverage AI and data to solve real problems</w:t>
      </w:r>
    </w:p>
    <w:p>
      <w:pPr>
        <w:spacing w:after="80"/>
      </w:pPr>
      <w:r>
        <w:rPr>
          <w:b/>
          <w:bCs/>
        </w:rPr>
        <w:t xml:space="preserve">Efficiency: </w:t>
      </w:r>
      <w:r>
        <w:t xml:space="preserve">We save time, reduce waste, maximize ROI</w:t>
      </w:r>
    </w:p>
    <w:p>
      <w:pPr>
        <w:spacing w:after="200"/>
      </w:pPr>
      <w:r>
        <w:rPr>
          <w:b/>
          <w:bCs/>
        </w:rPr>
        <w:t xml:space="preserve">Trust: </w:t>
      </w:r>
      <w:r>
        <w:t xml:space="preserve">We&amp;#x2019;re reliable, transparent, and accountable</w:t>
      </w:r>
    </w:p>
    <w:p>
      <w:pPr>
        <w:pStyle w:val="Heading2"/>
      </w:pPr>
      <w:r>
        <w:t xml:space="preserve">Visual Personality</w:t>
      </w:r>
    </w:p>
    <w:p>
      <w:pPr>
        <w:spacing w:after="80"/>
      </w:pPr>
      <w:r>
        <w:rPr>
          <w:b/>
          <w:bCs/>
        </w:rPr>
        <w:t xml:space="preserve">✓ Modern</w:t>
      </w:r>
      <w:r>
        <w:t xml:space="preserve"> — Clean lines, minimal ornamentation</w:t>
      </w:r>
    </w:p>
    <w:p>
      <w:pPr>
        <w:spacing w:after="80"/>
      </w:pPr>
      <w:r>
        <w:rPr>
          <w:b/>
          <w:bCs/>
        </w:rPr>
        <w:t xml:space="preserve">✓ Approachable</w:t>
      </w:r>
      <w:r>
        <w:t xml:space="preserve"> — Friendly but professional</w:t>
      </w:r>
    </w:p>
    <w:p>
      <w:pPr>
        <w:spacing w:after="80"/>
      </w:pPr>
      <w:r>
        <w:rPr>
          <w:b/>
          <w:bCs/>
        </w:rPr>
        <w:t xml:space="preserve">✓ Intelligent</w:t>
      </w:r>
      <w:r>
        <w:t xml:space="preserve"> — Shows sophistication through subtle details</w:t>
      </w:r>
    </w:p>
    <w:p>
      <w:pPr>
        <w:spacing w:after="200"/>
      </w:pPr>
      <w:r>
        <w:rPr>
          <w:b/>
          <w:bCs/>
        </w:rPr>
        <w:t xml:space="preserve">✓ Premium</w:t>
      </w:r>
      <w:r>
        <w:t xml:space="preserve"> — High-quality, considered design</w:t>
      </w:r>
    </w:p>
    <w:p>
      <w:r>
        <w:br w:type="page"/>
      </w:r>
    </w:p>
    <w:p>
      <w:pPr>
        <w:pStyle w:val="Heading1"/>
      </w:pPr>
      <w:r>
        <w:t xml:space="preserve">Application Examples</w:t>
      </w:r>
    </w:p>
    <w:p>
      <w:pPr>
        <w:pStyle w:val="Heading2"/>
      </w:pPr>
      <w:r>
        <w:t xml:space="preserve">Web Application</w:t>
      </w:r>
    </w:p>
    <w:p>
      <w:pPr>
        <w:spacing w:after="200"/>
      </w:pPr>
      <w:r>
        <w:t xml:space="preserve">Admin portal uses Deep Teal for primary UI elements (buttons, links, highlights). Midnight Blue for page headers and navigation. White/Light Gray for card backgrounds. Bright Cyan for high-priority actions (Create, Start Service, Complete Job).</w:t>
      </w:r>
    </w:p>
    <w:p>
      <w:pPr>
        <w:pStyle w:val="Heading2"/>
      </w:pPr>
      <w:r>
        <w:t xml:space="preserve">Mobile Application</w:t>
      </w:r>
    </w:p>
    <w:p>
      <w:pPr>
        <w:spacing w:after="200"/>
      </w:pPr>
      <w:r>
        <w:t xml:space="preserve">Technician app emphasizes Bright Cyan for action buttons (Start Service, Mark Complete). Deep Teal for navigation and progress indicators. Clean white backgrounds for readability in bright sunlight.</w:t>
      </w:r>
    </w:p>
    <w:p>
      <w:pPr>
        <w:pStyle w:val="Heading2"/>
      </w:pPr>
      <w:r>
        <w:t xml:space="preserve">Marketing &amp; Collateral</w:t>
      </w:r>
    </w:p>
    <w:p>
      <w:pPr>
        <w:spacing w:after="200"/>
      </w:pPr>
      <w:r>
        <w:t xml:space="preserve">Website uses Deep Teal + Midnight Blue for trust and authority. Bright Cyan accents draw attention to CTAs. Neutral grays for supporting text. Professional photography of actual pool service in action recommended.</w:t>
      </w:r>
    </w:p>
    <w:p>
      <w:pPr>
        <w:pStyle w:val="Heading2"/>
      </w:pPr>
      <w:r>
        <w:t xml:space="preserve">Email &amp; Documents</w:t>
      </w:r>
    </w:p>
    <w:p>
      <w:pPr>
        <w:spacing w:after="200"/>
      </w:pPr>
      <w:r>
        <w:t xml:space="preserve">Neura Pool logo appears in top-left corner. Deep Teal for section dividers and headers. Dark Gray for body text. Bright Cyan CTA buttons in all emails.</w:t>
      </w:r>
    </w:p>
    <w:p>
      <w:r>
        <w:br w:type="page"/>
      </w:r>
    </w:p>
    <w:p>
      <w:pPr>
        <w:pStyle w:val="Heading1"/>
      </w:pPr>
      <w:r>
        <w:t xml:space="preserve">Brand Usage Guidelines</w:t>
      </w:r>
    </w:p>
    <w:p>
      <w:pPr>
        <w:pStyle w:val="Heading2"/>
      </w:pPr>
      <w:r>
        <w:t xml:space="preserve">DO</w:t>
      </w:r>
    </w:p>
    <w:p>
      <w:pPr>
        <w:spacing w:after="80"/>
      </w:pPr>
      <w:r>
        <w:t xml:space="preserve">✓ Maintain consistent logo placement and clearance</w:t>
      </w:r>
    </w:p>
    <w:p>
      <w:pPr>
        <w:spacing w:after="80"/>
      </w:pPr>
      <w:r>
        <w:t xml:space="preserve">✓ Use the full color palette across all touchpoints</w:t>
      </w:r>
    </w:p>
    <w:p>
      <w:pPr>
        <w:spacing w:after="80"/>
      </w:pPr>
      <w:r>
        <w:t xml:space="preserve">✓ Stick to the defined typography scale</w:t>
      </w:r>
    </w:p>
    <w:p>
      <w:pPr>
        <w:spacing w:after="80"/>
      </w:pPr>
      <w:r>
        <w:t xml:space="preserve">✓ Ensure contrast between text and backgrounds (WCAG AA minimum)</w:t>
      </w:r>
    </w:p>
    <w:p>
      <w:pPr>
        <w:spacing w:after="200"/>
      </w:pPr>
      <w:r>
        <w:t xml:space="preserve">✓ Document brand usage in team wikis and design systems</w:t>
      </w:r>
    </w:p>
    <w:p>
      <w:pPr>
        <w:pStyle w:val="Heading2"/>
      </w:pPr>
      <w:r>
        <w:t xml:space="preserve">DON&amp;#x2019;T</w:t>
      </w:r>
    </w:p>
    <w:p>
      <w:pPr>
        <w:spacing w:after="80"/>
      </w:pPr>
      <w:r>
        <w:t xml:space="preserve">✗ Change logo colors, proportions, or composition</w:t>
      </w:r>
    </w:p>
    <w:p>
      <w:pPr>
        <w:spacing w:after="80"/>
      </w:pPr>
      <w:r>
        <w:t xml:space="preserve">✗ Use outdated PoolDash branding in new materials</w:t>
      </w:r>
    </w:p>
    <w:p>
      <w:pPr>
        <w:spacing w:after="80"/>
      </w:pPr>
      <w:r>
        <w:t xml:space="preserve">✗ Mix Neura Pool with competing visual styles</w:t>
      </w:r>
    </w:p>
    <w:p>
      <w:pPr>
        <w:spacing w:after="80"/>
      </w:pPr>
      <w:r>
        <w:t xml:space="preserve">✗ Use decorative colors for primary UI elements</w:t>
      </w:r>
    </w:p>
    <w:p>
      <w:pPr>
        <w:spacing w:after="200"/>
      </w:pPr>
      <w:r>
        <w:t xml:space="preserve">✗ Create graphics without consultation to this guide</w:t>
      </w:r>
    </w:p>
    <w:p>
      <w:pPr>
        <w:spacing w:after="400"/>
      </w:pPr>
      <w:r>
        <w:t xml:space="preserve"/>
      </w:r>
    </w:p>
    <w:p>
      <w:pPr>
        <w:spacing w:before="200"/>
        <w:jc w:val="center"/>
      </w:pPr>
      <w:r>
        <w:rPr>
          <w:color w:val="666666"/>
        </w:rPr>
        <w:t xml:space="preserve">For questions or brand applications, contact the Neuraliti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0D7C8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1A3A5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</w:pPr>
    <w:rPr>
      <w:rFonts w:ascii="Calibri" w:cs="Calibri" w:eastAsia="Calibri" w:hAnsi="Calibri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2026-04-19T18:06:59.041Z</dcterms:created>
  <dcterms:modified xsi:type="dcterms:W3CDTF">2026-04-19T18:06:59.042Z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