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45A" w:rsidRPr="0078745A" w:rsidRDefault="0078745A" w:rsidP="0078745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8745A">
        <w:rPr>
          <w:rFonts w:ascii="Times New Roman" w:eastAsia="Times New Roman" w:hAnsi="Times New Roman" w:cs="Times New Roman"/>
          <w:b/>
          <w:bCs/>
          <w:kern w:val="36"/>
          <w:sz w:val="48"/>
          <w:szCs w:val="48"/>
          <w:lang w:eastAsia="fr-FR"/>
        </w:rPr>
        <w:t xml:space="preserve">Palais royaux d’Abomey </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sz w:val="24"/>
          <w:szCs w:val="24"/>
          <w:lang w:eastAsia="fr-FR"/>
        </w:rPr>
        <w:t>Centre historique et architectural du Royaume du Dahomey – Patrimoine mondial de l’UNESCO</w:t>
      </w:r>
    </w:p>
    <w:p w:rsidR="0078745A" w:rsidRPr="0078745A" w:rsidRDefault="0078745A" w:rsidP="0078745A">
      <w:pPr>
        <w:spacing w:after="0" w:line="240" w:lineRule="auto"/>
        <w:rPr>
          <w:rFonts w:ascii="Times New Roman" w:eastAsia="Times New Roman" w:hAnsi="Times New Roman" w:cs="Times New Roman"/>
          <w:sz w:val="24"/>
          <w:szCs w:val="24"/>
          <w:lang w:eastAsia="fr-FR"/>
        </w:rPr>
      </w:pPr>
    </w:p>
    <w:p w:rsidR="0078745A" w:rsidRPr="0078745A" w:rsidRDefault="0078745A" w:rsidP="0078745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8745A">
        <w:rPr>
          <w:rFonts w:ascii="Times New Roman" w:eastAsia="Times New Roman" w:hAnsi="Times New Roman" w:cs="Times New Roman"/>
          <w:b/>
          <w:bCs/>
          <w:sz w:val="27"/>
          <w:szCs w:val="27"/>
          <w:lang w:eastAsia="fr-FR"/>
        </w:rPr>
        <w:t>1. Résumé</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sz w:val="24"/>
          <w:szCs w:val="24"/>
          <w:lang w:eastAsia="fr-FR"/>
        </w:rPr>
        <w:t xml:space="preserve">Les palais royaux d’Abomey sont le témoignage matériel et symbolique du puissant royaume du Dahomey, qui s’affirma sur la côte ouest-africaine entre le milieu du XVIIᵉ siècle et 1900. Douze rois s’y succédèrent, chacun édifiant son palais à l’intérieur de l’enceinte royale, à l’exception du roi Akaba qui utilisa un enclos séparé. Ces constructions constituent un ensemble architectural exceptionnel, organisé selon les principes de la culture </w:t>
      </w:r>
      <w:proofErr w:type="spellStart"/>
      <w:r w:rsidRPr="0078745A">
        <w:rPr>
          <w:rFonts w:ascii="Times New Roman" w:eastAsia="Times New Roman" w:hAnsi="Times New Roman" w:cs="Times New Roman"/>
          <w:sz w:val="24"/>
          <w:szCs w:val="24"/>
          <w:lang w:eastAsia="fr-FR"/>
        </w:rPr>
        <w:t>Aja</w:t>
      </w:r>
      <w:proofErr w:type="spellEnd"/>
      <w:r w:rsidRPr="0078745A">
        <w:rPr>
          <w:rFonts w:ascii="Times New Roman" w:eastAsia="Times New Roman" w:hAnsi="Times New Roman" w:cs="Times New Roman"/>
          <w:sz w:val="24"/>
          <w:szCs w:val="24"/>
          <w:lang w:eastAsia="fr-FR"/>
        </w:rPr>
        <w:t>-Fon, et sont aujourd’hui inscrites au patrimoine mondial de l’UNESCO. Les palais témoignent non seulement du pouvoir et de la hiérarchie du royaume, mais aussi de son savoir-faire technique et artisanal, tout en incarnant la mémoire d’une culture et d’une identité collective encore vivante.</w:t>
      </w:r>
    </w:p>
    <w:p w:rsidR="0078745A" w:rsidRPr="0078745A" w:rsidRDefault="0078745A" w:rsidP="0078745A">
      <w:pPr>
        <w:spacing w:after="0" w:line="240" w:lineRule="auto"/>
        <w:rPr>
          <w:rFonts w:ascii="Times New Roman" w:eastAsia="Times New Roman" w:hAnsi="Times New Roman" w:cs="Times New Roman"/>
          <w:sz w:val="24"/>
          <w:szCs w:val="24"/>
          <w:lang w:eastAsia="fr-FR"/>
        </w:rPr>
      </w:pPr>
    </w:p>
    <w:p w:rsidR="0078745A" w:rsidRPr="0078745A" w:rsidRDefault="0078745A" w:rsidP="0078745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8745A">
        <w:rPr>
          <w:rFonts w:ascii="Times New Roman" w:eastAsia="Times New Roman" w:hAnsi="Times New Roman" w:cs="Times New Roman"/>
          <w:b/>
          <w:bCs/>
          <w:sz w:val="27"/>
          <w:szCs w:val="27"/>
          <w:lang w:eastAsia="fr-FR"/>
        </w:rPr>
        <w:t>2. Historique et rôle du site</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Origines et développement</w:t>
      </w:r>
      <w:r w:rsidRPr="0078745A">
        <w:rPr>
          <w:rFonts w:ascii="Times New Roman" w:eastAsia="Times New Roman" w:hAnsi="Times New Roman" w:cs="Times New Roman"/>
          <w:sz w:val="24"/>
          <w:szCs w:val="24"/>
          <w:lang w:eastAsia="fr-FR"/>
        </w:rPr>
        <w:br/>
        <w:t xml:space="preserve">Le Royaume du Dahomey se développe à partir du règne de son fondateur, </w:t>
      </w:r>
      <w:proofErr w:type="spellStart"/>
      <w:r w:rsidRPr="0078745A">
        <w:rPr>
          <w:rFonts w:ascii="Times New Roman" w:eastAsia="Times New Roman" w:hAnsi="Times New Roman" w:cs="Times New Roman"/>
          <w:sz w:val="24"/>
          <w:szCs w:val="24"/>
          <w:lang w:eastAsia="fr-FR"/>
        </w:rPr>
        <w:t>Houegbadja</w:t>
      </w:r>
      <w:proofErr w:type="spellEnd"/>
      <w:r w:rsidRPr="0078745A">
        <w:rPr>
          <w:rFonts w:ascii="Times New Roman" w:eastAsia="Times New Roman" w:hAnsi="Times New Roman" w:cs="Times New Roman"/>
          <w:sz w:val="24"/>
          <w:szCs w:val="24"/>
          <w:lang w:eastAsia="fr-FR"/>
        </w:rPr>
        <w:t>, qui pose le précepte selon lequel « le royaume doit toujours être fait plus grand ». De 1625 à 1900, douze rois se succèdent à Abomey, chacun édifiant son palais dans la continuité des architectures précédentes. Les palais sont le centre de la vie politique, économique et religieuse du royaume : lieu de décisions, dépôt des trésors, centre d’élaboration artisanale et scène des cérémonies traditionnelles.</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Organisation et architecture</w:t>
      </w:r>
      <w:r w:rsidRPr="0078745A">
        <w:rPr>
          <w:rFonts w:ascii="Times New Roman" w:eastAsia="Times New Roman" w:hAnsi="Times New Roman" w:cs="Times New Roman"/>
          <w:sz w:val="24"/>
          <w:szCs w:val="24"/>
          <w:lang w:eastAsia="fr-FR"/>
        </w:rPr>
        <w:br/>
        <w:t>Les palais s’étendent sur une superficie totale de 47 hectares et se composent d’un ensemble de dix palais principaux, construits côte à côte ou superposés selon l’ordre de succession royale. Chaque palais est entouré de murailles en bauge et s’articule autour de trois cours hiérarchisées : extérieure, intérieure et privée. Les portails, construits à cheval sur les murs d’enceinte, assurent la circulation entre les cours tout en maintenant un contrôle strict de l’accès. Certains palais privés et résidences leurres complètent le dispositif, renforçant la sécurité et protégeant le souverain et ses sujets des attaques extérieures ou des rivalités internes.</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Symbolique et décoration</w:t>
      </w:r>
      <w:r w:rsidRPr="0078745A">
        <w:rPr>
          <w:rFonts w:ascii="Times New Roman" w:eastAsia="Times New Roman" w:hAnsi="Times New Roman" w:cs="Times New Roman"/>
          <w:sz w:val="24"/>
          <w:szCs w:val="24"/>
          <w:lang w:eastAsia="fr-FR"/>
        </w:rPr>
        <w:br/>
        <w:t>Les façades des palais sont ornées de bas-reliefs polychromes, illustrant les exploits militaires, les légendes royales et les valeurs du royaume, notamment la résistance à la colonisation. L’iconographie reflète le pouvoir, la spiritualité et le prestige des rois, contribuant à la transmission des mémoires collectives et à la cohésion sociale.</w:t>
      </w:r>
    </w:p>
    <w:p w:rsidR="0078745A" w:rsidRPr="0078745A" w:rsidRDefault="0078745A" w:rsidP="0078745A">
      <w:pPr>
        <w:spacing w:after="0" w:line="240" w:lineRule="auto"/>
        <w:rPr>
          <w:rFonts w:ascii="Times New Roman" w:eastAsia="Times New Roman" w:hAnsi="Times New Roman" w:cs="Times New Roman"/>
          <w:sz w:val="24"/>
          <w:szCs w:val="24"/>
          <w:lang w:eastAsia="fr-FR"/>
        </w:rPr>
      </w:pPr>
    </w:p>
    <w:p w:rsidR="0078745A" w:rsidRPr="0078745A" w:rsidRDefault="0078745A" w:rsidP="0078745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8745A">
        <w:rPr>
          <w:rFonts w:ascii="Times New Roman" w:eastAsia="Times New Roman" w:hAnsi="Times New Roman" w:cs="Times New Roman"/>
          <w:b/>
          <w:bCs/>
          <w:sz w:val="27"/>
          <w:szCs w:val="27"/>
          <w:lang w:eastAsia="fr-FR"/>
        </w:rPr>
        <w:lastRenderedPageBreak/>
        <w:t>3. Authenticité et conservation</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Inventaire et restauration</w:t>
      </w:r>
      <w:r w:rsidRPr="0078745A">
        <w:rPr>
          <w:rFonts w:ascii="Times New Roman" w:eastAsia="Times New Roman" w:hAnsi="Times New Roman" w:cs="Times New Roman"/>
          <w:sz w:val="24"/>
          <w:szCs w:val="24"/>
          <w:lang w:eastAsia="fr-FR"/>
        </w:rPr>
        <w:br/>
        <w:t xml:space="preserve">Un inventaire réalisé en 1995, avec l’appui du Centre du patrimoine mondial, a recensé 184 composantes du site. Plus de la moitié de ces structures ont depuis été restaurées, conformément aux normes de conservation et avec le soutien de l’UNESCO, de l’État béninois et des familles royales. L’authenticité des palais repose sur l’usage continu de matériaux traditionnels (terre, bois, paille, eau) et sur le respect des techniques ancestrales, notamment pour les </w:t>
      </w:r>
      <w:proofErr w:type="spellStart"/>
      <w:r w:rsidRPr="0078745A">
        <w:rPr>
          <w:rFonts w:ascii="Times New Roman" w:eastAsia="Times New Roman" w:hAnsi="Times New Roman" w:cs="Times New Roman"/>
          <w:sz w:val="24"/>
          <w:szCs w:val="24"/>
          <w:lang w:eastAsia="fr-FR"/>
        </w:rPr>
        <w:t>Djexo</w:t>
      </w:r>
      <w:proofErr w:type="spellEnd"/>
      <w:r w:rsidRPr="0078745A">
        <w:rPr>
          <w:rFonts w:ascii="Times New Roman" w:eastAsia="Times New Roman" w:hAnsi="Times New Roman" w:cs="Times New Roman"/>
          <w:sz w:val="24"/>
          <w:szCs w:val="24"/>
          <w:lang w:eastAsia="fr-FR"/>
        </w:rPr>
        <w:t xml:space="preserve"> (cases abritant l’esprit du roi) et </w:t>
      </w:r>
      <w:proofErr w:type="spellStart"/>
      <w:r w:rsidRPr="0078745A">
        <w:rPr>
          <w:rFonts w:ascii="Times New Roman" w:eastAsia="Times New Roman" w:hAnsi="Times New Roman" w:cs="Times New Roman"/>
          <w:sz w:val="24"/>
          <w:szCs w:val="24"/>
          <w:lang w:eastAsia="fr-FR"/>
        </w:rPr>
        <w:t>Adoxo</w:t>
      </w:r>
      <w:proofErr w:type="spellEnd"/>
      <w:r w:rsidRPr="0078745A">
        <w:rPr>
          <w:rFonts w:ascii="Times New Roman" w:eastAsia="Times New Roman" w:hAnsi="Times New Roman" w:cs="Times New Roman"/>
          <w:sz w:val="24"/>
          <w:szCs w:val="24"/>
          <w:lang w:eastAsia="fr-FR"/>
        </w:rPr>
        <w:t xml:space="preserve"> (tombes royales).</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Gestion et protection</w:t>
      </w:r>
      <w:r w:rsidRPr="0078745A">
        <w:rPr>
          <w:rFonts w:ascii="Times New Roman" w:eastAsia="Times New Roman" w:hAnsi="Times New Roman" w:cs="Times New Roman"/>
          <w:sz w:val="24"/>
          <w:szCs w:val="24"/>
          <w:lang w:eastAsia="fr-FR"/>
        </w:rPr>
        <w:br/>
        <w:t>La protection du site est assurée par la loi n°2007-20 portant sur le patrimoine culturel et naturel à caractère culturel, ainsi que par un règlement d’urbanisme pour la zone tampon autour du site. La gestion participative implique les familles royales, la mairie, l’État, les spécialistes du patrimoine et les populations locales. Un plan de conservation, un suivi régulier et des mesures de protection contre les phénomènes naturels ou les actions humaines garantissent la pérennité du site.</w:t>
      </w:r>
    </w:p>
    <w:p w:rsidR="0078745A" w:rsidRPr="0078745A" w:rsidRDefault="0078745A" w:rsidP="0078745A">
      <w:pPr>
        <w:spacing w:after="0" w:line="240" w:lineRule="auto"/>
        <w:rPr>
          <w:rFonts w:ascii="Times New Roman" w:eastAsia="Times New Roman" w:hAnsi="Times New Roman" w:cs="Times New Roman"/>
          <w:sz w:val="24"/>
          <w:szCs w:val="24"/>
          <w:lang w:eastAsia="fr-FR"/>
        </w:rPr>
      </w:pPr>
    </w:p>
    <w:p w:rsidR="0078745A" w:rsidRPr="0078745A" w:rsidRDefault="0078745A" w:rsidP="0078745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8745A">
        <w:rPr>
          <w:rFonts w:ascii="Times New Roman" w:eastAsia="Times New Roman" w:hAnsi="Times New Roman" w:cs="Times New Roman"/>
          <w:b/>
          <w:bCs/>
          <w:sz w:val="27"/>
          <w:szCs w:val="27"/>
          <w:lang w:eastAsia="fr-FR"/>
        </w:rPr>
        <w:t>4. Valeur culturelle et symbolique</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Centre de mémoire et de fierté nationale</w:t>
      </w:r>
      <w:r w:rsidRPr="0078745A">
        <w:rPr>
          <w:rFonts w:ascii="Times New Roman" w:eastAsia="Times New Roman" w:hAnsi="Times New Roman" w:cs="Times New Roman"/>
          <w:sz w:val="24"/>
          <w:szCs w:val="24"/>
          <w:lang w:eastAsia="fr-FR"/>
        </w:rPr>
        <w:br/>
        <w:t>Les palais royaux d’Abomey incarnent la grandeur et la résistance du Dahomey, tout en servant de vecteur de cohésion sociale et de fierté nationale. Ils sont encore aujourd’hui le lieu de cérémonies commémoratives, témoignant de la vitalité des traditions royales et du rôle du pouvoir culturel dans la société béninoise.</w:t>
      </w:r>
    </w:p>
    <w:p w:rsidR="0078745A" w:rsidRPr="0078745A" w:rsidRDefault="0078745A" w:rsidP="0078745A">
      <w:pPr>
        <w:spacing w:before="100" w:beforeAutospacing="1" w:after="100" w:afterAutospacing="1" w:line="240" w:lineRule="auto"/>
        <w:rPr>
          <w:rFonts w:ascii="Times New Roman" w:eastAsia="Times New Roman" w:hAnsi="Times New Roman" w:cs="Times New Roman"/>
          <w:sz w:val="24"/>
          <w:szCs w:val="24"/>
          <w:lang w:eastAsia="fr-FR"/>
        </w:rPr>
      </w:pPr>
      <w:r w:rsidRPr="0078745A">
        <w:rPr>
          <w:rFonts w:ascii="Times New Roman" w:eastAsia="Times New Roman" w:hAnsi="Times New Roman" w:cs="Times New Roman"/>
          <w:b/>
          <w:bCs/>
          <w:sz w:val="24"/>
          <w:szCs w:val="24"/>
          <w:lang w:eastAsia="fr-FR"/>
        </w:rPr>
        <w:t>Tourisme et développement local</w:t>
      </w:r>
      <w:r w:rsidRPr="0078745A">
        <w:rPr>
          <w:rFonts w:ascii="Times New Roman" w:eastAsia="Times New Roman" w:hAnsi="Times New Roman" w:cs="Times New Roman"/>
          <w:sz w:val="24"/>
          <w:szCs w:val="24"/>
          <w:lang w:eastAsia="fr-FR"/>
        </w:rPr>
        <w:br/>
        <w:t>Le site attire des milliers de visiteurs chaque année, contribuant au développement économique et à la valorisation de l’artisanat local. Il joue également un rôle central dans l’éducation patrimoniale et dans la transmission de l’histoire du Dahomey aux jeunes générations.</w:t>
      </w:r>
    </w:p>
    <w:p w:rsidR="0078745A" w:rsidRPr="0078745A" w:rsidRDefault="0078745A" w:rsidP="0078745A">
      <w:pPr>
        <w:spacing w:after="0" w:line="240" w:lineRule="auto"/>
        <w:rPr>
          <w:rFonts w:ascii="Times New Roman" w:eastAsia="Times New Roman" w:hAnsi="Times New Roman" w:cs="Times New Roman"/>
          <w:sz w:val="24"/>
          <w:szCs w:val="24"/>
          <w:lang w:eastAsia="fr-FR"/>
        </w:rPr>
      </w:pPr>
    </w:p>
    <w:p w:rsidR="0078745A" w:rsidRDefault="0078745A" w:rsidP="0078745A">
      <w:pPr>
        <w:pStyle w:val="Titre3"/>
      </w:pPr>
      <w:r>
        <w:t>5</w:t>
      </w:r>
      <w:r>
        <w:t>. Sources et références</w:t>
      </w:r>
    </w:p>
    <w:p w:rsidR="0078745A" w:rsidRDefault="0078745A" w:rsidP="0078745A">
      <w:pPr>
        <w:pStyle w:val="NormalWeb"/>
      </w:pPr>
      <w:r>
        <w:t xml:space="preserve">• UNESCO — Palais royaux d’Abomey, </w:t>
      </w:r>
      <w:hyperlink r:id="rId5" w:history="1">
        <w:r w:rsidRPr="00500EB6">
          <w:rPr>
            <w:rStyle w:val="Lienhypertexte"/>
          </w:rPr>
          <w:t>https://whc.unesco.org/fr/list/323/</w:t>
        </w:r>
      </w:hyperlink>
      <w:r>
        <w:t xml:space="preserve"> </w:t>
      </w:r>
      <w:r>
        <w:br/>
        <w:t xml:space="preserve">• Afrik.com — Les palais royaux d’Abomey : héritage d’un royaume disparu, : </w:t>
      </w:r>
      <w:hyperlink r:id="rId6" w:history="1">
        <w:r w:rsidRPr="00A13409">
          <w:rPr>
            <w:rStyle w:val="Lienhypertexte"/>
          </w:rPr>
          <w:t>https://www.afrik.com/les-palais-royaux-d-abomey-heritage-d-un-royaume-disparu</w:t>
        </w:r>
      </w:hyperlink>
      <w:r>
        <w:br/>
        <w:t xml:space="preserve">• </w:t>
      </w:r>
      <w:proofErr w:type="spellStart"/>
      <w:r>
        <w:t>Craterre</w:t>
      </w:r>
      <w:proofErr w:type="spellEnd"/>
      <w:r>
        <w:t xml:space="preserve"> — Conservation des palais royaux d’Abomey, </w:t>
      </w:r>
      <w:hyperlink r:id="rId7" w:history="1">
        <w:r w:rsidR="00971D28" w:rsidRPr="00500EB6">
          <w:rPr>
            <w:rStyle w:val="Lienhypertexte"/>
          </w:rPr>
          <w:t>https://craterre.org/case/conservation-des-palais-royaux-dabomey/</w:t>
        </w:r>
      </w:hyperlink>
      <w:r w:rsidR="00971D28">
        <w:t xml:space="preserve"> </w:t>
      </w:r>
      <w:bookmarkStart w:id="0" w:name="_GoBack"/>
      <w:bookmarkEnd w:id="0"/>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032A73"/>
    <w:multiLevelType w:val="multilevel"/>
    <w:tmpl w:val="56D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45A"/>
    <w:rsid w:val="0078745A"/>
    <w:rsid w:val="00971D28"/>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0576A-2E47-4706-A562-43697C290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874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78745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745A"/>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78745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8745A"/>
    <w:rPr>
      <w:b/>
      <w:bCs/>
    </w:rPr>
  </w:style>
  <w:style w:type="paragraph" w:styleId="NormalWeb">
    <w:name w:val="Normal (Web)"/>
    <w:basedOn w:val="Normal"/>
    <w:uiPriority w:val="99"/>
    <w:semiHidden/>
    <w:unhideWhenUsed/>
    <w:rsid w:val="0078745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8745A"/>
    <w:rPr>
      <w:color w:val="0000FF"/>
      <w:u w:val="single"/>
    </w:rPr>
  </w:style>
  <w:style w:type="character" w:styleId="Lienhypertextesuivivisit">
    <w:name w:val="FollowedHyperlink"/>
    <w:basedOn w:val="Policepardfaut"/>
    <w:uiPriority w:val="99"/>
    <w:semiHidden/>
    <w:unhideWhenUsed/>
    <w:rsid w:val="007874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23715">
      <w:bodyDiv w:val="1"/>
      <w:marLeft w:val="0"/>
      <w:marRight w:val="0"/>
      <w:marTop w:val="0"/>
      <w:marBottom w:val="0"/>
      <w:divBdr>
        <w:top w:val="none" w:sz="0" w:space="0" w:color="auto"/>
        <w:left w:val="none" w:sz="0" w:space="0" w:color="auto"/>
        <w:bottom w:val="none" w:sz="0" w:space="0" w:color="auto"/>
        <w:right w:val="none" w:sz="0" w:space="0" w:color="auto"/>
      </w:divBdr>
    </w:div>
    <w:div w:id="195575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aterre.org/case/conservation-des-palais-royaux-dabom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frik.com/les-palais-royaux-d-abomey-heritage-d-un-royaume-disparu" TargetMode="External"/><Relationship Id="rId5" Type="http://schemas.openxmlformats.org/officeDocument/2006/relationships/hyperlink" Target="https://whc.unesco.org/fr/list/3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752</Words>
  <Characters>4140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2025-12-02T12:12:00Z</dcterms:created>
  <dcterms:modified xsi:type="dcterms:W3CDTF">2025-12-02T14:21:00Z</dcterms:modified>
</cp:coreProperties>
</file>