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C153E" w:rsidRPr="006C153E" w:rsidRDefault="006C153E" w:rsidP="006C153E">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6C153E">
        <w:rPr>
          <w:rFonts w:ascii="Times New Roman" w:eastAsia="Times New Roman" w:hAnsi="Times New Roman" w:cs="Times New Roman"/>
          <w:b/>
          <w:bCs/>
          <w:kern w:val="36"/>
          <w:sz w:val="48"/>
          <w:szCs w:val="48"/>
          <w:lang w:eastAsia="fr-FR"/>
        </w:rPr>
        <w:t>Culture et patrimoine d’Abomey</w:t>
      </w:r>
    </w:p>
    <w:p w:rsidR="006C153E" w:rsidRPr="006C153E" w:rsidRDefault="006C153E" w:rsidP="006C153E">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153E">
        <w:rPr>
          <w:rFonts w:ascii="Times New Roman" w:eastAsia="Times New Roman" w:hAnsi="Times New Roman" w:cs="Times New Roman"/>
          <w:b/>
          <w:bCs/>
          <w:sz w:val="36"/>
          <w:szCs w:val="36"/>
          <w:lang w:eastAsia="fr-FR"/>
        </w:rPr>
        <w:t>Religions pratiquées</w:t>
      </w:r>
    </w:p>
    <w:p w:rsidR="006C153E" w:rsidRPr="006C153E" w:rsidRDefault="006C153E" w:rsidP="006C153E">
      <w:pPr>
        <w:spacing w:before="100" w:beforeAutospacing="1" w:after="100" w:afterAutospacing="1" w:line="240" w:lineRule="auto"/>
        <w:rPr>
          <w:rFonts w:ascii="Times New Roman" w:eastAsia="Times New Roman" w:hAnsi="Times New Roman" w:cs="Times New Roman"/>
          <w:sz w:val="28"/>
          <w:szCs w:val="28"/>
          <w:lang w:eastAsia="fr-FR"/>
        </w:rPr>
      </w:pPr>
      <w:r w:rsidRPr="006C153E">
        <w:rPr>
          <w:rFonts w:ascii="Times New Roman" w:eastAsia="Times New Roman" w:hAnsi="Times New Roman" w:cs="Times New Roman"/>
          <w:sz w:val="28"/>
          <w:szCs w:val="28"/>
          <w:lang w:eastAsia="fr-FR"/>
        </w:rPr>
        <w:t>Sur le plateau d’Abomey, plusieurs religions coexistent, mais la principale religion endogène est le vaudou. Cette religion constitue un système cohérent et hiérarchisé de croyances, de rituels et de pratiques. Elle repose sur la reconnaissance de la diversité des hommes et sur leurs liens étroits avec les composantes fondamentales de la nature. Le vaudou assure également une continuité entre les générations par l’intermédiaire de ceux qui transmettent la tradition, même après leur mort.</w:t>
      </w:r>
    </w:p>
    <w:p w:rsidR="006C153E" w:rsidRPr="006C153E" w:rsidRDefault="006C153E" w:rsidP="006C153E">
      <w:pPr>
        <w:spacing w:before="100" w:beforeAutospacing="1" w:after="100" w:afterAutospacing="1" w:line="240" w:lineRule="auto"/>
        <w:rPr>
          <w:rFonts w:ascii="Times New Roman" w:eastAsia="Times New Roman" w:hAnsi="Times New Roman" w:cs="Times New Roman"/>
          <w:sz w:val="28"/>
          <w:szCs w:val="28"/>
          <w:lang w:eastAsia="fr-FR"/>
        </w:rPr>
      </w:pPr>
      <w:r w:rsidRPr="006C153E">
        <w:rPr>
          <w:rFonts w:ascii="Times New Roman" w:eastAsia="Times New Roman" w:hAnsi="Times New Roman" w:cs="Times New Roman"/>
          <w:sz w:val="28"/>
          <w:szCs w:val="28"/>
          <w:lang w:eastAsia="fr-FR"/>
        </w:rPr>
        <w:t>Sa vocation est de maintenir l’harmonie entre individus, groupes sociaux et environnement naturel. En visualisant les forces présentes, il facilite le respect mutuel et l’équilibre entre ces forces. Les pratiques vaudou permettent d’identifier, diriger, exploiter ou neutraliser ces forces par l’intermédiaire des divinités et des ancêtres, en utilisant un art divinatoire appelé le « </w:t>
      </w:r>
      <w:proofErr w:type="spellStart"/>
      <w:r w:rsidRPr="006C153E">
        <w:rPr>
          <w:rFonts w:ascii="Times New Roman" w:eastAsia="Times New Roman" w:hAnsi="Times New Roman" w:cs="Times New Roman"/>
          <w:sz w:val="28"/>
          <w:szCs w:val="28"/>
          <w:lang w:eastAsia="fr-FR"/>
        </w:rPr>
        <w:t>Fâ</w:t>
      </w:r>
      <w:proofErr w:type="spellEnd"/>
      <w:r w:rsidRPr="006C153E">
        <w:rPr>
          <w:rFonts w:ascii="Times New Roman" w:eastAsia="Times New Roman" w:hAnsi="Times New Roman" w:cs="Times New Roman"/>
          <w:sz w:val="28"/>
          <w:szCs w:val="28"/>
          <w:lang w:eastAsia="fr-FR"/>
        </w:rPr>
        <w:t> ».</w:t>
      </w:r>
    </w:p>
    <w:p w:rsidR="006C153E" w:rsidRPr="006C153E" w:rsidRDefault="006C153E" w:rsidP="006C153E">
      <w:pPr>
        <w:spacing w:before="100" w:beforeAutospacing="1" w:after="100" w:afterAutospacing="1" w:line="240" w:lineRule="auto"/>
        <w:rPr>
          <w:rFonts w:ascii="Times New Roman" w:eastAsia="Times New Roman" w:hAnsi="Times New Roman" w:cs="Times New Roman"/>
          <w:sz w:val="28"/>
          <w:szCs w:val="28"/>
          <w:lang w:eastAsia="fr-FR"/>
        </w:rPr>
      </w:pPr>
      <w:r w:rsidRPr="006C153E">
        <w:rPr>
          <w:rFonts w:ascii="Times New Roman" w:eastAsia="Times New Roman" w:hAnsi="Times New Roman" w:cs="Times New Roman"/>
          <w:sz w:val="28"/>
          <w:szCs w:val="28"/>
          <w:lang w:eastAsia="fr-FR"/>
        </w:rPr>
        <w:t xml:space="preserve">Cette religion s’est installée à Abomey sous le règne du roi </w:t>
      </w:r>
      <w:proofErr w:type="spellStart"/>
      <w:r w:rsidRPr="006C153E">
        <w:rPr>
          <w:rFonts w:ascii="Times New Roman" w:eastAsia="Times New Roman" w:hAnsi="Times New Roman" w:cs="Times New Roman"/>
          <w:sz w:val="28"/>
          <w:szCs w:val="28"/>
          <w:lang w:eastAsia="fr-FR"/>
        </w:rPr>
        <w:t>Agadja</w:t>
      </w:r>
      <w:proofErr w:type="spellEnd"/>
      <w:r w:rsidRPr="006C153E">
        <w:rPr>
          <w:rFonts w:ascii="Times New Roman" w:eastAsia="Times New Roman" w:hAnsi="Times New Roman" w:cs="Times New Roman"/>
          <w:sz w:val="28"/>
          <w:szCs w:val="28"/>
          <w:lang w:eastAsia="fr-FR"/>
        </w:rPr>
        <w:t xml:space="preserve">, dont une des épouses était d’origine nago, un sous-groupe des Yoruba. Le royaume d’Abomey pratiquait également des cultes ancestraux, comme le culte des </w:t>
      </w:r>
      <w:proofErr w:type="spellStart"/>
      <w:r w:rsidRPr="006C153E">
        <w:rPr>
          <w:rFonts w:ascii="Times New Roman" w:eastAsia="Times New Roman" w:hAnsi="Times New Roman" w:cs="Times New Roman"/>
          <w:b/>
          <w:bCs/>
          <w:sz w:val="28"/>
          <w:szCs w:val="28"/>
          <w:lang w:eastAsia="fr-FR"/>
        </w:rPr>
        <w:t>Egun</w:t>
      </w:r>
      <w:proofErr w:type="spellEnd"/>
      <w:r w:rsidRPr="006C153E">
        <w:rPr>
          <w:rFonts w:ascii="Times New Roman" w:eastAsia="Times New Roman" w:hAnsi="Times New Roman" w:cs="Times New Roman"/>
          <w:sz w:val="28"/>
          <w:szCs w:val="28"/>
          <w:lang w:eastAsia="fr-FR"/>
        </w:rPr>
        <w:t>, typique des Yoruba mais découragé par les Fons. Par ailleurs, comme pour d’autres cultes traditionnels, le vaudou a été diabolisé par les missionnaires et les Églises chrétiennes, principalement catholiques, dans la région. Aujourd’hui encore, le culte reste au cœur de compromis et de dynamiques identitaires, en lien avec l’histoire du système esclavagiste fon.</w:t>
      </w:r>
    </w:p>
    <w:p w:rsidR="006C153E" w:rsidRPr="006C153E" w:rsidRDefault="006C153E" w:rsidP="006C153E">
      <w:pPr>
        <w:spacing w:after="0" w:line="240" w:lineRule="auto"/>
        <w:rPr>
          <w:rFonts w:ascii="Times New Roman" w:eastAsia="Times New Roman" w:hAnsi="Times New Roman" w:cs="Times New Roman"/>
          <w:sz w:val="24"/>
          <w:szCs w:val="24"/>
          <w:lang w:eastAsia="fr-FR"/>
        </w:rPr>
      </w:pPr>
    </w:p>
    <w:p w:rsidR="006C153E" w:rsidRPr="006C153E" w:rsidRDefault="006C153E" w:rsidP="006C153E">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153E">
        <w:rPr>
          <w:rFonts w:ascii="Times New Roman" w:eastAsia="Times New Roman" w:hAnsi="Times New Roman" w:cs="Times New Roman"/>
          <w:b/>
          <w:bCs/>
          <w:sz w:val="36"/>
          <w:szCs w:val="36"/>
          <w:lang w:eastAsia="fr-FR"/>
        </w:rPr>
        <w:t>Musée historique d’Abomey</w:t>
      </w:r>
    </w:p>
    <w:p w:rsidR="006C153E" w:rsidRPr="006C153E" w:rsidRDefault="006C153E" w:rsidP="006C153E">
      <w:pPr>
        <w:spacing w:before="100" w:beforeAutospacing="1" w:after="100" w:afterAutospacing="1" w:line="240" w:lineRule="auto"/>
        <w:rPr>
          <w:rFonts w:ascii="Times New Roman" w:eastAsia="Times New Roman" w:hAnsi="Times New Roman" w:cs="Times New Roman"/>
          <w:sz w:val="28"/>
          <w:szCs w:val="28"/>
          <w:lang w:eastAsia="fr-FR"/>
        </w:rPr>
      </w:pPr>
      <w:r w:rsidRPr="006C153E">
        <w:rPr>
          <w:rFonts w:ascii="Times New Roman" w:eastAsia="Times New Roman" w:hAnsi="Times New Roman" w:cs="Times New Roman"/>
          <w:sz w:val="28"/>
          <w:szCs w:val="28"/>
          <w:lang w:eastAsia="fr-FR"/>
        </w:rPr>
        <w:t xml:space="preserve">Le </w:t>
      </w:r>
      <w:r w:rsidRPr="006C153E">
        <w:rPr>
          <w:rFonts w:ascii="Times New Roman" w:eastAsia="Times New Roman" w:hAnsi="Times New Roman" w:cs="Times New Roman"/>
          <w:b/>
          <w:bCs/>
          <w:sz w:val="28"/>
          <w:szCs w:val="28"/>
          <w:lang w:eastAsia="fr-FR"/>
        </w:rPr>
        <w:t>musée historique d’Abomey</w:t>
      </w:r>
      <w:r w:rsidRPr="006C153E">
        <w:rPr>
          <w:rFonts w:ascii="Times New Roman" w:eastAsia="Times New Roman" w:hAnsi="Times New Roman" w:cs="Times New Roman"/>
          <w:sz w:val="28"/>
          <w:szCs w:val="28"/>
          <w:lang w:eastAsia="fr-FR"/>
        </w:rPr>
        <w:t xml:space="preserve">, situé dans l’enceinte des palais royaux, a été conçu pour préserver la mémoire du royaume. Jusqu’à une date récente, ses collections n’avaient jamais fait l’objet d’un inventaire systématique. En 1995, un inventaire a recensé 1 050 objets, comprenant des autels portatifs ou </w:t>
      </w:r>
      <w:proofErr w:type="spellStart"/>
      <w:r w:rsidRPr="006C153E">
        <w:rPr>
          <w:rFonts w:ascii="Times New Roman" w:eastAsia="Times New Roman" w:hAnsi="Times New Roman" w:cs="Times New Roman"/>
          <w:b/>
          <w:bCs/>
          <w:sz w:val="28"/>
          <w:szCs w:val="28"/>
          <w:lang w:eastAsia="fr-FR"/>
        </w:rPr>
        <w:t>assins</w:t>
      </w:r>
      <w:proofErr w:type="spellEnd"/>
      <w:r w:rsidRPr="006C153E">
        <w:rPr>
          <w:rFonts w:ascii="Times New Roman" w:eastAsia="Times New Roman" w:hAnsi="Times New Roman" w:cs="Times New Roman"/>
          <w:sz w:val="28"/>
          <w:szCs w:val="28"/>
          <w:lang w:eastAsia="fr-FR"/>
        </w:rPr>
        <w:t xml:space="preserve"> en métal, des textiles, un siège en bois et d’autres attributs royaux. Ces collections ont été classées en quatre périodes et deux séries, permettant de mieux organiser et comprendre l’histoire matérielle du royaume.</w:t>
      </w:r>
    </w:p>
    <w:p w:rsidR="006C153E" w:rsidRPr="006C153E" w:rsidRDefault="006C153E" w:rsidP="006C153E">
      <w:pPr>
        <w:spacing w:before="100" w:beforeAutospacing="1" w:after="100" w:afterAutospacing="1" w:line="240" w:lineRule="auto"/>
        <w:rPr>
          <w:rFonts w:ascii="Times New Roman" w:eastAsia="Times New Roman" w:hAnsi="Times New Roman" w:cs="Times New Roman"/>
          <w:sz w:val="28"/>
          <w:szCs w:val="28"/>
          <w:lang w:eastAsia="fr-FR"/>
        </w:rPr>
      </w:pPr>
      <w:r w:rsidRPr="006C153E">
        <w:rPr>
          <w:rFonts w:ascii="Times New Roman" w:eastAsia="Times New Roman" w:hAnsi="Times New Roman" w:cs="Times New Roman"/>
          <w:sz w:val="28"/>
          <w:szCs w:val="28"/>
          <w:lang w:eastAsia="fr-FR"/>
        </w:rPr>
        <w:t>Le musée a bénéficié du soutien de partenaires internationaux, notamment l’</w:t>
      </w:r>
      <w:r w:rsidRPr="006C153E">
        <w:rPr>
          <w:rFonts w:ascii="Times New Roman" w:eastAsia="Times New Roman" w:hAnsi="Times New Roman" w:cs="Times New Roman"/>
          <w:b/>
          <w:bCs/>
          <w:sz w:val="28"/>
          <w:szCs w:val="28"/>
          <w:lang w:eastAsia="fr-FR"/>
        </w:rPr>
        <w:t>ICCROM</w:t>
      </w:r>
      <w:r w:rsidRPr="006C153E">
        <w:rPr>
          <w:rFonts w:ascii="Times New Roman" w:eastAsia="Times New Roman" w:hAnsi="Times New Roman" w:cs="Times New Roman"/>
          <w:sz w:val="28"/>
          <w:szCs w:val="28"/>
          <w:lang w:eastAsia="fr-FR"/>
        </w:rPr>
        <w:t xml:space="preserve"> (Centre international d'études pour la conservation et la restauration des biens culturels), dans le cadre du programme PREMA mené avec le ministère italien des Affaires étrangères et l’</w:t>
      </w:r>
      <w:r w:rsidRPr="006C153E">
        <w:rPr>
          <w:rFonts w:ascii="Times New Roman" w:eastAsia="Times New Roman" w:hAnsi="Times New Roman" w:cs="Times New Roman"/>
          <w:b/>
          <w:bCs/>
          <w:sz w:val="28"/>
          <w:szCs w:val="28"/>
          <w:lang w:eastAsia="fr-FR"/>
        </w:rPr>
        <w:t xml:space="preserve">Institute Getty de Conservation </w:t>
      </w:r>
      <w:r w:rsidRPr="006C153E">
        <w:rPr>
          <w:rFonts w:ascii="Times New Roman" w:eastAsia="Times New Roman" w:hAnsi="Times New Roman" w:cs="Times New Roman"/>
          <w:b/>
          <w:bCs/>
          <w:sz w:val="28"/>
          <w:szCs w:val="28"/>
          <w:lang w:eastAsia="fr-FR"/>
        </w:rPr>
        <w:lastRenderedPageBreak/>
        <w:t>(GCI)</w:t>
      </w:r>
      <w:r w:rsidRPr="006C153E">
        <w:rPr>
          <w:rFonts w:ascii="Times New Roman" w:eastAsia="Times New Roman" w:hAnsi="Times New Roman" w:cs="Times New Roman"/>
          <w:sz w:val="28"/>
          <w:szCs w:val="28"/>
          <w:lang w:eastAsia="fr-FR"/>
        </w:rPr>
        <w:t xml:space="preserve"> dans les années 1990</w:t>
      </w:r>
      <w:r w:rsidRPr="006C153E">
        <w:rPr>
          <w:rFonts w:ascii="Times New Roman" w:eastAsia="Times New Roman" w:hAnsi="Times New Roman" w:cs="Times New Roman"/>
          <w:sz w:val="28"/>
          <w:szCs w:val="28"/>
          <w:lang w:eastAsia="fr-FR"/>
        </w:rPr>
        <w:noBreakHyphen/>
        <w:t>2000. Ces actions visaient à former les techniciens de musées de la sous-région, à améliorer la documentation et la conservation préventive, et à réorganiser l’exposition permanente.</w:t>
      </w:r>
    </w:p>
    <w:p w:rsidR="006C153E" w:rsidRPr="006C153E" w:rsidRDefault="006C153E" w:rsidP="006C153E">
      <w:pPr>
        <w:spacing w:after="0" w:line="240" w:lineRule="auto"/>
        <w:rPr>
          <w:rFonts w:ascii="Times New Roman" w:eastAsia="Times New Roman" w:hAnsi="Times New Roman" w:cs="Times New Roman"/>
          <w:sz w:val="24"/>
          <w:szCs w:val="24"/>
          <w:lang w:eastAsia="fr-FR"/>
        </w:rPr>
      </w:pPr>
    </w:p>
    <w:p w:rsidR="006C153E" w:rsidRPr="006C153E" w:rsidRDefault="006C153E" w:rsidP="006C153E">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153E">
        <w:rPr>
          <w:rFonts w:ascii="Times New Roman" w:eastAsia="Times New Roman" w:hAnsi="Times New Roman" w:cs="Times New Roman"/>
          <w:b/>
          <w:bCs/>
          <w:sz w:val="36"/>
          <w:szCs w:val="36"/>
          <w:lang w:eastAsia="fr-FR"/>
        </w:rPr>
        <w:t>Objets du royaume d’Abomey à l’international</w:t>
      </w:r>
    </w:p>
    <w:p w:rsidR="006C153E" w:rsidRPr="006C153E" w:rsidRDefault="006C153E" w:rsidP="006C153E">
      <w:pPr>
        <w:spacing w:before="100" w:beforeAutospacing="1" w:after="100" w:afterAutospacing="1" w:line="240" w:lineRule="auto"/>
        <w:rPr>
          <w:rFonts w:ascii="Times New Roman" w:eastAsia="Times New Roman" w:hAnsi="Times New Roman" w:cs="Times New Roman"/>
          <w:sz w:val="28"/>
          <w:szCs w:val="28"/>
          <w:lang w:eastAsia="fr-FR"/>
        </w:rPr>
      </w:pPr>
      <w:r w:rsidRPr="006C153E">
        <w:rPr>
          <w:rFonts w:ascii="Times New Roman" w:eastAsia="Times New Roman" w:hAnsi="Times New Roman" w:cs="Times New Roman"/>
          <w:sz w:val="28"/>
          <w:szCs w:val="28"/>
          <w:lang w:eastAsia="fr-FR"/>
        </w:rPr>
        <w:t>Après la chute du roi Béhanzin, certains objets royaux ont été récupérés, dispersés et exposés dans des musées à travers le monde. Parmi eux :</w:t>
      </w:r>
    </w:p>
    <w:p w:rsidR="006C153E" w:rsidRPr="006C153E" w:rsidRDefault="006C153E" w:rsidP="006C153E">
      <w:pPr>
        <w:numPr>
          <w:ilvl w:val="0"/>
          <w:numId w:val="1"/>
        </w:numPr>
        <w:spacing w:before="100" w:beforeAutospacing="1" w:after="100" w:afterAutospacing="1" w:line="240" w:lineRule="auto"/>
        <w:rPr>
          <w:rFonts w:ascii="Times New Roman" w:eastAsia="Times New Roman" w:hAnsi="Times New Roman" w:cs="Times New Roman"/>
          <w:sz w:val="28"/>
          <w:szCs w:val="28"/>
          <w:lang w:eastAsia="fr-FR"/>
        </w:rPr>
      </w:pPr>
      <w:r w:rsidRPr="006C153E">
        <w:rPr>
          <w:rFonts w:ascii="Times New Roman" w:eastAsia="Times New Roman" w:hAnsi="Times New Roman" w:cs="Times New Roman"/>
          <w:sz w:val="28"/>
          <w:szCs w:val="28"/>
          <w:lang w:eastAsia="fr-FR"/>
        </w:rPr>
        <w:t xml:space="preserve">Le </w:t>
      </w:r>
      <w:r w:rsidRPr="006C153E">
        <w:rPr>
          <w:rFonts w:ascii="Times New Roman" w:eastAsia="Times New Roman" w:hAnsi="Times New Roman" w:cs="Times New Roman"/>
          <w:b/>
          <w:bCs/>
          <w:sz w:val="28"/>
          <w:szCs w:val="28"/>
          <w:lang w:eastAsia="fr-FR"/>
        </w:rPr>
        <w:t>musée du Quai Branly</w:t>
      </w:r>
      <w:r w:rsidRPr="006C153E">
        <w:rPr>
          <w:rFonts w:ascii="Times New Roman" w:eastAsia="Times New Roman" w:hAnsi="Times New Roman" w:cs="Times New Roman"/>
          <w:sz w:val="28"/>
          <w:szCs w:val="28"/>
          <w:lang w:eastAsia="fr-FR"/>
        </w:rPr>
        <w:t>, qui possède des objets acquis lors de l’arrestation de Béhanzin et après sa mort, dont le trône prélevé par le général Dodds.</w:t>
      </w:r>
    </w:p>
    <w:p w:rsidR="006C153E" w:rsidRPr="006C153E" w:rsidRDefault="006C153E" w:rsidP="006C153E">
      <w:pPr>
        <w:numPr>
          <w:ilvl w:val="0"/>
          <w:numId w:val="1"/>
        </w:numPr>
        <w:spacing w:before="100" w:beforeAutospacing="1" w:after="100" w:afterAutospacing="1" w:line="240" w:lineRule="auto"/>
        <w:rPr>
          <w:rFonts w:ascii="Times New Roman" w:eastAsia="Times New Roman" w:hAnsi="Times New Roman" w:cs="Times New Roman"/>
          <w:sz w:val="28"/>
          <w:szCs w:val="28"/>
          <w:lang w:eastAsia="fr-FR"/>
        </w:rPr>
      </w:pPr>
      <w:r w:rsidRPr="006C153E">
        <w:rPr>
          <w:rFonts w:ascii="Times New Roman" w:eastAsia="Times New Roman" w:hAnsi="Times New Roman" w:cs="Times New Roman"/>
          <w:sz w:val="28"/>
          <w:szCs w:val="28"/>
          <w:lang w:eastAsia="fr-FR"/>
        </w:rPr>
        <w:t xml:space="preserve">Le </w:t>
      </w:r>
      <w:r w:rsidRPr="006C153E">
        <w:rPr>
          <w:rFonts w:ascii="Times New Roman" w:eastAsia="Times New Roman" w:hAnsi="Times New Roman" w:cs="Times New Roman"/>
          <w:b/>
          <w:bCs/>
          <w:sz w:val="28"/>
          <w:szCs w:val="28"/>
          <w:lang w:eastAsia="fr-FR"/>
        </w:rPr>
        <w:t>musée du Trocadéro</w:t>
      </w:r>
      <w:r w:rsidRPr="006C153E">
        <w:rPr>
          <w:rFonts w:ascii="Times New Roman" w:eastAsia="Times New Roman" w:hAnsi="Times New Roman" w:cs="Times New Roman"/>
          <w:sz w:val="28"/>
          <w:szCs w:val="28"/>
          <w:lang w:eastAsia="fr-FR"/>
        </w:rPr>
        <w:t xml:space="preserve">, où Édouard </w:t>
      </w:r>
      <w:proofErr w:type="spellStart"/>
      <w:r w:rsidRPr="006C153E">
        <w:rPr>
          <w:rFonts w:ascii="Times New Roman" w:eastAsia="Times New Roman" w:hAnsi="Times New Roman" w:cs="Times New Roman"/>
          <w:sz w:val="28"/>
          <w:szCs w:val="28"/>
          <w:lang w:eastAsia="fr-FR"/>
        </w:rPr>
        <w:t>Foà</w:t>
      </w:r>
      <w:proofErr w:type="spellEnd"/>
      <w:r w:rsidRPr="006C153E">
        <w:rPr>
          <w:rFonts w:ascii="Times New Roman" w:eastAsia="Times New Roman" w:hAnsi="Times New Roman" w:cs="Times New Roman"/>
          <w:sz w:val="28"/>
          <w:szCs w:val="28"/>
          <w:lang w:eastAsia="fr-FR"/>
        </w:rPr>
        <w:t xml:space="preserve"> fit don d’objets et où Georges </w:t>
      </w:r>
      <w:proofErr w:type="spellStart"/>
      <w:r w:rsidRPr="006C153E">
        <w:rPr>
          <w:rFonts w:ascii="Times New Roman" w:eastAsia="Times New Roman" w:hAnsi="Times New Roman" w:cs="Times New Roman"/>
          <w:sz w:val="28"/>
          <w:szCs w:val="28"/>
          <w:lang w:eastAsia="fr-FR"/>
        </w:rPr>
        <w:t>Waterlot</w:t>
      </w:r>
      <w:proofErr w:type="spellEnd"/>
      <w:r w:rsidRPr="006C153E">
        <w:rPr>
          <w:rFonts w:ascii="Times New Roman" w:eastAsia="Times New Roman" w:hAnsi="Times New Roman" w:cs="Times New Roman"/>
          <w:sz w:val="28"/>
          <w:szCs w:val="28"/>
          <w:lang w:eastAsia="fr-FR"/>
        </w:rPr>
        <w:t xml:space="preserve"> exposa une collection de moulages. Ces moulages furent présentés dans l’escalier de l’aile Passy et pour partie conservés dans les murs du sous-sol du musée.</w:t>
      </w:r>
    </w:p>
    <w:p w:rsidR="006C153E" w:rsidRPr="006C153E" w:rsidRDefault="006C153E" w:rsidP="006C153E">
      <w:pPr>
        <w:spacing w:before="100" w:beforeAutospacing="1" w:after="100" w:afterAutospacing="1" w:line="240" w:lineRule="auto"/>
        <w:rPr>
          <w:rFonts w:ascii="Times New Roman" w:eastAsia="Times New Roman" w:hAnsi="Times New Roman" w:cs="Times New Roman"/>
          <w:sz w:val="28"/>
          <w:szCs w:val="28"/>
          <w:lang w:eastAsia="fr-FR"/>
        </w:rPr>
      </w:pPr>
      <w:r w:rsidRPr="006C153E">
        <w:rPr>
          <w:rFonts w:ascii="Times New Roman" w:eastAsia="Times New Roman" w:hAnsi="Times New Roman" w:cs="Times New Roman"/>
          <w:sz w:val="28"/>
          <w:szCs w:val="28"/>
          <w:lang w:eastAsia="fr-FR"/>
        </w:rPr>
        <w:t>En tout, une trentaine d’objets provenant du palais du roi Béhanzin témoignent de sa suprématie et de son pouvoir à l’époque.</w:t>
      </w:r>
    </w:p>
    <w:p w:rsidR="006C153E" w:rsidRPr="006C153E" w:rsidRDefault="006C153E" w:rsidP="006C153E">
      <w:pPr>
        <w:spacing w:after="0" w:line="240" w:lineRule="auto"/>
        <w:rPr>
          <w:rFonts w:ascii="Times New Roman" w:eastAsia="Times New Roman" w:hAnsi="Times New Roman" w:cs="Times New Roman"/>
          <w:sz w:val="24"/>
          <w:szCs w:val="24"/>
          <w:lang w:eastAsia="fr-FR"/>
        </w:rPr>
      </w:pPr>
    </w:p>
    <w:p w:rsidR="006C153E" w:rsidRPr="006C153E" w:rsidRDefault="006C153E" w:rsidP="006C153E">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153E">
        <w:rPr>
          <w:rFonts w:ascii="Times New Roman" w:eastAsia="Times New Roman" w:hAnsi="Times New Roman" w:cs="Times New Roman"/>
          <w:b/>
          <w:bCs/>
          <w:sz w:val="36"/>
          <w:szCs w:val="36"/>
          <w:lang w:eastAsia="fr-FR"/>
        </w:rPr>
        <w:t>Palais et sites royaux</w:t>
      </w:r>
    </w:p>
    <w:p w:rsidR="006C153E" w:rsidRPr="006C153E" w:rsidRDefault="006C153E" w:rsidP="006C153E">
      <w:pPr>
        <w:spacing w:before="100" w:beforeAutospacing="1" w:after="100" w:afterAutospacing="1" w:line="240" w:lineRule="auto"/>
        <w:rPr>
          <w:rFonts w:ascii="Times New Roman" w:eastAsia="Times New Roman" w:hAnsi="Times New Roman" w:cs="Times New Roman"/>
          <w:sz w:val="28"/>
          <w:szCs w:val="28"/>
          <w:lang w:eastAsia="fr-FR"/>
        </w:rPr>
      </w:pPr>
      <w:r w:rsidRPr="006C153E">
        <w:rPr>
          <w:rFonts w:ascii="Times New Roman" w:eastAsia="Times New Roman" w:hAnsi="Times New Roman" w:cs="Times New Roman"/>
          <w:sz w:val="28"/>
          <w:szCs w:val="28"/>
          <w:lang w:eastAsia="fr-FR"/>
        </w:rPr>
        <w:t xml:space="preserve">Les </w:t>
      </w:r>
      <w:r w:rsidRPr="006C153E">
        <w:rPr>
          <w:rFonts w:ascii="Times New Roman" w:eastAsia="Times New Roman" w:hAnsi="Times New Roman" w:cs="Times New Roman"/>
          <w:b/>
          <w:bCs/>
          <w:sz w:val="28"/>
          <w:szCs w:val="28"/>
          <w:lang w:eastAsia="fr-FR"/>
        </w:rPr>
        <w:t>palais royaux d’Abomey</w:t>
      </w:r>
      <w:r w:rsidRPr="006C153E">
        <w:rPr>
          <w:rFonts w:ascii="Times New Roman" w:eastAsia="Times New Roman" w:hAnsi="Times New Roman" w:cs="Times New Roman"/>
          <w:sz w:val="28"/>
          <w:szCs w:val="28"/>
          <w:lang w:eastAsia="fr-FR"/>
        </w:rPr>
        <w:t>, inscrits au patrimoine mondial de l’UNESCO en 1985, sont un lieu central de l’histoire, de la culture vivante et du tourisme au Bénin. Le site couvre 47 hectares et comprend dix palais, certains construits côte à côte, d’autres en extension de palais existants.</w:t>
      </w:r>
    </w:p>
    <w:p w:rsidR="006C153E" w:rsidRPr="006C153E" w:rsidRDefault="006C153E" w:rsidP="006C153E">
      <w:pPr>
        <w:spacing w:before="100" w:beforeAutospacing="1" w:after="100" w:afterAutospacing="1" w:line="240" w:lineRule="auto"/>
        <w:rPr>
          <w:rFonts w:ascii="Times New Roman" w:eastAsia="Times New Roman" w:hAnsi="Times New Roman" w:cs="Times New Roman"/>
          <w:sz w:val="28"/>
          <w:szCs w:val="28"/>
          <w:lang w:eastAsia="fr-FR"/>
        </w:rPr>
      </w:pPr>
      <w:r w:rsidRPr="006C153E">
        <w:rPr>
          <w:rFonts w:ascii="Times New Roman" w:eastAsia="Times New Roman" w:hAnsi="Times New Roman" w:cs="Times New Roman"/>
          <w:sz w:val="28"/>
          <w:szCs w:val="28"/>
          <w:lang w:eastAsia="fr-FR"/>
        </w:rPr>
        <w:t xml:space="preserve">Les palais des rois </w:t>
      </w:r>
      <w:proofErr w:type="spellStart"/>
      <w:r w:rsidRPr="006C153E">
        <w:rPr>
          <w:rFonts w:ascii="Times New Roman" w:eastAsia="Times New Roman" w:hAnsi="Times New Roman" w:cs="Times New Roman"/>
          <w:b/>
          <w:bCs/>
          <w:sz w:val="28"/>
          <w:szCs w:val="28"/>
          <w:lang w:eastAsia="fr-FR"/>
        </w:rPr>
        <w:t>Ghézo</w:t>
      </w:r>
      <w:proofErr w:type="spellEnd"/>
      <w:r w:rsidRPr="006C153E">
        <w:rPr>
          <w:rFonts w:ascii="Times New Roman" w:eastAsia="Times New Roman" w:hAnsi="Times New Roman" w:cs="Times New Roman"/>
          <w:sz w:val="28"/>
          <w:szCs w:val="28"/>
          <w:lang w:eastAsia="fr-FR"/>
        </w:rPr>
        <w:t xml:space="preserve"> et </w:t>
      </w:r>
      <w:proofErr w:type="spellStart"/>
      <w:r w:rsidRPr="006C153E">
        <w:rPr>
          <w:rFonts w:ascii="Times New Roman" w:eastAsia="Times New Roman" w:hAnsi="Times New Roman" w:cs="Times New Roman"/>
          <w:b/>
          <w:bCs/>
          <w:sz w:val="28"/>
          <w:szCs w:val="28"/>
          <w:lang w:eastAsia="fr-FR"/>
        </w:rPr>
        <w:t>Glèlè</w:t>
      </w:r>
      <w:proofErr w:type="spellEnd"/>
      <w:r w:rsidRPr="006C153E">
        <w:rPr>
          <w:rFonts w:ascii="Times New Roman" w:eastAsia="Times New Roman" w:hAnsi="Times New Roman" w:cs="Times New Roman"/>
          <w:sz w:val="28"/>
          <w:szCs w:val="28"/>
          <w:lang w:eastAsia="fr-FR"/>
        </w:rPr>
        <w:t xml:space="preserve"> abritent aujourd’hui le musée historique, où l’on peut voir des sièges royaux, des bas-reliefs, des statuettes et des objets cultuels vaudous. L’organisation spatiale des palais témoigne de la hiérarchie et des pratiques royales : chaque palais est structuré autour de cours destinées à des cérémonies spécifiques et à des rituels d’intronisation.</w:t>
      </w:r>
    </w:p>
    <w:p w:rsidR="006C153E" w:rsidRDefault="006C153E" w:rsidP="006C153E">
      <w:pPr>
        <w:spacing w:before="100" w:beforeAutospacing="1" w:after="100" w:afterAutospacing="1" w:line="240" w:lineRule="auto"/>
        <w:rPr>
          <w:rFonts w:ascii="Times New Roman" w:eastAsia="Times New Roman" w:hAnsi="Times New Roman" w:cs="Times New Roman"/>
          <w:sz w:val="28"/>
          <w:szCs w:val="28"/>
          <w:lang w:eastAsia="fr-FR"/>
        </w:rPr>
      </w:pPr>
      <w:r w:rsidRPr="006C153E">
        <w:rPr>
          <w:rFonts w:ascii="Times New Roman" w:eastAsia="Times New Roman" w:hAnsi="Times New Roman" w:cs="Times New Roman"/>
          <w:sz w:val="28"/>
          <w:szCs w:val="28"/>
          <w:lang w:eastAsia="fr-FR"/>
        </w:rPr>
        <w:t xml:space="preserve">Ces palais, vestiges d’un passé glorieux sur les plans politique, économique et religieux, permettent de comprendre l’importance et la puissance du royaume d’Abomey. Leur architecture, les rites et les cérémonies qui y sont encore pratiqués constituent des </w:t>
      </w:r>
      <w:r w:rsidRPr="006C153E">
        <w:rPr>
          <w:rFonts w:ascii="Times New Roman" w:eastAsia="Times New Roman" w:hAnsi="Times New Roman" w:cs="Times New Roman"/>
          <w:b/>
          <w:bCs/>
          <w:sz w:val="28"/>
          <w:szCs w:val="28"/>
          <w:lang w:eastAsia="fr-FR"/>
        </w:rPr>
        <w:t>témoins vivants</w:t>
      </w:r>
      <w:r w:rsidRPr="006C153E">
        <w:rPr>
          <w:rFonts w:ascii="Times New Roman" w:eastAsia="Times New Roman" w:hAnsi="Times New Roman" w:cs="Times New Roman"/>
          <w:sz w:val="28"/>
          <w:szCs w:val="28"/>
          <w:lang w:eastAsia="fr-FR"/>
        </w:rPr>
        <w:t xml:space="preserve"> de la culture et de l’histoire de la région.</w:t>
      </w:r>
    </w:p>
    <w:p w:rsidR="00793257" w:rsidRDefault="00793257" w:rsidP="006C153E">
      <w:pPr>
        <w:spacing w:before="100" w:beforeAutospacing="1" w:after="100" w:afterAutospacing="1" w:line="240" w:lineRule="auto"/>
        <w:rPr>
          <w:rFonts w:ascii="Times New Roman" w:eastAsia="Times New Roman" w:hAnsi="Times New Roman" w:cs="Times New Roman"/>
          <w:sz w:val="28"/>
          <w:szCs w:val="28"/>
          <w:lang w:eastAsia="fr-FR"/>
        </w:rPr>
      </w:pPr>
    </w:p>
    <w:p w:rsidR="00351BDF" w:rsidRDefault="00351BDF" w:rsidP="00351BD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05663">
        <w:rPr>
          <w:rFonts w:ascii="Times New Roman" w:eastAsia="Times New Roman" w:hAnsi="Times New Roman" w:cs="Times New Roman"/>
          <w:b/>
          <w:bCs/>
          <w:sz w:val="27"/>
          <w:szCs w:val="27"/>
          <w:lang w:eastAsia="fr-FR"/>
        </w:rPr>
        <w:lastRenderedPageBreak/>
        <w:t>Sources et références</w:t>
      </w:r>
    </w:p>
    <w:p w:rsidR="00351BDF" w:rsidRPr="00B61C61" w:rsidRDefault="00351BDF" w:rsidP="00351BDF">
      <w:pPr>
        <w:pStyle w:val="Paragraphedeliste"/>
        <w:numPr>
          <w:ilvl w:val="0"/>
          <w:numId w:val="2"/>
        </w:numPr>
        <w:shd w:val="clear" w:color="auto" w:fill="FFFFFF"/>
        <w:spacing w:before="120" w:after="240" w:line="240" w:lineRule="auto"/>
        <w:rPr>
          <w:rStyle w:val="Lienhypertexte"/>
          <w:rFonts w:ascii="Arial" w:eastAsia="Times New Roman" w:hAnsi="Arial" w:cs="Arial"/>
          <w:sz w:val="24"/>
          <w:szCs w:val="24"/>
          <w:lang w:eastAsia="fr-FR"/>
        </w:rPr>
      </w:pPr>
      <w:r w:rsidRPr="00B61C61">
        <w:rPr>
          <w:rFonts w:ascii="Times New Roman" w:eastAsia="Times New Roman" w:hAnsi="Times New Roman" w:cs="Times New Roman"/>
          <w:color w:val="000000" w:themeColor="text1"/>
          <w:sz w:val="24"/>
          <w:szCs w:val="24"/>
          <w:lang w:eastAsia="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w:t>
      </w:r>
      <w:r w:rsidRPr="00B61C61">
        <w:rPr>
          <w:rFonts w:ascii="Times New Roman" w:eastAsia="Times New Roman" w:hAnsi="Times New Roman" w:cs="Times New Roman"/>
          <w:sz w:val="24"/>
          <w:szCs w:val="24"/>
          <w:lang w:eastAsia="fr-FR"/>
        </w:rPr>
        <w:t>kipédia (FR) —</w:t>
      </w:r>
      <w:r w:rsidRPr="00B61C61">
        <w:rPr>
          <w:rFonts w:ascii="Times New Roman" w:eastAsia="Times New Roman" w:hAnsi="Times New Roman" w:cs="Times New Roman"/>
          <w:color w:val="000000" w:themeColor="text1"/>
          <w:sz w:val="24"/>
          <w:szCs w:val="24"/>
          <w:lang w:eastAsia="fr-FR"/>
        </w:rPr>
        <w:t xml:space="preserve"> </w:t>
      </w:r>
      <w:r>
        <w:t>Abomey</w:t>
      </w:r>
      <w:r w:rsidRPr="00B61C61">
        <w:rPr>
          <w:rFonts w:ascii="Times New Roman" w:eastAsia="Times New Roman" w:hAnsi="Times New Roman" w:cs="Times New Roman"/>
          <w:sz w:val="24"/>
          <w:szCs w:val="24"/>
          <w:lang w:eastAsia="fr-FR"/>
        </w:rPr>
        <w:t>,</w:t>
      </w:r>
      <w:r w:rsidRPr="00B61C61">
        <w:rPr>
          <w:rFonts w:ascii="Arial" w:eastAsia="Times New Roman" w:hAnsi="Arial" w:cs="Arial"/>
          <w:color w:val="202122"/>
          <w:sz w:val="24"/>
          <w:szCs w:val="24"/>
          <w:lang w:eastAsia="fr-FR"/>
        </w:rPr>
        <w:t xml:space="preserve"> </w:t>
      </w:r>
      <w:hyperlink r:id="rId5" w:history="1">
        <w:r w:rsidRPr="00B61C61">
          <w:rPr>
            <w:rStyle w:val="Lienhypertexte"/>
            <w:rFonts w:ascii="Arial" w:eastAsia="Times New Roman" w:hAnsi="Arial" w:cs="Arial"/>
            <w:sz w:val="24"/>
            <w:szCs w:val="24"/>
            <w:lang w:eastAsia="fr-FR"/>
          </w:rPr>
          <w:t>https://fr.wikipedia.org/wiki/Abomey</w:t>
        </w:r>
      </w:hyperlink>
      <w:r w:rsidRPr="00B61C61">
        <w:rPr>
          <w:rFonts w:ascii="Arial" w:eastAsia="Times New Roman" w:hAnsi="Arial" w:cs="Arial"/>
          <w:color w:val="202122"/>
          <w:sz w:val="24"/>
          <w:szCs w:val="24"/>
          <w:lang w:eastAsia="fr-FR"/>
        </w:rPr>
        <w:t xml:space="preserve"> </w:t>
      </w:r>
    </w:p>
    <w:p w:rsidR="00793257" w:rsidRPr="006C153E" w:rsidRDefault="00793257" w:rsidP="006C153E">
      <w:pPr>
        <w:spacing w:before="100" w:beforeAutospacing="1" w:after="100" w:afterAutospacing="1" w:line="240" w:lineRule="auto"/>
        <w:rPr>
          <w:rFonts w:ascii="Times New Roman" w:eastAsia="Times New Roman" w:hAnsi="Times New Roman" w:cs="Times New Roman"/>
          <w:sz w:val="28"/>
          <w:szCs w:val="28"/>
          <w:lang w:eastAsia="fr-FR"/>
        </w:rPr>
      </w:pPr>
      <w:bookmarkStart w:id="0" w:name="_GoBack"/>
      <w:bookmarkEnd w:id="0"/>
    </w:p>
    <w:p w:rsidR="00450F41" w:rsidRPr="004441FA" w:rsidRDefault="00450F41">
      <w:pPr>
        <w:rPr>
          <w:color w:val="000000" w:themeColor="text1"/>
        </w:rPr>
      </w:pPr>
    </w:p>
    <w:sectPr w:rsidR="00450F41" w:rsidRPr="004441F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22D7682"/>
    <w:multiLevelType w:val="multilevel"/>
    <w:tmpl w:val="46EE8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665C67"/>
    <w:multiLevelType w:val="hybridMultilevel"/>
    <w:tmpl w:val="3488CD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2B46"/>
    <w:rsid w:val="00032B46"/>
    <w:rsid w:val="00351BDF"/>
    <w:rsid w:val="004441FA"/>
    <w:rsid w:val="00450F41"/>
    <w:rsid w:val="006C153E"/>
    <w:rsid w:val="0079325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77354D-6F6D-4E38-97F8-8262500EA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441FA"/>
  </w:style>
  <w:style w:type="paragraph" w:styleId="Titre1">
    <w:name w:val="heading 1"/>
    <w:basedOn w:val="Normal"/>
    <w:link w:val="Titre1Car"/>
    <w:uiPriority w:val="9"/>
    <w:qFormat/>
    <w:rsid w:val="006C153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6C153E"/>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C153E"/>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6C153E"/>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6C153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6C153E"/>
    <w:rPr>
      <w:b/>
      <w:bCs/>
    </w:rPr>
  </w:style>
  <w:style w:type="character" w:styleId="Lienhypertexte">
    <w:name w:val="Hyperlink"/>
    <w:basedOn w:val="Policepardfaut"/>
    <w:uiPriority w:val="99"/>
    <w:unhideWhenUsed/>
    <w:rsid w:val="00793257"/>
    <w:rPr>
      <w:color w:val="0000FF"/>
      <w:u w:val="single"/>
    </w:rPr>
  </w:style>
  <w:style w:type="character" w:styleId="Lienhypertextesuivivisit">
    <w:name w:val="FollowedHyperlink"/>
    <w:basedOn w:val="Policepardfaut"/>
    <w:uiPriority w:val="99"/>
    <w:semiHidden/>
    <w:unhideWhenUsed/>
    <w:rsid w:val="00793257"/>
    <w:rPr>
      <w:color w:val="954F72" w:themeColor="followedHyperlink"/>
      <w:u w:val="single"/>
    </w:rPr>
  </w:style>
  <w:style w:type="paragraph" w:styleId="Paragraphedeliste">
    <w:name w:val="List Paragraph"/>
    <w:basedOn w:val="Normal"/>
    <w:uiPriority w:val="34"/>
    <w:qFormat/>
    <w:rsid w:val="00351B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1933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fr.wikipedia.org/wiki/Abomey"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3</Pages>
  <Words>684</Words>
  <Characters>3768</Characters>
  <Application>Microsoft Office Word</Application>
  <DocSecurity>0</DocSecurity>
  <Lines>31</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4444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2025-12-01T10:51:00Z</dcterms:created>
  <dcterms:modified xsi:type="dcterms:W3CDTF">2025-12-02T11:11:00Z</dcterms:modified>
</cp:coreProperties>
</file>