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7FB8" w:rsidRPr="00507FB8" w:rsidRDefault="00507FB8" w:rsidP="00507FB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roofErr w:type="spellStart"/>
      <w:r w:rsidRPr="00507FB8">
        <w:rPr>
          <w:rFonts w:ascii="Times New Roman" w:eastAsia="Times New Roman" w:hAnsi="Times New Roman" w:cs="Times New Roman"/>
          <w:b/>
          <w:bCs/>
          <w:kern w:val="36"/>
          <w:sz w:val="48"/>
          <w:szCs w:val="48"/>
          <w:lang w:eastAsia="fr-FR"/>
        </w:rPr>
        <w:t>Tegbessou</w:t>
      </w:r>
      <w:proofErr w:type="spellEnd"/>
      <w:r w:rsidRPr="00507FB8">
        <w:rPr>
          <w:rFonts w:ascii="Times New Roman" w:eastAsia="Times New Roman" w:hAnsi="Times New Roman" w:cs="Times New Roman"/>
          <w:b/>
          <w:bCs/>
          <w:kern w:val="36"/>
          <w:sz w:val="48"/>
          <w:szCs w:val="48"/>
          <w:lang w:eastAsia="fr-FR"/>
        </w:rPr>
        <w:t xml:space="preserve"> (1732/1740 – 1774)</w:t>
      </w:r>
    </w:p>
    <w:p w:rsidR="00507FB8" w:rsidRPr="00507FB8" w:rsidRDefault="00507FB8" w:rsidP="00507FB8">
      <w:pPr>
        <w:spacing w:before="100" w:beforeAutospacing="1" w:after="100" w:afterAutospacing="1" w:line="240" w:lineRule="auto"/>
        <w:rPr>
          <w:rFonts w:ascii="Times New Roman" w:eastAsia="Times New Roman" w:hAnsi="Times New Roman" w:cs="Times New Roman"/>
          <w:sz w:val="24"/>
          <w:szCs w:val="24"/>
          <w:lang w:eastAsia="fr-FR"/>
        </w:rPr>
      </w:pPr>
      <w:r w:rsidRPr="00507FB8">
        <w:rPr>
          <w:rFonts w:ascii="Times New Roman" w:eastAsia="Times New Roman" w:hAnsi="Times New Roman" w:cs="Times New Roman"/>
          <w:sz w:val="24"/>
          <w:szCs w:val="24"/>
          <w:lang w:eastAsia="fr-FR"/>
        </w:rPr>
        <w:t>Sixième roi d’Abomey — Consolidateur du pouvoir royal sur la côte</w:t>
      </w:r>
    </w:p>
    <w:p w:rsidR="00507FB8" w:rsidRPr="00507FB8" w:rsidRDefault="00507FB8" w:rsidP="00507FB8">
      <w:pPr>
        <w:spacing w:after="0" w:line="240" w:lineRule="auto"/>
        <w:rPr>
          <w:rFonts w:ascii="Times New Roman" w:eastAsia="Times New Roman" w:hAnsi="Times New Roman" w:cs="Times New Roman"/>
          <w:sz w:val="24"/>
          <w:szCs w:val="24"/>
          <w:lang w:eastAsia="fr-FR"/>
        </w:rPr>
      </w:pPr>
    </w:p>
    <w:p w:rsidR="00507FB8" w:rsidRPr="00507FB8" w:rsidRDefault="00507FB8" w:rsidP="00507FB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07FB8">
        <w:rPr>
          <w:rFonts w:ascii="Times New Roman" w:eastAsia="Times New Roman" w:hAnsi="Times New Roman" w:cs="Times New Roman"/>
          <w:b/>
          <w:bCs/>
          <w:sz w:val="36"/>
          <w:szCs w:val="36"/>
          <w:lang w:eastAsia="fr-FR"/>
        </w:rPr>
        <w:t>1. Résumé</w:t>
      </w:r>
    </w:p>
    <w:p w:rsidR="00507FB8" w:rsidRPr="00507FB8" w:rsidRDefault="00507FB8" w:rsidP="00507FB8">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507FB8">
        <w:rPr>
          <w:rFonts w:ascii="Times New Roman" w:eastAsia="Times New Roman" w:hAnsi="Times New Roman" w:cs="Times New Roman"/>
          <w:sz w:val="24"/>
          <w:szCs w:val="24"/>
          <w:lang w:eastAsia="fr-FR"/>
        </w:rPr>
        <w:t>Tegbessou</w:t>
      </w:r>
      <w:proofErr w:type="spellEnd"/>
      <w:r w:rsidRPr="00507FB8">
        <w:rPr>
          <w:rFonts w:ascii="Times New Roman" w:eastAsia="Times New Roman" w:hAnsi="Times New Roman" w:cs="Times New Roman"/>
          <w:sz w:val="24"/>
          <w:szCs w:val="24"/>
          <w:lang w:eastAsia="fr-FR"/>
        </w:rPr>
        <w:t xml:space="preserve"> — parfois orthographié </w:t>
      </w:r>
      <w:proofErr w:type="spellStart"/>
      <w:r w:rsidRPr="00507FB8">
        <w:rPr>
          <w:rFonts w:ascii="Times New Roman" w:eastAsia="Times New Roman" w:hAnsi="Times New Roman" w:cs="Times New Roman"/>
          <w:sz w:val="24"/>
          <w:szCs w:val="24"/>
          <w:lang w:eastAsia="fr-FR"/>
        </w:rPr>
        <w:t>Tegbesu</w:t>
      </w:r>
      <w:proofErr w:type="spellEnd"/>
      <w:r w:rsidRPr="00507FB8">
        <w:rPr>
          <w:rFonts w:ascii="Times New Roman" w:eastAsia="Times New Roman" w:hAnsi="Times New Roman" w:cs="Times New Roman"/>
          <w:sz w:val="24"/>
          <w:szCs w:val="24"/>
          <w:lang w:eastAsia="fr-FR"/>
        </w:rPr>
        <w:t xml:space="preserve"> — est traditionnellement considéré comme le sixième roi d’Abomey, successeur du roi </w:t>
      </w:r>
      <w:proofErr w:type="spellStart"/>
      <w:r w:rsidRPr="00507FB8">
        <w:rPr>
          <w:rFonts w:ascii="Times New Roman" w:eastAsia="Times New Roman" w:hAnsi="Times New Roman" w:cs="Times New Roman"/>
          <w:sz w:val="24"/>
          <w:szCs w:val="24"/>
          <w:lang w:eastAsia="fr-FR"/>
        </w:rPr>
        <w:t>Agadja</w:t>
      </w:r>
      <w:proofErr w:type="spellEnd"/>
      <w:r w:rsidRPr="00507FB8">
        <w:rPr>
          <w:rFonts w:ascii="Times New Roman" w:eastAsia="Times New Roman" w:hAnsi="Times New Roman" w:cs="Times New Roman"/>
          <w:sz w:val="24"/>
          <w:szCs w:val="24"/>
          <w:lang w:eastAsia="fr-FR"/>
        </w:rPr>
        <w:t>. Il accède au trône soit en 1732, soit plus probablement en 1740, et règne jusqu’à sa mort en 1774. Héritier d’un royaume récemment étendu vers la côte, il consolide le contrôle du Dahomey sur cette zone stratégique. Son règne est également marqué par des traditions funéraires impressionnantes : à sa mort, des centaines de ses épouses se seraient sacrifiées pour l’accompagner dans l’au-delà. Son symbole est le buffle paré d’une tunique, associé au proverbe : « Un buffle habillé est difficile à déshabiller ».</w:t>
      </w:r>
    </w:p>
    <w:p w:rsidR="00507FB8" w:rsidRPr="00507FB8" w:rsidRDefault="00507FB8" w:rsidP="00507FB8">
      <w:pPr>
        <w:spacing w:after="0" w:line="240" w:lineRule="auto"/>
        <w:rPr>
          <w:rFonts w:ascii="Times New Roman" w:eastAsia="Times New Roman" w:hAnsi="Times New Roman" w:cs="Times New Roman"/>
          <w:sz w:val="24"/>
          <w:szCs w:val="24"/>
          <w:lang w:eastAsia="fr-FR"/>
        </w:rPr>
      </w:pPr>
    </w:p>
    <w:p w:rsidR="00507FB8" w:rsidRPr="00507FB8" w:rsidRDefault="00507FB8" w:rsidP="00507FB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07FB8">
        <w:rPr>
          <w:rFonts w:ascii="Times New Roman" w:eastAsia="Times New Roman" w:hAnsi="Times New Roman" w:cs="Times New Roman"/>
          <w:b/>
          <w:bCs/>
          <w:sz w:val="36"/>
          <w:szCs w:val="36"/>
          <w:lang w:eastAsia="fr-FR"/>
        </w:rPr>
        <w:t>2. Biographie complète</w:t>
      </w:r>
    </w:p>
    <w:p w:rsidR="00507FB8" w:rsidRPr="00507FB8" w:rsidRDefault="00507FB8" w:rsidP="00507FB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07FB8">
        <w:rPr>
          <w:rFonts w:ascii="Times New Roman" w:eastAsia="Times New Roman" w:hAnsi="Times New Roman" w:cs="Times New Roman"/>
          <w:b/>
          <w:bCs/>
          <w:sz w:val="27"/>
          <w:szCs w:val="27"/>
          <w:lang w:eastAsia="fr-FR"/>
        </w:rPr>
        <w:t>Origines et accession au trône</w:t>
      </w:r>
    </w:p>
    <w:p w:rsidR="00507FB8" w:rsidRPr="00507FB8" w:rsidRDefault="00507FB8" w:rsidP="00507FB8">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507FB8">
        <w:rPr>
          <w:rFonts w:ascii="Times New Roman" w:eastAsia="Times New Roman" w:hAnsi="Times New Roman" w:cs="Times New Roman"/>
          <w:sz w:val="24"/>
          <w:szCs w:val="24"/>
          <w:lang w:eastAsia="fr-FR"/>
        </w:rPr>
        <w:t>Tegbessou</w:t>
      </w:r>
      <w:proofErr w:type="spellEnd"/>
      <w:r w:rsidRPr="00507FB8">
        <w:rPr>
          <w:rFonts w:ascii="Times New Roman" w:eastAsia="Times New Roman" w:hAnsi="Times New Roman" w:cs="Times New Roman"/>
          <w:sz w:val="24"/>
          <w:szCs w:val="24"/>
          <w:lang w:eastAsia="fr-FR"/>
        </w:rPr>
        <w:t xml:space="preserve"> est le fils du roi </w:t>
      </w:r>
      <w:proofErr w:type="spellStart"/>
      <w:r w:rsidRPr="00507FB8">
        <w:rPr>
          <w:rFonts w:ascii="Times New Roman" w:eastAsia="Times New Roman" w:hAnsi="Times New Roman" w:cs="Times New Roman"/>
          <w:sz w:val="24"/>
          <w:szCs w:val="24"/>
          <w:lang w:eastAsia="fr-FR"/>
        </w:rPr>
        <w:t>Agadja</w:t>
      </w:r>
      <w:proofErr w:type="spellEnd"/>
      <w:r w:rsidRPr="00507FB8">
        <w:rPr>
          <w:rFonts w:ascii="Times New Roman" w:eastAsia="Times New Roman" w:hAnsi="Times New Roman" w:cs="Times New Roman"/>
          <w:sz w:val="24"/>
          <w:szCs w:val="24"/>
          <w:lang w:eastAsia="fr-FR"/>
        </w:rPr>
        <w:t xml:space="preserve">. Il accède au trône après la mort de son père, même si les sources varient concernant la date exacte du début de son règne : certaines traditions évoquent </w:t>
      </w:r>
      <w:r w:rsidRPr="00507FB8">
        <w:rPr>
          <w:rFonts w:ascii="Times New Roman" w:eastAsia="Times New Roman" w:hAnsi="Times New Roman" w:cs="Times New Roman"/>
          <w:b/>
          <w:bCs/>
          <w:sz w:val="24"/>
          <w:szCs w:val="24"/>
          <w:lang w:eastAsia="fr-FR"/>
        </w:rPr>
        <w:t>1732</w:t>
      </w:r>
      <w:r w:rsidRPr="00507FB8">
        <w:rPr>
          <w:rFonts w:ascii="Times New Roman" w:eastAsia="Times New Roman" w:hAnsi="Times New Roman" w:cs="Times New Roman"/>
          <w:sz w:val="24"/>
          <w:szCs w:val="24"/>
          <w:lang w:eastAsia="fr-FR"/>
        </w:rPr>
        <w:t xml:space="preserve">, tandis que d’autres retiennent </w:t>
      </w:r>
      <w:r w:rsidRPr="00507FB8">
        <w:rPr>
          <w:rFonts w:ascii="Times New Roman" w:eastAsia="Times New Roman" w:hAnsi="Times New Roman" w:cs="Times New Roman"/>
          <w:b/>
          <w:bCs/>
          <w:sz w:val="24"/>
          <w:szCs w:val="24"/>
          <w:lang w:eastAsia="fr-FR"/>
        </w:rPr>
        <w:t>1740</w:t>
      </w:r>
      <w:r w:rsidRPr="00507FB8">
        <w:rPr>
          <w:rFonts w:ascii="Times New Roman" w:eastAsia="Times New Roman" w:hAnsi="Times New Roman" w:cs="Times New Roman"/>
          <w:sz w:val="24"/>
          <w:szCs w:val="24"/>
          <w:lang w:eastAsia="fr-FR"/>
        </w:rPr>
        <w:t xml:space="preserve">. Il succède directement à </w:t>
      </w:r>
      <w:proofErr w:type="spellStart"/>
      <w:r w:rsidRPr="00507FB8">
        <w:rPr>
          <w:rFonts w:ascii="Times New Roman" w:eastAsia="Times New Roman" w:hAnsi="Times New Roman" w:cs="Times New Roman"/>
          <w:sz w:val="24"/>
          <w:szCs w:val="24"/>
          <w:lang w:eastAsia="fr-FR"/>
        </w:rPr>
        <w:t>Agadja</w:t>
      </w:r>
      <w:proofErr w:type="spellEnd"/>
      <w:r w:rsidRPr="00507FB8">
        <w:rPr>
          <w:rFonts w:ascii="Times New Roman" w:eastAsia="Times New Roman" w:hAnsi="Times New Roman" w:cs="Times New Roman"/>
          <w:sz w:val="24"/>
          <w:szCs w:val="24"/>
          <w:lang w:eastAsia="fr-FR"/>
        </w:rPr>
        <w:t>, dans un contexte marqué par l’expansion militaire vers le sud et par la domination persistante de l’Empire d’Oyo.</w:t>
      </w:r>
    </w:p>
    <w:p w:rsidR="00507FB8" w:rsidRPr="00507FB8" w:rsidRDefault="00507FB8" w:rsidP="00507FB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07FB8">
        <w:rPr>
          <w:rFonts w:ascii="Times New Roman" w:eastAsia="Times New Roman" w:hAnsi="Times New Roman" w:cs="Times New Roman"/>
          <w:b/>
          <w:bCs/>
          <w:sz w:val="27"/>
          <w:szCs w:val="27"/>
          <w:lang w:eastAsia="fr-FR"/>
        </w:rPr>
        <w:t>Consolidation du royaume</w:t>
      </w:r>
      <w:bookmarkStart w:id="0" w:name="_GoBack"/>
      <w:bookmarkEnd w:id="0"/>
    </w:p>
    <w:p w:rsidR="00507FB8" w:rsidRPr="00507FB8" w:rsidRDefault="00507FB8" w:rsidP="00507FB8">
      <w:pPr>
        <w:spacing w:before="100" w:beforeAutospacing="1" w:after="100" w:afterAutospacing="1" w:line="240" w:lineRule="auto"/>
        <w:rPr>
          <w:rFonts w:ascii="Times New Roman" w:eastAsia="Times New Roman" w:hAnsi="Times New Roman" w:cs="Times New Roman"/>
          <w:sz w:val="24"/>
          <w:szCs w:val="24"/>
          <w:lang w:eastAsia="fr-FR"/>
        </w:rPr>
      </w:pPr>
      <w:r w:rsidRPr="00507FB8">
        <w:rPr>
          <w:rFonts w:ascii="Times New Roman" w:eastAsia="Times New Roman" w:hAnsi="Times New Roman" w:cs="Times New Roman"/>
          <w:sz w:val="24"/>
          <w:szCs w:val="24"/>
          <w:lang w:eastAsia="fr-FR"/>
        </w:rPr>
        <w:t xml:space="preserve">Contrairement à ses prédécesseurs engagés dans de vastes conquêtes, </w:t>
      </w:r>
      <w:proofErr w:type="spellStart"/>
      <w:r w:rsidRPr="00507FB8">
        <w:rPr>
          <w:rFonts w:ascii="Times New Roman" w:eastAsia="Times New Roman" w:hAnsi="Times New Roman" w:cs="Times New Roman"/>
          <w:sz w:val="24"/>
          <w:szCs w:val="24"/>
          <w:lang w:eastAsia="fr-FR"/>
        </w:rPr>
        <w:t>Tegbessou</w:t>
      </w:r>
      <w:proofErr w:type="spellEnd"/>
      <w:r w:rsidRPr="00507FB8">
        <w:rPr>
          <w:rFonts w:ascii="Times New Roman" w:eastAsia="Times New Roman" w:hAnsi="Times New Roman" w:cs="Times New Roman"/>
          <w:sz w:val="24"/>
          <w:szCs w:val="24"/>
          <w:lang w:eastAsia="fr-FR"/>
        </w:rPr>
        <w:t xml:space="preserve"> concentre ses efforts sur la </w:t>
      </w:r>
      <w:r w:rsidRPr="00507FB8">
        <w:rPr>
          <w:rFonts w:ascii="Times New Roman" w:eastAsia="Times New Roman" w:hAnsi="Times New Roman" w:cs="Times New Roman"/>
          <w:b/>
          <w:bCs/>
          <w:sz w:val="24"/>
          <w:szCs w:val="24"/>
          <w:lang w:eastAsia="fr-FR"/>
        </w:rPr>
        <w:t>stabilisation</w:t>
      </w:r>
      <w:r w:rsidRPr="00507FB8">
        <w:rPr>
          <w:rFonts w:ascii="Times New Roman" w:eastAsia="Times New Roman" w:hAnsi="Times New Roman" w:cs="Times New Roman"/>
          <w:sz w:val="24"/>
          <w:szCs w:val="24"/>
          <w:lang w:eastAsia="fr-FR"/>
        </w:rPr>
        <w:t xml:space="preserve"> du territoire. Il renforce l’autorité du pouvoir d’Abomey sur la côte, une région récemment soumise par </w:t>
      </w:r>
      <w:proofErr w:type="spellStart"/>
      <w:r w:rsidRPr="00507FB8">
        <w:rPr>
          <w:rFonts w:ascii="Times New Roman" w:eastAsia="Times New Roman" w:hAnsi="Times New Roman" w:cs="Times New Roman"/>
          <w:sz w:val="24"/>
          <w:szCs w:val="24"/>
          <w:lang w:eastAsia="fr-FR"/>
        </w:rPr>
        <w:t>Agadja</w:t>
      </w:r>
      <w:proofErr w:type="spellEnd"/>
      <w:r w:rsidRPr="00507FB8">
        <w:rPr>
          <w:rFonts w:ascii="Times New Roman" w:eastAsia="Times New Roman" w:hAnsi="Times New Roman" w:cs="Times New Roman"/>
          <w:sz w:val="24"/>
          <w:szCs w:val="24"/>
          <w:lang w:eastAsia="fr-FR"/>
        </w:rPr>
        <w:t xml:space="preserve"> et devenue essentielle au commerce avec les Européens. Cette consolidation participe à la structuration durable du royaume et à l’affermissement de son administration.</w:t>
      </w:r>
    </w:p>
    <w:p w:rsidR="00507FB8" w:rsidRPr="00507FB8" w:rsidRDefault="00507FB8" w:rsidP="00507FB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07FB8">
        <w:rPr>
          <w:rFonts w:ascii="Times New Roman" w:eastAsia="Times New Roman" w:hAnsi="Times New Roman" w:cs="Times New Roman"/>
          <w:b/>
          <w:bCs/>
          <w:sz w:val="27"/>
          <w:szCs w:val="27"/>
          <w:lang w:eastAsia="fr-FR"/>
        </w:rPr>
        <w:t>Traditions funéraires et fin de règne</w:t>
      </w:r>
    </w:p>
    <w:p w:rsidR="00507FB8" w:rsidRPr="00507FB8" w:rsidRDefault="00507FB8" w:rsidP="00507FB8">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507FB8">
        <w:rPr>
          <w:rFonts w:ascii="Times New Roman" w:eastAsia="Times New Roman" w:hAnsi="Times New Roman" w:cs="Times New Roman"/>
          <w:sz w:val="24"/>
          <w:szCs w:val="24"/>
          <w:lang w:eastAsia="fr-FR"/>
        </w:rPr>
        <w:t>Tegbessou</w:t>
      </w:r>
      <w:proofErr w:type="spellEnd"/>
      <w:r w:rsidRPr="00507FB8">
        <w:rPr>
          <w:rFonts w:ascii="Times New Roman" w:eastAsia="Times New Roman" w:hAnsi="Times New Roman" w:cs="Times New Roman"/>
          <w:sz w:val="24"/>
          <w:szCs w:val="24"/>
          <w:lang w:eastAsia="fr-FR"/>
        </w:rPr>
        <w:t xml:space="preserve"> meurt le </w:t>
      </w:r>
      <w:r w:rsidRPr="00507FB8">
        <w:rPr>
          <w:rFonts w:ascii="Times New Roman" w:eastAsia="Times New Roman" w:hAnsi="Times New Roman" w:cs="Times New Roman"/>
          <w:b/>
          <w:bCs/>
          <w:sz w:val="24"/>
          <w:szCs w:val="24"/>
          <w:lang w:eastAsia="fr-FR"/>
        </w:rPr>
        <w:t>17 mai 1774</w:t>
      </w:r>
      <w:r w:rsidRPr="00507FB8">
        <w:rPr>
          <w:rFonts w:ascii="Times New Roman" w:eastAsia="Times New Roman" w:hAnsi="Times New Roman" w:cs="Times New Roman"/>
          <w:sz w:val="24"/>
          <w:szCs w:val="24"/>
          <w:lang w:eastAsia="fr-FR"/>
        </w:rPr>
        <w:t>, après plus de trois décennies de règne. Sa mort donne lieu à des rituels funéraires d’une extrême intensité :</w:t>
      </w:r>
    </w:p>
    <w:p w:rsidR="00507FB8" w:rsidRPr="00507FB8" w:rsidRDefault="00507FB8" w:rsidP="00507FB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507FB8">
        <w:rPr>
          <w:rFonts w:ascii="Times New Roman" w:eastAsia="Times New Roman" w:hAnsi="Times New Roman" w:cs="Times New Roman"/>
          <w:b/>
          <w:bCs/>
          <w:sz w:val="24"/>
          <w:szCs w:val="24"/>
          <w:lang w:eastAsia="fr-FR"/>
        </w:rPr>
        <w:t>285 de ses femmes</w:t>
      </w:r>
      <w:r w:rsidRPr="00507FB8">
        <w:rPr>
          <w:rFonts w:ascii="Times New Roman" w:eastAsia="Times New Roman" w:hAnsi="Times New Roman" w:cs="Times New Roman"/>
          <w:sz w:val="24"/>
          <w:szCs w:val="24"/>
          <w:lang w:eastAsia="fr-FR"/>
        </w:rPr>
        <w:t xml:space="preserve"> se seraient </w:t>
      </w:r>
      <w:r w:rsidRPr="00507FB8">
        <w:rPr>
          <w:rFonts w:ascii="Times New Roman" w:eastAsia="Times New Roman" w:hAnsi="Times New Roman" w:cs="Times New Roman"/>
          <w:b/>
          <w:bCs/>
          <w:sz w:val="24"/>
          <w:szCs w:val="24"/>
          <w:lang w:eastAsia="fr-FR"/>
        </w:rPr>
        <w:t>entretuées</w:t>
      </w:r>
      <w:r w:rsidRPr="00507FB8">
        <w:rPr>
          <w:rFonts w:ascii="Times New Roman" w:eastAsia="Times New Roman" w:hAnsi="Times New Roman" w:cs="Times New Roman"/>
          <w:sz w:val="24"/>
          <w:szCs w:val="24"/>
          <w:lang w:eastAsia="fr-FR"/>
        </w:rPr>
        <w:t xml:space="preserve"> pour l’accompagner dans l’au-delà.</w:t>
      </w:r>
    </w:p>
    <w:p w:rsidR="00507FB8" w:rsidRPr="00507FB8" w:rsidRDefault="00507FB8" w:rsidP="00507FB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507FB8">
        <w:rPr>
          <w:rFonts w:ascii="Times New Roman" w:eastAsia="Times New Roman" w:hAnsi="Times New Roman" w:cs="Times New Roman"/>
          <w:b/>
          <w:bCs/>
          <w:sz w:val="24"/>
          <w:szCs w:val="24"/>
          <w:lang w:eastAsia="fr-FR"/>
        </w:rPr>
        <w:t>6 autres</w:t>
      </w:r>
      <w:r w:rsidRPr="00507FB8">
        <w:rPr>
          <w:rFonts w:ascii="Times New Roman" w:eastAsia="Times New Roman" w:hAnsi="Times New Roman" w:cs="Times New Roman"/>
          <w:sz w:val="24"/>
          <w:szCs w:val="24"/>
          <w:lang w:eastAsia="fr-FR"/>
        </w:rPr>
        <w:t xml:space="preserve"> se seraient fait </w:t>
      </w:r>
      <w:r w:rsidRPr="00507FB8">
        <w:rPr>
          <w:rFonts w:ascii="Times New Roman" w:eastAsia="Times New Roman" w:hAnsi="Times New Roman" w:cs="Times New Roman"/>
          <w:b/>
          <w:bCs/>
          <w:sz w:val="24"/>
          <w:szCs w:val="24"/>
          <w:lang w:eastAsia="fr-FR"/>
        </w:rPr>
        <w:t>enterrer avec lui</w:t>
      </w:r>
      <w:r w:rsidRPr="00507FB8">
        <w:rPr>
          <w:rFonts w:ascii="Times New Roman" w:eastAsia="Times New Roman" w:hAnsi="Times New Roman" w:cs="Times New Roman"/>
          <w:sz w:val="24"/>
          <w:szCs w:val="24"/>
          <w:lang w:eastAsia="fr-FR"/>
        </w:rPr>
        <w:t>, perpétuant la règle traditionnelle du Dahomey selon laquelle les épouses royales suivent le souverain dans la mort.</w:t>
      </w:r>
    </w:p>
    <w:p w:rsidR="00507FB8" w:rsidRPr="00507FB8" w:rsidRDefault="00507FB8" w:rsidP="00507FB8">
      <w:pPr>
        <w:spacing w:before="100" w:beforeAutospacing="1" w:after="100" w:afterAutospacing="1" w:line="240" w:lineRule="auto"/>
        <w:rPr>
          <w:rFonts w:ascii="Times New Roman" w:eastAsia="Times New Roman" w:hAnsi="Times New Roman" w:cs="Times New Roman"/>
          <w:sz w:val="24"/>
          <w:szCs w:val="24"/>
          <w:lang w:eastAsia="fr-FR"/>
        </w:rPr>
      </w:pPr>
      <w:r w:rsidRPr="00507FB8">
        <w:rPr>
          <w:rFonts w:ascii="Times New Roman" w:eastAsia="Times New Roman" w:hAnsi="Times New Roman" w:cs="Times New Roman"/>
          <w:sz w:val="24"/>
          <w:szCs w:val="24"/>
          <w:lang w:eastAsia="fr-FR"/>
        </w:rPr>
        <w:t>Cette coutume témoigne de l’importance du roi dans la société dahoméenne, où la continuité entre le monde des vivants et celui des ancêtres est au cœur de la culture royale.</w:t>
      </w:r>
    </w:p>
    <w:p w:rsidR="00507FB8" w:rsidRPr="00507FB8" w:rsidRDefault="00507FB8" w:rsidP="00507FB8">
      <w:pPr>
        <w:spacing w:after="0" w:line="240" w:lineRule="auto"/>
        <w:rPr>
          <w:rFonts w:ascii="Times New Roman" w:eastAsia="Times New Roman" w:hAnsi="Times New Roman" w:cs="Times New Roman"/>
          <w:sz w:val="24"/>
          <w:szCs w:val="24"/>
          <w:lang w:eastAsia="fr-FR"/>
        </w:rPr>
      </w:pPr>
    </w:p>
    <w:p w:rsidR="00507FB8" w:rsidRPr="00507FB8" w:rsidRDefault="00507FB8" w:rsidP="00507FB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07FB8">
        <w:rPr>
          <w:rFonts w:ascii="Times New Roman" w:eastAsia="Times New Roman" w:hAnsi="Times New Roman" w:cs="Times New Roman"/>
          <w:b/>
          <w:bCs/>
          <w:sz w:val="36"/>
          <w:szCs w:val="36"/>
          <w:lang w:eastAsia="fr-FR"/>
        </w:rPr>
        <w:t>3. Symboles, mythes et héritage</w:t>
      </w:r>
    </w:p>
    <w:p w:rsidR="00507FB8" w:rsidRPr="00507FB8" w:rsidRDefault="00507FB8" w:rsidP="00507FB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07FB8">
        <w:rPr>
          <w:rFonts w:ascii="Times New Roman" w:eastAsia="Times New Roman" w:hAnsi="Times New Roman" w:cs="Times New Roman"/>
          <w:b/>
          <w:bCs/>
          <w:sz w:val="27"/>
          <w:szCs w:val="27"/>
          <w:lang w:eastAsia="fr-FR"/>
        </w:rPr>
        <w:t>Symboles</w:t>
      </w:r>
    </w:p>
    <w:p w:rsidR="00507FB8" w:rsidRPr="00507FB8" w:rsidRDefault="00507FB8" w:rsidP="00507FB8">
      <w:pPr>
        <w:spacing w:before="100" w:beforeAutospacing="1" w:after="100" w:afterAutospacing="1" w:line="240" w:lineRule="auto"/>
        <w:rPr>
          <w:rFonts w:ascii="Times New Roman" w:eastAsia="Times New Roman" w:hAnsi="Times New Roman" w:cs="Times New Roman"/>
          <w:sz w:val="24"/>
          <w:szCs w:val="24"/>
          <w:lang w:eastAsia="fr-FR"/>
        </w:rPr>
      </w:pPr>
      <w:r w:rsidRPr="00507FB8">
        <w:rPr>
          <w:rFonts w:ascii="Times New Roman" w:eastAsia="Times New Roman" w:hAnsi="Times New Roman" w:cs="Times New Roman"/>
          <w:sz w:val="24"/>
          <w:szCs w:val="24"/>
          <w:lang w:eastAsia="fr-FR"/>
        </w:rPr>
        <w:t xml:space="preserve">• </w:t>
      </w:r>
      <w:r w:rsidRPr="00507FB8">
        <w:rPr>
          <w:rFonts w:ascii="Times New Roman" w:eastAsia="Times New Roman" w:hAnsi="Times New Roman" w:cs="Times New Roman"/>
          <w:b/>
          <w:bCs/>
          <w:sz w:val="24"/>
          <w:szCs w:val="24"/>
          <w:lang w:eastAsia="fr-FR"/>
        </w:rPr>
        <w:t>Buffle paré d’une tunique</w:t>
      </w:r>
      <w:r w:rsidRPr="00507FB8">
        <w:rPr>
          <w:rFonts w:ascii="Times New Roman" w:eastAsia="Times New Roman" w:hAnsi="Times New Roman" w:cs="Times New Roman"/>
          <w:sz w:val="24"/>
          <w:szCs w:val="24"/>
          <w:lang w:eastAsia="fr-FR"/>
        </w:rPr>
        <w:br/>
      </w:r>
      <w:r w:rsidRPr="00507FB8">
        <w:rPr>
          <w:rFonts w:ascii="Times New Roman" w:eastAsia="Times New Roman" w:hAnsi="Times New Roman" w:cs="Times New Roman"/>
          <w:i/>
          <w:iCs/>
          <w:sz w:val="24"/>
          <w:szCs w:val="24"/>
          <w:lang w:eastAsia="fr-FR"/>
        </w:rPr>
        <w:t>« Un buffle habillé est difficile à déshabiller. »</w:t>
      </w:r>
      <w:r w:rsidRPr="00507FB8">
        <w:rPr>
          <w:rFonts w:ascii="Times New Roman" w:eastAsia="Times New Roman" w:hAnsi="Times New Roman" w:cs="Times New Roman"/>
          <w:sz w:val="24"/>
          <w:szCs w:val="24"/>
          <w:lang w:eastAsia="fr-FR"/>
        </w:rPr>
        <w:br/>
        <w:t xml:space="preserve">Ce symbole évoque la force, la stabilité et l’autorité difficile à renverser, qualités associées au règne de </w:t>
      </w:r>
      <w:proofErr w:type="spellStart"/>
      <w:r w:rsidRPr="00507FB8">
        <w:rPr>
          <w:rFonts w:ascii="Times New Roman" w:eastAsia="Times New Roman" w:hAnsi="Times New Roman" w:cs="Times New Roman"/>
          <w:sz w:val="24"/>
          <w:szCs w:val="24"/>
          <w:lang w:eastAsia="fr-FR"/>
        </w:rPr>
        <w:t>Tegbessou</w:t>
      </w:r>
      <w:proofErr w:type="spellEnd"/>
      <w:r w:rsidRPr="00507FB8">
        <w:rPr>
          <w:rFonts w:ascii="Times New Roman" w:eastAsia="Times New Roman" w:hAnsi="Times New Roman" w:cs="Times New Roman"/>
          <w:sz w:val="24"/>
          <w:szCs w:val="24"/>
          <w:lang w:eastAsia="fr-FR"/>
        </w:rPr>
        <w:t>.</w:t>
      </w:r>
    </w:p>
    <w:p w:rsidR="00507FB8" w:rsidRPr="00507FB8" w:rsidRDefault="00507FB8" w:rsidP="00507FB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07FB8">
        <w:rPr>
          <w:rFonts w:ascii="Times New Roman" w:eastAsia="Times New Roman" w:hAnsi="Times New Roman" w:cs="Times New Roman"/>
          <w:b/>
          <w:bCs/>
          <w:sz w:val="27"/>
          <w:szCs w:val="27"/>
          <w:lang w:eastAsia="fr-FR"/>
        </w:rPr>
        <w:t>Mythes et traditions</w:t>
      </w:r>
    </w:p>
    <w:p w:rsidR="00507FB8" w:rsidRPr="00507FB8" w:rsidRDefault="00507FB8" w:rsidP="00507FB8">
      <w:pPr>
        <w:spacing w:before="100" w:beforeAutospacing="1" w:after="100" w:afterAutospacing="1" w:line="240" w:lineRule="auto"/>
        <w:rPr>
          <w:rFonts w:ascii="Times New Roman" w:eastAsia="Times New Roman" w:hAnsi="Times New Roman" w:cs="Times New Roman"/>
          <w:sz w:val="24"/>
          <w:szCs w:val="24"/>
          <w:lang w:eastAsia="fr-FR"/>
        </w:rPr>
      </w:pPr>
      <w:r w:rsidRPr="00507FB8">
        <w:rPr>
          <w:rFonts w:ascii="Times New Roman" w:eastAsia="Times New Roman" w:hAnsi="Times New Roman" w:cs="Times New Roman"/>
          <w:sz w:val="24"/>
          <w:szCs w:val="24"/>
          <w:lang w:eastAsia="fr-FR"/>
        </w:rPr>
        <w:t>• Les traditions autour de sa mort, notamment le suicide rituel et le sacrifice de ses épouses, marquent profondément l’imaginaire royal du Dahomey.</w:t>
      </w:r>
      <w:r w:rsidRPr="00507FB8">
        <w:rPr>
          <w:rFonts w:ascii="Times New Roman" w:eastAsia="Times New Roman" w:hAnsi="Times New Roman" w:cs="Times New Roman"/>
          <w:sz w:val="24"/>
          <w:szCs w:val="24"/>
          <w:lang w:eastAsia="fr-FR"/>
        </w:rPr>
        <w:br/>
        <w:t>• Son règne participe à la période charnière où Abomey consolide son contrôle sur la côte et renforce sa présence dans les réseaux commerciaux atlantiques.</w:t>
      </w:r>
    </w:p>
    <w:p w:rsidR="00507FB8" w:rsidRPr="00507FB8" w:rsidRDefault="00507FB8" w:rsidP="00507FB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07FB8">
        <w:rPr>
          <w:rFonts w:ascii="Times New Roman" w:eastAsia="Times New Roman" w:hAnsi="Times New Roman" w:cs="Times New Roman"/>
          <w:b/>
          <w:bCs/>
          <w:sz w:val="27"/>
          <w:szCs w:val="27"/>
          <w:lang w:eastAsia="fr-FR"/>
        </w:rPr>
        <w:t>Héritage</w:t>
      </w:r>
    </w:p>
    <w:p w:rsidR="00507FB8" w:rsidRPr="00507FB8" w:rsidRDefault="00507FB8" w:rsidP="00507FB8">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507FB8">
        <w:rPr>
          <w:rFonts w:ascii="Times New Roman" w:eastAsia="Times New Roman" w:hAnsi="Times New Roman" w:cs="Times New Roman"/>
          <w:sz w:val="24"/>
          <w:szCs w:val="24"/>
          <w:lang w:eastAsia="fr-FR"/>
        </w:rPr>
        <w:t>Tegbessou</w:t>
      </w:r>
      <w:proofErr w:type="spellEnd"/>
      <w:r w:rsidRPr="00507FB8">
        <w:rPr>
          <w:rFonts w:ascii="Times New Roman" w:eastAsia="Times New Roman" w:hAnsi="Times New Roman" w:cs="Times New Roman"/>
          <w:sz w:val="24"/>
          <w:szCs w:val="24"/>
          <w:lang w:eastAsia="fr-FR"/>
        </w:rPr>
        <w:t xml:space="preserve"> laisse un héritage de </w:t>
      </w:r>
      <w:r w:rsidRPr="00507FB8">
        <w:rPr>
          <w:rFonts w:ascii="Times New Roman" w:eastAsia="Times New Roman" w:hAnsi="Times New Roman" w:cs="Times New Roman"/>
          <w:b/>
          <w:bCs/>
          <w:sz w:val="24"/>
          <w:szCs w:val="24"/>
          <w:lang w:eastAsia="fr-FR"/>
        </w:rPr>
        <w:t>stabilité politique</w:t>
      </w:r>
      <w:r w:rsidRPr="00507FB8">
        <w:rPr>
          <w:rFonts w:ascii="Times New Roman" w:eastAsia="Times New Roman" w:hAnsi="Times New Roman" w:cs="Times New Roman"/>
          <w:sz w:val="24"/>
          <w:szCs w:val="24"/>
          <w:lang w:eastAsia="fr-FR"/>
        </w:rPr>
        <w:t xml:space="preserve"> et de </w:t>
      </w:r>
      <w:r w:rsidRPr="00507FB8">
        <w:rPr>
          <w:rFonts w:ascii="Times New Roman" w:eastAsia="Times New Roman" w:hAnsi="Times New Roman" w:cs="Times New Roman"/>
          <w:b/>
          <w:bCs/>
          <w:sz w:val="24"/>
          <w:szCs w:val="24"/>
          <w:lang w:eastAsia="fr-FR"/>
        </w:rPr>
        <w:t>structuration du territoire</w:t>
      </w:r>
      <w:r w:rsidRPr="00507FB8">
        <w:rPr>
          <w:rFonts w:ascii="Times New Roman" w:eastAsia="Times New Roman" w:hAnsi="Times New Roman" w:cs="Times New Roman"/>
          <w:sz w:val="24"/>
          <w:szCs w:val="24"/>
          <w:lang w:eastAsia="fr-FR"/>
        </w:rPr>
        <w:t xml:space="preserve">. Son règne est vu comme une phase de consolidation après les grandes conquêtes du Sud initiées par </w:t>
      </w:r>
      <w:proofErr w:type="spellStart"/>
      <w:r w:rsidRPr="00507FB8">
        <w:rPr>
          <w:rFonts w:ascii="Times New Roman" w:eastAsia="Times New Roman" w:hAnsi="Times New Roman" w:cs="Times New Roman"/>
          <w:sz w:val="24"/>
          <w:szCs w:val="24"/>
          <w:lang w:eastAsia="fr-FR"/>
        </w:rPr>
        <w:t>Agadja</w:t>
      </w:r>
      <w:proofErr w:type="spellEnd"/>
      <w:r w:rsidRPr="00507FB8">
        <w:rPr>
          <w:rFonts w:ascii="Times New Roman" w:eastAsia="Times New Roman" w:hAnsi="Times New Roman" w:cs="Times New Roman"/>
          <w:sz w:val="24"/>
          <w:szCs w:val="24"/>
          <w:lang w:eastAsia="fr-FR"/>
        </w:rPr>
        <w:t xml:space="preserve">. Il garantit la continuité de l’autorité royale et prépare le terrain pour son successeur, </w:t>
      </w:r>
      <w:proofErr w:type="spellStart"/>
      <w:r w:rsidRPr="00507FB8">
        <w:rPr>
          <w:rFonts w:ascii="Times New Roman" w:eastAsia="Times New Roman" w:hAnsi="Times New Roman" w:cs="Times New Roman"/>
          <w:sz w:val="24"/>
          <w:szCs w:val="24"/>
          <w:lang w:eastAsia="fr-FR"/>
        </w:rPr>
        <w:t>Kpengla</w:t>
      </w:r>
      <w:proofErr w:type="spellEnd"/>
      <w:r w:rsidRPr="00507FB8">
        <w:rPr>
          <w:rFonts w:ascii="Times New Roman" w:eastAsia="Times New Roman" w:hAnsi="Times New Roman" w:cs="Times New Roman"/>
          <w:sz w:val="24"/>
          <w:szCs w:val="24"/>
          <w:lang w:eastAsia="fr-FR"/>
        </w:rPr>
        <w:t>.</w:t>
      </w:r>
    </w:p>
    <w:p w:rsidR="00507FB8" w:rsidRPr="00507FB8" w:rsidRDefault="00507FB8" w:rsidP="00507FB8">
      <w:pPr>
        <w:spacing w:after="0" w:line="240" w:lineRule="auto"/>
        <w:rPr>
          <w:rFonts w:ascii="Times New Roman" w:eastAsia="Times New Roman" w:hAnsi="Times New Roman" w:cs="Times New Roman"/>
          <w:sz w:val="24"/>
          <w:szCs w:val="24"/>
          <w:lang w:eastAsia="fr-FR"/>
        </w:rPr>
      </w:pPr>
    </w:p>
    <w:p w:rsidR="00507FB8" w:rsidRPr="00507FB8" w:rsidRDefault="00507FB8" w:rsidP="00507FB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07FB8">
        <w:rPr>
          <w:rFonts w:ascii="Times New Roman" w:eastAsia="Times New Roman" w:hAnsi="Times New Roman" w:cs="Times New Roman"/>
          <w:b/>
          <w:bCs/>
          <w:sz w:val="36"/>
          <w:szCs w:val="36"/>
          <w:lang w:eastAsia="fr-FR"/>
        </w:rPr>
        <w:t>4. Sources et références</w:t>
      </w:r>
    </w:p>
    <w:p w:rsidR="00507FB8" w:rsidRPr="00507FB8" w:rsidRDefault="00507FB8" w:rsidP="00507FB8">
      <w:pPr>
        <w:spacing w:before="100" w:beforeAutospacing="1" w:after="100" w:afterAutospacing="1" w:line="240" w:lineRule="auto"/>
        <w:rPr>
          <w:rFonts w:ascii="Times New Roman" w:eastAsia="Times New Roman" w:hAnsi="Times New Roman" w:cs="Times New Roman"/>
          <w:sz w:val="24"/>
          <w:szCs w:val="24"/>
          <w:lang w:eastAsia="fr-FR"/>
        </w:rPr>
      </w:pPr>
      <w:r w:rsidRPr="00507FB8">
        <w:rPr>
          <w:rFonts w:ascii="Times New Roman" w:eastAsia="Times New Roman" w:hAnsi="Times New Roman" w:cs="Times New Roman"/>
          <w:sz w:val="24"/>
          <w:szCs w:val="24"/>
          <w:lang w:eastAsia="fr-FR"/>
        </w:rPr>
        <w:t xml:space="preserve">• Wikipédia (FR) — </w:t>
      </w:r>
      <w:proofErr w:type="spellStart"/>
      <w:r w:rsidRPr="00507FB8">
        <w:rPr>
          <w:rFonts w:ascii="Times New Roman" w:eastAsia="Times New Roman" w:hAnsi="Times New Roman" w:cs="Times New Roman"/>
          <w:sz w:val="24"/>
          <w:szCs w:val="24"/>
          <w:lang w:eastAsia="fr-FR"/>
        </w:rPr>
        <w:t>Tegbessou</w:t>
      </w:r>
      <w:proofErr w:type="spellEnd"/>
      <w:r w:rsidRPr="00507FB8">
        <w:rPr>
          <w:rFonts w:ascii="Times New Roman" w:eastAsia="Times New Roman" w:hAnsi="Times New Roman" w:cs="Times New Roman"/>
          <w:sz w:val="24"/>
          <w:szCs w:val="24"/>
          <w:lang w:eastAsia="fr-FR"/>
        </w:rPr>
        <w:t xml:space="preserve">., </w:t>
      </w:r>
      <w:hyperlink r:id="rId5" w:tgtFrame="_new" w:history="1">
        <w:r w:rsidRPr="00507FB8">
          <w:rPr>
            <w:rFonts w:ascii="Times New Roman" w:eastAsia="Times New Roman" w:hAnsi="Times New Roman" w:cs="Times New Roman"/>
            <w:color w:val="0000FF"/>
            <w:sz w:val="24"/>
            <w:szCs w:val="24"/>
            <w:u w:val="single"/>
            <w:lang w:eastAsia="fr-FR"/>
          </w:rPr>
          <w:t>https://fr.wikipedia.org/wiki/Tegbessou</w:t>
        </w:r>
      </w:hyperlink>
      <w:r w:rsidRPr="00507FB8">
        <w:rPr>
          <w:rFonts w:ascii="Times New Roman" w:eastAsia="Times New Roman" w:hAnsi="Times New Roman" w:cs="Times New Roman"/>
          <w:sz w:val="24"/>
          <w:szCs w:val="24"/>
          <w:lang w:eastAsia="fr-FR"/>
        </w:rPr>
        <w:br/>
        <w:t xml:space="preserve">• Wikipédia (FR) — Rois d’Abomey., </w:t>
      </w:r>
      <w:hyperlink r:id="rId6" w:tgtFrame="_new" w:history="1">
        <w:r w:rsidRPr="00507FB8">
          <w:rPr>
            <w:rFonts w:ascii="Times New Roman" w:eastAsia="Times New Roman" w:hAnsi="Times New Roman" w:cs="Times New Roman"/>
            <w:color w:val="0000FF"/>
            <w:sz w:val="24"/>
            <w:szCs w:val="24"/>
            <w:u w:val="single"/>
            <w:lang w:eastAsia="fr-FR"/>
          </w:rPr>
          <w:t>https://fr.wikipedia.org/wiki/Roi_d%27Abomey</w:t>
        </w:r>
      </w:hyperlink>
    </w:p>
    <w:p w:rsidR="00DE7438" w:rsidRDefault="00DE7438"/>
    <w:sectPr w:rsidR="00DE74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0814688"/>
    <w:multiLevelType w:val="multilevel"/>
    <w:tmpl w:val="0286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7FB8"/>
    <w:rsid w:val="00507FB8"/>
    <w:rsid w:val="00DE74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4BF654-B66A-40CC-811F-20B11606D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507FB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507FB8"/>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507FB8"/>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07FB8"/>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507FB8"/>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507FB8"/>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507FB8"/>
    <w:rPr>
      <w:b/>
      <w:bCs/>
    </w:rPr>
  </w:style>
  <w:style w:type="paragraph" w:styleId="NormalWeb">
    <w:name w:val="Normal (Web)"/>
    <w:basedOn w:val="Normal"/>
    <w:uiPriority w:val="99"/>
    <w:semiHidden/>
    <w:unhideWhenUsed/>
    <w:rsid w:val="00507FB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507FB8"/>
    <w:rPr>
      <w:i/>
      <w:iCs/>
    </w:rPr>
  </w:style>
  <w:style w:type="character" w:styleId="Lienhypertexte">
    <w:name w:val="Hyperlink"/>
    <w:basedOn w:val="Policepardfaut"/>
    <w:uiPriority w:val="99"/>
    <w:semiHidden/>
    <w:unhideWhenUsed/>
    <w:rsid w:val="00507FB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2441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r.wikipedia.org/wiki/Roi_d%27Abomey" TargetMode="External"/><Relationship Id="rId5" Type="http://schemas.openxmlformats.org/officeDocument/2006/relationships/hyperlink" Target="https://fr.wikipedia.org/wiki/Tegbessou"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521</Words>
  <Characters>2866</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2025-12-02T09:09:00Z</dcterms:created>
  <dcterms:modified xsi:type="dcterms:W3CDTF">2025-12-02T09:13:00Z</dcterms:modified>
</cp:coreProperties>
</file>