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60"/>
      </w:pPr>
      <w:r>
        <w:rPr>
          <w:rFonts w:ascii="Calibri" w:cs="Calibri" w:eastAsia="Calibri" w:hAnsi="Calibri"/>
          <w:b/>
          <w:bCs/>
          <w:color w:val="1C3A2A"/>
          <w:sz w:val="36"/>
          <w:szCs w:val="36"/>
        </w:rPr>
        <w:t xml:space="preserve">FSAV Cap 5 — Notes</w:t>
      </w:r>
    </w:p>
    <w:p>
      <w:pPr>
        <w:spacing w:after="120"/>
      </w:pPr>
      <w:r>
        <w:rPr>
          <w:rFonts w:ascii="Calibri" w:cs="Calibri" w:eastAsia="Calibri" w:hAnsi="Calibri"/>
          <w:b/>
          <w:bCs/>
          <w:sz w:val="22"/>
          <w:szCs w:val="22"/>
        </w:rPr>
        <w:t xml:space="preserve">Penman, S. H. (2013). </w:t>
      </w:r>
      <w:r>
        <w:rPr>
          <w:rFonts w:ascii="Calibri" w:cs="Calibri" w:eastAsia="Calibri" w:hAnsi="Calibri"/>
          <w:i/>
          <w:iCs/>
          <w:sz w:val="22"/>
          <w:szCs w:val="22"/>
        </w:rPr>
        <w:t xml:space="preserve">Financial Statement Analysis and Security Valuation</w:t>
      </w:r>
      <w:r>
        <w:rPr>
          <w:rFonts w:ascii="Calibri" w:cs="Calibri" w:eastAsia="Calibri" w:hAnsi="Calibri"/>
          <w:b/>
          <w:bCs/>
          <w:sz w:val="22"/>
          <w:szCs w:val="22"/>
        </w:rPr>
        <w:t xml:space="preserve"> (5th ed.). McGraw-Hill.</w:t>
      </w:r>
    </w:p>
    <w:p>
      <w:pPr>
        <w:spacing w:after="120"/>
      </w:pPr>
      <w:r>
        <w:rPr>
          <w:rFonts w:ascii="Calibri" w:cs="Calibri" w:eastAsia="Calibri" w:hAnsi="Calibri"/>
          <w:i/>
          <w:iCs/>
          <w:sz w:val="22"/>
          <w:szCs w:val="22"/>
        </w:rPr>
        <w:t xml:space="preserve">Chapter 5: Accrual Accounting and Valuation — Pricing Book Values</w:t>
      </w:r>
    </w:p>
    <w:p>
      <w:pPr>
        <w:pBdr>
          <w:bottom w:val="single" w:color="CCCCCC" w:sz="6" w:space="1"/>
        </w:pBdr>
        <w:spacing w:after="200" w:before="200"/>
      </w:pPr>
      <w:r>
        <w:t xml:space="preserve"/>
      </w:r>
    </w:p>
    <w:p>
      <w:pPr>
        <w:pStyle w:val="Heading2"/>
        <w:spacing w:after="140" w:before="280"/>
      </w:pPr>
      <w:r>
        <w:rPr>
          <w:rFonts w:ascii="Calibri" w:cs="Calibri" w:eastAsia="Calibri" w:hAnsi="Calibri"/>
          <w:b/>
          <w:bCs/>
          <w:color w:val="1C3A2A"/>
          <w:sz w:val="28"/>
          <w:szCs w:val="28"/>
        </w:rPr>
        <w:t xml:space="preserve">Mastery Checklist</w:t>
      </w:r>
    </w:p>
    <w:p>
      <w:pPr>
        <w:spacing w:after="120"/>
      </w:pPr>
      <w:r>
        <w:rPr>
          <w:rFonts w:ascii="Calibri" w:cs="Calibri" w:eastAsia="Calibri" w:hAnsi="Calibri"/>
          <w:i/>
          <w:iCs/>
          <w:sz w:val="22"/>
          <w:szCs w:val="22"/>
        </w:rPr>
        <w:t xml:space="preserve">The Analyst's Checklist (p. 141) lists what Penman expects you to understand and be able to do after reading the chapter. Use this section to track progress.</w:t>
      </w:r>
    </w:p>
    <w:p>
      <w:pPr>
        <w:spacing w:after="120"/>
      </w:pPr>
      <w:r>
        <w:rPr>
          <w:rFonts w:ascii="Calibri" w:cs="Calibri" w:eastAsia="Calibri" w:hAnsi="Calibri"/>
          <w:b/>
          <w:bCs/>
          <w:sz w:val="22"/>
          <w:szCs w:val="22"/>
        </w:rPr>
        <w:t xml:space="preserve">Status legend: </w:t>
      </w:r>
      <w:r>
        <w:rPr>
          <w:rFonts w:ascii="Calibri" w:cs="Calibri" w:eastAsia="Calibri" w:hAnsi="Calibri"/>
          <w:sz w:val="22"/>
          <w:szCs w:val="22"/>
        </w:rPr>
        <w:t xml:space="preserve">✅ mastered · ⚠️ partial · ❌ not yet covered</w:t>
      </w:r>
    </w:p>
    <w:p>
      <w:pPr>
        <w:pStyle w:val="Heading3"/>
        <w:spacing w:after="120" w:before="220"/>
      </w:pPr>
      <w:r>
        <w:rPr>
          <w:rFonts w:ascii="Calibri" w:cs="Calibri" w:eastAsia="Calibri" w:hAnsi="Calibri"/>
          <w:b/>
          <w:bCs/>
          <w:color w:val="2C5F46"/>
          <w:sz w:val="24"/>
          <w:szCs w:val="24"/>
        </w:rPr>
        <w:t xml:space="preserve">After reading this chapter you should understand: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1800"/>
        <w:gridCol w:w="800"/>
        <w:gridCol w:w="3160"/>
      </w:tblGrid>
      <w:tr>
        <w:tc>
          <w:tcPr>
            <w:tcW w:type="dxa" w:w="400"/>
            <w:tcBorders>
              <w:top w:val="single" w:color="CCCCCC" w:sz="4"/>
              <w:left w:val="single" w:color="CCCCCC" w:sz="4"/>
              <w:bottom w:val="single" w:color="CCCCCC" w:sz="4"/>
              <w:right w:val="single" w:color="CCCCCC" w:sz="4"/>
            </w:tcBorders>
            <w:shd w:fill="1C3A2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3200"/>
            <w:tcBorders>
              <w:top w:val="single" w:color="CCCCCC" w:sz="4"/>
              <w:left w:val="single" w:color="CCCCCC" w:sz="4"/>
              <w:bottom w:val="single" w:color="CCCCCC" w:sz="4"/>
              <w:right w:val="single" w:color="CCCCCC" w:sz="4"/>
            </w:tcBorders>
            <w:shd w:fill="1C3A2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Item</w:t>
            </w:r>
          </w:p>
        </w:tc>
        <w:tc>
          <w:tcPr>
            <w:tcW w:type="dxa" w:w="1800"/>
            <w:tcBorders>
              <w:top w:val="single" w:color="CCCCCC" w:sz="4"/>
              <w:left w:val="single" w:color="CCCCCC" w:sz="4"/>
              <w:bottom w:val="single" w:color="CCCCCC" w:sz="4"/>
              <w:right w:val="single" w:color="CCCCCC" w:sz="4"/>
            </w:tcBorders>
            <w:shd w:fill="1C3A2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Where in chapter</w:t>
            </w:r>
          </w:p>
        </w:tc>
        <w:tc>
          <w:tcPr>
            <w:tcW w:type="dxa" w:w="800"/>
            <w:tcBorders>
              <w:top w:val="single" w:color="CCCCCC" w:sz="4"/>
              <w:left w:val="single" w:color="CCCCCC" w:sz="4"/>
              <w:bottom w:val="single" w:color="CCCCCC" w:sz="4"/>
              <w:right w:val="single" w:color="CCCCCC" w:sz="4"/>
            </w:tcBorders>
            <w:shd w:fill="1C3A2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Status</w:t>
            </w:r>
          </w:p>
        </w:tc>
        <w:tc>
          <w:tcPr>
            <w:tcW w:type="dxa" w:w="3160"/>
            <w:tcBorders>
              <w:top w:val="single" w:color="CCCCCC" w:sz="4"/>
              <w:left w:val="single" w:color="CCCCCC" w:sz="4"/>
              <w:bottom w:val="single" w:color="CCCCCC" w:sz="4"/>
              <w:right w:val="single" w:color="CCCCCC" w:sz="4"/>
            </w:tcBorders>
            <w:shd w:fill="1C3A2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Note</w:t>
            </w:r>
          </w:p>
        </w:tc>
      </w:tr>
      <w:tr>
        <w:tc>
          <w:tcPr>
            <w:tcW w:type="dxa" w:w="4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1</w:t>
            </w:r>
          </w:p>
        </w:tc>
        <w:tc>
          <w:tcPr>
            <w:tcW w:type="dxa" w:w="32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What "residual earnings" is</w:t>
            </w:r>
          </w:p>
        </w:tc>
        <w:tc>
          <w:tcPr>
            <w:tcW w:type="dxa" w:w="18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 142, Eq. 5.2</w:t>
            </w:r>
          </w:p>
        </w:tc>
        <w:tc>
          <w:tcPr>
            <w:tcW w:type="dxa" w:w="8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w:t>
            </w:r>
          </w:p>
        </w:tc>
        <w:tc>
          <w:tcPr>
            <w:tcW w:type="dxa" w:w="316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Covered in Definitions + Equations</w:t>
            </w:r>
          </w:p>
        </w:tc>
      </w:tr>
      <w:tr>
        <w:tc>
          <w:tcPr>
            <w:tcW w:type="dxa" w:w="4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w:t>
            </w:r>
          </w:p>
        </w:tc>
        <w:tc>
          <w:tcPr>
            <w:tcW w:type="dxa" w:w="32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How forecasting RE gives the premium over book value and the P/B ratio</w:t>
            </w:r>
          </w:p>
        </w:tc>
        <w:tc>
          <w:tcPr>
            <w:tcW w:type="dxa" w:w="18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 145, Eq. 5.1</w:t>
            </w:r>
          </w:p>
        </w:tc>
        <w:tc>
          <w:tcPr>
            <w:tcW w:type="dxa" w:w="8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w:t>
            </w:r>
          </w:p>
        </w:tc>
        <w:tc>
          <w:tcPr>
            <w:tcW w:type="dxa" w:w="316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Covered in Equations (Eq. 5.1 + intrinsic premium + intrinsic P/B)</w:t>
            </w:r>
          </w:p>
        </w:tc>
      </w:tr>
      <w:tr>
        <w:tc>
          <w:tcPr>
            <w:tcW w:type="dxa" w:w="4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3</w:t>
            </w:r>
          </w:p>
        </w:tc>
        <w:tc>
          <w:tcPr>
            <w:tcW w:type="dxa" w:w="32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How RE are driven by ROCE and growth in book value</w:t>
            </w:r>
          </w:p>
        </w:tc>
        <w:tc>
          <w:tcPr>
            <w:tcW w:type="dxa" w:w="18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pp. 147–148, Figure 5.1</w:t>
            </w:r>
          </w:p>
        </w:tc>
        <w:tc>
          <w:tcPr>
            <w:tcW w:type="dxa" w:w="8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w:t>
            </w:r>
          </w:p>
        </w:tc>
        <w:tc>
          <w:tcPr>
            <w:tcW w:type="dxa" w:w="316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Covered in §Drivers — Penman's two drivers + ROCE Box 5.1 + extension to triad</w:t>
            </w:r>
          </w:p>
        </w:tc>
      </w:tr>
      <w:tr>
        <w:tc>
          <w:tcPr>
            <w:tcW w:type="dxa" w:w="4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4</w:t>
            </w:r>
          </w:p>
        </w:tc>
        <w:tc>
          <w:tcPr>
            <w:tcW w:type="dxa" w:w="32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The difference between Case 1, 2, and 3 valuation</w:t>
            </w:r>
          </w:p>
        </w:tc>
        <w:tc>
          <w:tcPr>
            <w:tcW w:type="dxa" w:w="18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pp. 152–155</w:t>
            </w:r>
          </w:p>
        </w:tc>
        <w:tc>
          <w:tcPr>
            <w:tcW w:type="dxa" w:w="8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w:t>
            </w:r>
          </w:p>
        </w:tc>
        <w:tc>
          <w:tcPr>
            <w:tcW w:type="dxa" w:w="316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Mapped informally. Formal cases not yet derived.</w:t>
            </w:r>
          </w:p>
        </w:tc>
      </w:tr>
      <w:tr>
        <w:tc>
          <w:tcPr>
            <w:tcW w:type="dxa" w:w="4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5</w:t>
            </w:r>
          </w:p>
        </w:tc>
        <w:tc>
          <w:tcPr>
            <w:tcW w:type="dxa" w:w="32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How the RE model captures value added in a strategy</w:t>
            </w:r>
          </w:p>
        </w:tc>
        <w:tc>
          <w:tcPr>
            <w:tcW w:type="dxa" w:w="18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pp. 159–161</w:t>
            </w:r>
          </w:p>
        </w:tc>
        <w:tc>
          <w:tcPr>
            <w:tcW w:type="dxa" w:w="8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w:t>
            </w:r>
          </w:p>
        </w:tc>
        <w:tc>
          <w:tcPr>
            <w:tcW w:type="dxa" w:w="316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Strategy evaluation not yet covered</w:t>
            </w:r>
          </w:p>
        </w:tc>
      </w:tr>
      <w:tr>
        <w:tc>
          <w:tcPr>
            <w:tcW w:type="dxa" w:w="4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6</w:t>
            </w:r>
          </w:p>
        </w:tc>
        <w:tc>
          <w:tcPr>
            <w:tcW w:type="dxa" w:w="32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Advantages and disadvantages of RE vs DDM and DCF</w:t>
            </w:r>
          </w:p>
        </w:tc>
        <w:tc>
          <w:tcPr>
            <w:tcW w:type="dxa" w:w="18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Box 5.5, p. 161</w:t>
            </w:r>
          </w:p>
        </w:tc>
        <w:tc>
          <w:tcPr>
            <w:tcW w:type="dxa" w:w="8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w:t>
            </w:r>
          </w:p>
        </w:tc>
        <w:tc>
          <w:tcPr>
            <w:tcW w:type="dxa" w:w="316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Comparison not yet covered</w:t>
            </w:r>
          </w:p>
        </w:tc>
      </w:tr>
      <w:tr>
        <w:tc>
          <w:tcPr>
            <w:tcW w:type="dxa" w:w="4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7</w:t>
            </w:r>
          </w:p>
        </w:tc>
        <w:tc>
          <w:tcPr>
            <w:tcW w:type="dxa" w:w="32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How RE protects from paying too much for earnings added by investment</w:t>
            </w:r>
          </w:p>
        </w:tc>
        <w:tc>
          <w:tcPr>
            <w:tcW w:type="dxa" w:w="18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pp. 162–163</w:t>
            </w:r>
          </w:p>
        </w:tc>
        <w:tc>
          <w:tcPr>
            <w:tcW w:type="dxa" w:w="8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w:t>
            </w:r>
          </w:p>
        </w:tc>
        <w:tc>
          <w:tcPr>
            <w:tcW w:type="dxa" w:w="316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Not yet covered</w:t>
            </w:r>
          </w:p>
        </w:tc>
      </w:tr>
      <w:tr>
        <w:tc>
          <w:tcPr>
            <w:tcW w:type="dxa" w:w="4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8</w:t>
            </w:r>
          </w:p>
        </w:tc>
        <w:tc>
          <w:tcPr>
            <w:tcW w:type="dxa" w:w="32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How RE protects from paying for earnings created by accounting methods</w:t>
            </w:r>
          </w:p>
        </w:tc>
        <w:tc>
          <w:tcPr>
            <w:tcW w:type="dxa" w:w="18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pp. 163–164</w:t>
            </w:r>
          </w:p>
        </w:tc>
        <w:tc>
          <w:tcPr>
            <w:tcW w:type="dxa" w:w="8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w:t>
            </w:r>
          </w:p>
        </w:tc>
        <w:tc>
          <w:tcPr>
            <w:tcW w:type="dxa" w:w="316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Not yet covered</w:t>
            </w:r>
          </w:p>
        </w:tc>
      </w:tr>
    </w:tbl>
    <w:p>
      <w:pPr>
        <w:spacing w:before="120"/>
      </w:pPr>
      <w:r>
        <w:rPr>
          <w:rFonts w:ascii="Calibri" w:cs="Calibri" w:eastAsia="Calibri" w:hAnsi="Calibri"/>
          <w:sz w:val="22"/>
          <w:szCs w:val="22"/>
        </w:rPr>
        <w:t xml:space="preserve"/>
      </w:r>
    </w:p>
    <w:p>
      <w:pPr>
        <w:pStyle w:val="Heading3"/>
        <w:spacing w:after="120" w:before="220"/>
      </w:pPr>
      <w:r>
        <w:rPr>
          <w:rFonts w:ascii="Calibri" w:cs="Calibri" w:eastAsia="Calibri" w:hAnsi="Calibri"/>
          <w:b/>
          <w:bCs/>
          <w:color w:val="2C5F46"/>
          <w:sz w:val="24"/>
          <w:szCs w:val="24"/>
        </w:rPr>
        <w:t xml:space="preserve">After reading this chapter you should be able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1400"/>
        <w:gridCol w:w="800"/>
        <w:gridCol w:w="2960"/>
      </w:tblGrid>
      <w:tr>
        <w:tc>
          <w:tcPr>
            <w:tcW w:type="dxa" w:w="400"/>
            <w:tcBorders>
              <w:top w:val="single" w:color="CCCCCC" w:sz="4"/>
              <w:left w:val="single" w:color="CCCCCC" w:sz="4"/>
              <w:bottom w:val="single" w:color="CCCCCC" w:sz="4"/>
              <w:right w:val="single" w:color="CCCCCC" w:sz="4"/>
            </w:tcBorders>
            <w:shd w:fill="1C3A2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3800"/>
            <w:tcBorders>
              <w:top w:val="single" w:color="CCCCCC" w:sz="4"/>
              <w:left w:val="single" w:color="CCCCCC" w:sz="4"/>
              <w:bottom w:val="single" w:color="CCCCCC" w:sz="4"/>
              <w:right w:val="single" w:color="CCCCCC" w:sz="4"/>
            </w:tcBorders>
            <w:shd w:fill="1C3A2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Item</w:t>
            </w:r>
          </w:p>
        </w:tc>
        <w:tc>
          <w:tcPr>
            <w:tcW w:type="dxa" w:w="1400"/>
            <w:tcBorders>
              <w:top w:val="single" w:color="CCCCCC" w:sz="4"/>
              <w:left w:val="single" w:color="CCCCCC" w:sz="4"/>
              <w:bottom w:val="single" w:color="CCCCCC" w:sz="4"/>
              <w:right w:val="single" w:color="CCCCCC" w:sz="4"/>
            </w:tcBorders>
            <w:shd w:fill="1C3A2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Test exercise</w:t>
            </w:r>
          </w:p>
        </w:tc>
        <w:tc>
          <w:tcPr>
            <w:tcW w:type="dxa" w:w="800"/>
            <w:tcBorders>
              <w:top w:val="single" w:color="CCCCCC" w:sz="4"/>
              <w:left w:val="single" w:color="CCCCCC" w:sz="4"/>
              <w:bottom w:val="single" w:color="CCCCCC" w:sz="4"/>
              <w:right w:val="single" w:color="CCCCCC" w:sz="4"/>
            </w:tcBorders>
            <w:shd w:fill="1C3A2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Status</w:t>
            </w:r>
          </w:p>
        </w:tc>
        <w:tc>
          <w:tcPr>
            <w:tcW w:type="dxa" w:w="2960"/>
            <w:tcBorders>
              <w:top w:val="single" w:color="CCCCCC" w:sz="4"/>
              <w:left w:val="single" w:color="CCCCCC" w:sz="4"/>
              <w:bottom w:val="single" w:color="CCCCCC" w:sz="4"/>
              <w:right w:val="single" w:color="CCCCCC" w:sz="4"/>
            </w:tcBorders>
            <w:shd w:fill="1C3A2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Note</w:t>
            </w:r>
          </w:p>
        </w:tc>
      </w:tr>
      <w:tr>
        <w:tc>
          <w:tcPr>
            <w:tcW w:type="dxa" w:w="4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9</w:t>
            </w:r>
          </w:p>
        </w:tc>
        <w:tc>
          <w:tcPr>
            <w:tcW w:type="dxa" w:w="38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Calculate residual earnings</w:t>
            </w:r>
          </w:p>
        </w:tc>
        <w:tc>
          <w:tcPr>
            <w:tcW w:type="dxa" w:w="14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E5.1</w:t>
            </w:r>
          </w:p>
        </w:tc>
        <w:tc>
          <w:tcPr>
            <w:tcW w:type="dxa" w:w="8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w:t>
            </w:r>
          </w:p>
        </w:tc>
        <w:tc>
          <w:tcPr>
            <w:tcW w:type="dxa" w:w="296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Formula understood; exercise not yet done</w:t>
            </w:r>
          </w:p>
        </w:tc>
      </w:tr>
      <w:tr>
        <w:tc>
          <w:tcPr>
            <w:tcW w:type="dxa" w:w="4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10</w:t>
            </w:r>
          </w:p>
        </w:tc>
        <w:tc>
          <w:tcPr>
            <w:tcW w:type="dxa" w:w="38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Calculate the value of equities and strategies from forecasts</w:t>
            </w:r>
          </w:p>
        </w:tc>
        <w:tc>
          <w:tcPr>
            <w:tcW w:type="dxa" w:w="14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E5.3, E5.4</w:t>
            </w:r>
          </w:p>
        </w:tc>
        <w:tc>
          <w:tcPr>
            <w:tcW w:type="dxa" w:w="8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w:t>
            </w:r>
          </w:p>
        </w:tc>
        <w:tc>
          <w:tcPr>
            <w:tcW w:type="dxa" w:w="296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Exercises not yet done</w:t>
            </w:r>
          </w:p>
        </w:tc>
      </w:tr>
      <w:tr>
        <w:tc>
          <w:tcPr>
            <w:tcW w:type="dxa" w:w="4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11</w:t>
            </w:r>
          </w:p>
        </w:tc>
        <w:tc>
          <w:tcPr>
            <w:tcW w:type="dxa" w:w="38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Calculate an intrinsic P/B ratio</w:t>
            </w:r>
          </w:p>
        </w:tc>
        <w:tc>
          <w:tcPr>
            <w:tcW w:type="dxa" w:w="14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E5.5</w:t>
            </w:r>
          </w:p>
        </w:tc>
        <w:tc>
          <w:tcPr>
            <w:tcW w:type="dxa" w:w="8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w:t>
            </w:r>
          </w:p>
        </w:tc>
        <w:tc>
          <w:tcPr>
            <w:tcW w:type="dxa" w:w="296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Formula understood; exercise not yet done</w:t>
            </w:r>
          </w:p>
        </w:tc>
      </w:tr>
      <w:tr>
        <w:tc>
          <w:tcPr>
            <w:tcW w:type="dxa" w:w="4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12</w:t>
            </w:r>
          </w:p>
        </w:tc>
        <w:tc>
          <w:tcPr>
            <w:tcW w:type="dxa" w:w="38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Calculate value added in a strategy</w:t>
            </w:r>
          </w:p>
        </w:tc>
        <w:tc>
          <w:tcPr>
            <w:tcW w:type="dxa" w:w="14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E5.7</w:t>
            </w:r>
          </w:p>
        </w:tc>
        <w:tc>
          <w:tcPr>
            <w:tcW w:type="dxa" w:w="8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w:t>
            </w:r>
          </w:p>
        </w:tc>
        <w:tc>
          <w:tcPr>
            <w:tcW w:type="dxa" w:w="296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Exercise not yet done</w:t>
            </w:r>
          </w:p>
        </w:tc>
      </w:tr>
      <w:tr>
        <w:tc>
          <w:tcPr>
            <w:tcW w:type="dxa" w:w="4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13</w:t>
            </w:r>
          </w:p>
        </w:tc>
        <w:tc>
          <w:tcPr>
            <w:tcW w:type="dxa" w:w="38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Convert an analyst's earnings forecast into a valuation</w:t>
            </w:r>
          </w:p>
        </w:tc>
        <w:tc>
          <w:tcPr>
            <w:tcW w:type="dxa" w:w="14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E5.13 (Nike)</w:t>
            </w:r>
          </w:p>
        </w:tc>
        <w:tc>
          <w:tcPr>
            <w:tcW w:type="dxa" w:w="8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w:t>
            </w:r>
          </w:p>
        </w:tc>
        <w:tc>
          <w:tcPr>
            <w:tcW w:type="dxa" w:w="296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Cornerstone of mastery</w:t>
            </w:r>
          </w:p>
        </w:tc>
      </w:tr>
    </w:tbl>
    <w:p>
      <w:pPr>
        <w:spacing w:before="200"/>
      </w:pPr>
      <w:r>
        <w:rPr>
          <w:rFonts w:ascii="Calibri" w:cs="Calibri" w:eastAsia="Calibri" w:hAnsi="Calibri"/>
          <w:b/>
          <w:bCs/>
          <w:sz w:val="22"/>
          <w:szCs w:val="22"/>
        </w:rPr>
        <w:t xml:space="preserve">Summary as of May 7, 2026: </w:t>
      </w:r>
      <w:r>
        <w:rPr>
          <w:rFonts w:ascii="Calibri" w:cs="Calibri" w:eastAsia="Calibri" w:hAnsi="Calibri"/>
          <w:sz w:val="22"/>
          <w:szCs w:val="22"/>
        </w:rPr>
        <w:t xml:space="preserve">3 ✅ · 3 ⚠️ · 7 ❌</w:t>
      </w:r>
    </w:p>
    <w:p>
      <w:pPr>
        <w:pBdr>
          <w:bottom w:val="single" w:color="CCCCCC" w:sz="6" w:space="1"/>
        </w:pBdr>
        <w:spacing w:after="200" w:before="200"/>
      </w:pPr>
      <w:r>
        <w:t xml:space="preserve"/>
      </w:r>
    </w:p>
    <w:p>
      <w:pPr>
        <w:pStyle w:val="Heading2"/>
        <w:spacing w:after="140" w:before="280"/>
      </w:pPr>
      <w:r>
        <w:rPr>
          <w:rFonts w:ascii="Calibri" w:cs="Calibri" w:eastAsia="Calibri" w:hAnsi="Calibri"/>
          <w:b/>
          <w:bCs/>
          <w:color w:val="1C3A2A"/>
          <w:sz w:val="28"/>
          <w:szCs w:val="28"/>
        </w:rPr>
        <w:t xml:space="preserve">Foundational observations</w:t>
      </w:r>
    </w:p>
    <w:p>
      <w:pPr>
        <w:pStyle w:val="ListParagraph"/>
        <w:numPr>
          <w:ilvl w:val="0"/>
          <w:numId w:val="2"/>
        </w:numPr>
        <w:spacing w:after="100"/>
      </w:pPr>
      <w:r>
        <w:rPr>
          <w:rFonts w:ascii="Calibri" w:cs="Calibri" w:eastAsia="Calibri" w:hAnsi="Calibri"/>
          <w:sz w:val="22"/>
          <w:szCs w:val="22"/>
        </w:rPr>
        <w:t xml:space="preserve">Firms trade at prices that differ from book value because some assets and liabilities are marked to market while others are recorded at historical cost — so book value may not reflect the firm's full value. (p. 140)</w:t>
      </w:r>
    </w:p>
    <w:p>
      <w:pPr>
        <w:pStyle w:val="ListParagraph"/>
        <w:numPr>
          <w:ilvl w:val="0"/>
          <w:numId w:val="2"/>
        </w:numPr>
        <w:spacing w:after="100"/>
      </w:pPr>
      <w:r>
        <w:rPr>
          <w:rFonts w:ascii="Calibri" w:cs="Calibri" w:eastAsia="Calibri" w:hAnsi="Calibri"/>
          <w:sz w:val="22"/>
          <w:szCs w:val="22"/>
        </w:rPr>
        <w:t xml:space="preserve">The value of shareholders' investment is based on how much the investment is expected to earn in the future. So book value is worth more or less depending upon the future earnings that net assets are likely to generate. (p. 141)</w:t>
      </w:r>
    </w:p>
    <w:p>
      <w:pPr>
        <w:pStyle w:val="ListParagraph"/>
        <w:numPr>
          <w:ilvl w:val="0"/>
          <w:numId w:val="2"/>
        </w:numPr>
        <w:spacing w:after="100"/>
      </w:pPr>
      <w:r>
        <w:rPr>
          <w:rFonts w:ascii="Calibri" w:cs="Calibri" w:eastAsia="Calibri" w:hAnsi="Calibri"/>
          <w:sz w:val="22"/>
          <w:szCs w:val="22"/>
        </w:rPr>
        <w:t xml:space="preserve">Profitability has a strong impact on the determination of the P/B ratio.</w:t>
      </w:r>
    </w:p>
    <w:p>
      <w:pPr>
        <w:pBdr>
          <w:bottom w:val="single" w:color="CCCCCC" w:sz="6" w:space="1"/>
        </w:pBdr>
        <w:spacing w:after="200" w:before="200"/>
      </w:pPr>
      <w:r>
        <w:t xml:space="preserve"/>
      </w:r>
    </w:p>
    <w:p>
      <w:pPr>
        <w:pStyle w:val="Heading2"/>
        <w:spacing w:after="140" w:before="280"/>
      </w:pPr>
      <w:r>
        <w:rPr>
          <w:rFonts w:ascii="Calibri" w:cs="Calibri" w:eastAsia="Calibri" w:hAnsi="Calibri"/>
          <w:b/>
          <w:bCs/>
          <w:color w:val="1C3A2A"/>
          <w:sz w:val="28"/>
          <w:szCs w:val="28"/>
        </w:rPr>
        <w:t xml:space="preserve">Definitions</w:t>
      </w:r>
    </w:p>
    <w:p>
      <w:pPr>
        <w:pStyle w:val="ListParagraph"/>
        <w:numPr>
          <w:ilvl w:val="0"/>
          <w:numId w:val="2"/>
        </w:numPr>
        <w:spacing w:after="100"/>
      </w:pPr>
      <w:r>
        <w:rPr>
          <w:rFonts w:ascii="Calibri" w:cs="Calibri" w:eastAsia="Calibri" w:hAnsi="Calibri"/>
          <w:b/>
          <w:bCs/>
          <w:sz w:val="22"/>
          <w:szCs w:val="22"/>
        </w:rPr>
        <w:t xml:space="preserve">Book value</w:t>
      </w:r>
      <w:r>
        <w:rPr>
          <w:rFonts w:ascii="Calibri" w:cs="Calibri" w:eastAsia="Calibri" w:hAnsi="Calibri"/>
          <w:sz w:val="22"/>
          <w:szCs w:val="22"/>
        </w:rPr>
        <w:t xml:space="preserve">: shareholders' investment in the firm. Net assets recognized on the balance sheet. (p. 141)</w:t>
      </w:r>
    </w:p>
    <w:p>
      <w:pPr>
        <w:pStyle w:val="ListParagraph"/>
        <w:numPr>
          <w:ilvl w:val="0"/>
          <w:numId w:val="2"/>
        </w:numPr>
        <w:spacing w:after="100"/>
      </w:pPr>
      <w:r>
        <w:rPr>
          <w:rFonts w:ascii="Calibri" w:cs="Calibri" w:eastAsia="Calibri" w:hAnsi="Calibri"/>
          <w:b/>
          <w:bCs/>
          <w:sz w:val="22"/>
          <w:szCs w:val="22"/>
        </w:rPr>
        <w:t xml:space="preserve">Profitability</w:t>
      </w:r>
      <w:r>
        <w:rPr>
          <w:rFonts w:ascii="Calibri" w:cs="Calibri" w:eastAsia="Calibri" w:hAnsi="Calibri"/>
          <w:sz w:val="22"/>
          <w:szCs w:val="22"/>
        </w:rPr>
        <w:t xml:space="preserve">: the rate of return on book value. (p. 141)</w:t>
      </w:r>
    </w:p>
    <w:p>
      <w:pPr>
        <w:pStyle w:val="ListParagraph"/>
        <w:numPr>
          <w:ilvl w:val="0"/>
          <w:numId w:val="2"/>
        </w:numPr>
        <w:spacing w:after="100"/>
      </w:pPr>
      <w:r>
        <w:rPr>
          <w:rFonts w:ascii="Calibri" w:cs="Calibri" w:eastAsia="Calibri" w:hAnsi="Calibri"/>
          <w:b/>
          <w:bCs/>
          <w:sz w:val="22"/>
          <w:szCs w:val="22"/>
        </w:rPr>
        <w:t xml:space="preserve">Residual Earnings (RE)</w:t>
      </w:r>
      <w:r>
        <w:rPr>
          <w:rFonts w:ascii="Calibri" w:cs="Calibri" w:eastAsia="Calibri" w:hAnsi="Calibri"/>
          <w:sz w:val="22"/>
          <w:szCs w:val="22"/>
        </w:rPr>
        <w:t xml:space="preserve">: the return on common equity (ROCE) expressed as a dollar excess return rather than a ratio. (p. 147)</w:t>
      </w:r>
    </w:p>
    <w:p>
      <w:pPr>
        <w:pStyle w:val="ListParagraph"/>
        <w:numPr>
          <w:ilvl w:val="0"/>
          <w:numId w:val="2"/>
        </w:numPr>
        <w:spacing w:after="100"/>
      </w:pPr>
      <w:r>
        <w:rPr>
          <w:rFonts w:ascii="Calibri" w:cs="Calibri" w:eastAsia="Calibri" w:hAnsi="Calibri"/>
          <w:b/>
          <w:bCs/>
          <w:sz w:val="22"/>
          <w:szCs w:val="22"/>
        </w:rPr>
        <w:t xml:space="preserve">Return on Common Equity (ROCE)</w:t>
      </w:r>
      <w:r>
        <w:rPr>
          <w:rFonts w:ascii="Calibri" w:cs="Calibri" w:eastAsia="Calibri" w:hAnsi="Calibri"/>
          <w:sz w:val="22"/>
          <w:szCs w:val="22"/>
        </w:rPr>
        <w:t xml:space="preserve"> — Box 5.1, p. 147:</w:t>
      </w:r>
    </w:p>
    <w:p>
      <w:pPr>
        <w:shd w:fill="F4F4F0" w:val="clear"/>
        <w:spacing w:after="120" w:before="120" w:line="260"/>
        <w:ind w:left="360"/>
      </w:pPr>
      <w:r>
        <w:rPr>
          <w:rFonts w:ascii="Consolas" w:cs="Consolas" w:eastAsia="Consolas" w:hAnsi="Consolas"/>
          <w:sz w:val="20"/>
          <w:szCs w:val="20"/>
        </w:rPr>
        <w:t xml:space="preserve">ROCE_t = Comprehensive Income_t / [(B_(t−1) + B_t) / 2]</w:t>
      </w:r>
    </w:p>
    <w:p>
      <w:pPr>
        <w:spacing w:after="120"/>
        <w:ind w:left="720"/>
      </w:pPr>
      <w:r>
        <w:rPr>
          <w:rFonts w:ascii="Calibri" w:cs="Calibri" w:eastAsia="Calibri" w:hAnsi="Calibri"/>
          <w:sz w:val="22"/>
          <w:szCs w:val="22"/>
        </w:rPr>
        <w:t xml:space="preserve">ROCE is the </w:t>
      </w:r>
      <w:r>
        <w:rPr>
          <w:rFonts w:ascii="Calibri" w:cs="Calibri" w:eastAsia="Calibri" w:hAnsi="Calibri"/>
          <w:i/>
          <w:iCs/>
          <w:sz w:val="22"/>
          <w:szCs w:val="22"/>
        </w:rPr>
        <w:t xml:space="preserve">rate</w:t>
      </w:r>
      <w:r>
        <w:rPr>
          <w:rFonts w:ascii="Calibri" w:cs="Calibri" w:eastAsia="Calibri" w:hAnsi="Calibri"/>
          <w:sz w:val="22"/>
          <w:szCs w:val="22"/>
        </w:rPr>
        <w:t xml:space="preserve"> of return on book value. The denominator is the average of beginning- and end-of-period book values.</w:t>
      </w:r>
    </w:p>
    <w:p>
      <w:pPr>
        <w:pStyle w:val="ListParagraph"/>
        <w:numPr>
          <w:ilvl w:val="0"/>
          <w:numId w:val="2"/>
        </w:numPr>
        <w:spacing w:after="100"/>
      </w:pPr>
      <w:r>
        <w:rPr>
          <w:rFonts w:ascii="Calibri" w:cs="Calibri" w:eastAsia="Calibri" w:hAnsi="Calibri"/>
          <w:b/>
          <w:bCs/>
          <w:sz w:val="22"/>
          <w:szCs w:val="22"/>
        </w:rPr>
        <w:t xml:space="preserve">P/B ratio</w:t>
      </w:r>
      <w:r>
        <w:rPr>
          <w:rFonts w:ascii="Calibri" w:cs="Calibri" w:eastAsia="Calibri" w:hAnsi="Calibri"/>
          <w:sz w:val="22"/>
          <w:szCs w:val="22"/>
        </w:rPr>
        <w:t xml:space="preserve">: prices the expected return on book value. (p. 142)</w:t>
      </w:r>
    </w:p>
    <w:p>
      <w:pPr>
        <w:pStyle w:val="ListParagraph"/>
        <w:numPr>
          <w:ilvl w:val="0"/>
          <w:numId w:val="2"/>
        </w:numPr>
        <w:spacing w:after="100"/>
      </w:pPr>
      <w:r>
        <w:rPr>
          <w:rFonts w:ascii="Calibri" w:cs="Calibri" w:eastAsia="Calibri" w:hAnsi="Calibri"/>
          <w:b/>
          <w:bCs/>
          <w:sz w:val="22"/>
          <w:szCs w:val="22"/>
        </w:rPr>
        <w:t xml:space="preserve">Intrinsic premium over book</w:t>
      </w:r>
      <w:r>
        <w:rPr>
          <w:rFonts w:ascii="Calibri" w:cs="Calibri" w:eastAsia="Calibri" w:hAnsi="Calibri"/>
          <w:sz w:val="22"/>
          <w:szCs w:val="22"/>
        </w:rPr>
        <w:t xml:space="preserve">: the difference between the intrinsic value of equity and its book value (V₀ᴱ − B₀). Represents the value not yet recognized on the balance sheet. (p. 145)</w:t>
      </w:r>
    </w:p>
    <w:p>
      <w:pPr>
        <w:pStyle w:val="ListParagraph"/>
        <w:numPr>
          <w:ilvl w:val="0"/>
          <w:numId w:val="2"/>
        </w:numPr>
        <w:spacing w:after="100"/>
      </w:pPr>
      <w:r>
        <w:rPr>
          <w:rFonts w:ascii="Calibri" w:cs="Calibri" w:eastAsia="Calibri" w:hAnsi="Calibri"/>
          <w:b/>
          <w:bCs/>
          <w:sz w:val="22"/>
          <w:szCs w:val="22"/>
        </w:rPr>
        <w:t xml:space="preserve">Intrinsic price-to-book ratio</w:t>
      </w:r>
      <w:r>
        <w:rPr>
          <w:rFonts w:ascii="Calibri" w:cs="Calibri" w:eastAsia="Calibri" w:hAnsi="Calibri"/>
          <w:sz w:val="22"/>
          <w:szCs w:val="22"/>
        </w:rPr>
        <w:t xml:space="preserve">: V₀ᴱ / B₀. The intrinsic counterpart of the observed market P/B. (p. 145)</w:t>
      </w:r>
    </w:p>
    <w:p>
      <w:pPr>
        <w:pBdr>
          <w:bottom w:val="single" w:color="CCCCCC" w:sz="6" w:space="1"/>
        </w:pBdr>
        <w:spacing w:after="200" w:before="200"/>
      </w:pPr>
      <w:r>
        <w:t xml:space="preserve"/>
      </w:r>
    </w:p>
    <w:p>
      <w:pPr>
        <w:pStyle w:val="Heading2"/>
        <w:spacing w:after="140" w:before="280"/>
      </w:pPr>
      <w:r>
        <w:rPr>
          <w:rFonts w:ascii="Calibri" w:cs="Calibri" w:eastAsia="Calibri" w:hAnsi="Calibri"/>
          <w:b/>
          <w:bCs/>
          <w:color w:val="1C3A2A"/>
          <w:sz w:val="28"/>
          <w:szCs w:val="28"/>
        </w:rPr>
        <w:t xml:space="preserve">Equations</w:t>
      </w:r>
    </w:p>
    <w:p>
      <w:pPr>
        <w:pStyle w:val="Heading3"/>
        <w:spacing w:after="120" w:before="220"/>
      </w:pPr>
      <w:r>
        <w:rPr>
          <w:rFonts w:ascii="Calibri" w:cs="Calibri" w:eastAsia="Calibri" w:hAnsi="Calibri"/>
          <w:b/>
          <w:bCs/>
          <w:color w:val="2C5F46"/>
          <w:sz w:val="24"/>
          <w:szCs w:val="24"/>
        </w:rPr>
        <w:t xml:space="preserve">Eq. 5.2 — Residual Earnings (dollar form)</w:t>
      </w:r>
    </w:p>
    <w:p>
      <w:pPr>
        <w:shd w:fill="F4F4F0" w:val="clear"/>
        <w:spacing w:after="120" w:before="120" w:line="260"/>
        <w:ind w:left="360"/>
      </w:pPr>
      <w:r>
        <w:rPr>
          <w:rFonts w:ascii="Consolas" w:cs="Consolas" w:eastAsia="Consolas" w:hAnsi="Consolas"/>
          <w:sz w:val="20"/>
          <w:szCs w:val="20"/>
        </w:rPr>
        <w:t xml:space="preserve">RE_t = Earn_t − r × B_(t−1)</w:t>
      </w:r>
    </w:p>
    <w:p>
      <w:pPr>
        <w:spacing w:after="120"/>
      </w:pPr>
      <w:r>
        <w:rPr>
          <w:rFonts w:ascii="Calibri" w:cs="Calibri" w:eastAsia="Calibri" w:hAnsi="Calibri"/>
          <w:b/>
          <w:bCs/>
          <w:sz w:val="22"/>
          <w:szCs w:val="22"/>
        </w:rPr>
        <w:t xml:space="preserve">Penman notation:</w:t>
      </w:r>
    </w:p>
    <w:p>
      <w:pPr>
        <w:shd w:fill="F4F4F0" w:val="clear"/>
        <w:spacing w:after="120" w:before="120" w:line="260"/>
        <w:ind w:left="360"/>
      </w:pPr>
      <w:r>
        <w:rPr>
          <w:rFonts w:ascii="Consolas" w:cs="Consolas" w:eastAsia="Consolas" w:hAnsi="Consolas"/>
          <w:sz w:val="20"/>
          <w:szCs w:val="20"/>
        </w:rPr>
        <w:t xml:space="preserve">RE_t = Earn_t − (ρ_E − 1) × B_(t−1)</w:t>
      </w:r>
    </w:p>
    <w:p>
      <w:pPr>
        <w:spacing w:after="120"/>
      </w:pPr>
      <w:r>
        <w:rPr>
          <w:rFonts w:ascii="Calibri" w:cs="Calibri" w:eastAsia="Calibri" w:hAnsi="Calibri"/>
          <w:sz w:val="22"/>
          <w:szCs w:val="22"/>
        </w:rPr>
        <w:t xml:space="preserve">where </w:t>
      </w:r>
      <w:r>
        <w:rPr>
          <w:rFonts w:ascii="Consolas" w:cs="Consolas" w:eastAsia="Consolas" w:hAnsi="Consolas"/>
          <w:sz w:val="20"/>
          <w:szCs w:val="20"/>
        </w:rPr>
        <w:t xml:space="preserve">ρ_E = 1 + r</w:t>
      </w:r>
      <w:r>
        <w:rPr>
          <w:rFonts w:ascii="Calibri" w:cs="Calibri" w:eastAsia="Calibri" w:hAnsi="Calibri"/>
          <w:sz w:val="22"/>
          <w:szCs w:val="22"/>
        </w:rPr>
        <w:t xml:space="preserve"> (one plus the required equity return).</w:t>
      </w:r>
    </w:p>
    <w:p>
      <w:pPr>
        <w:spacing w:before="200"/>
      </w:pPr>
      <w:r>
        <w:rPr>
          <w:rFonts w:ascii="Calibri" w:cs="Calibri" w:eastAsia="Calibri" w:hAnsi="Calibri"/>
          <w:b/>
          <w:bCs/>
          <w:sz w:val="22"/>
          <w:szCs w:val="22"/>
        </w:rPr>
        <w:t xml:space="preserve">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1C3A2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Symbol</w:t>
            </w:r>
          </w:p>
        </w:tc>
        <w:tc>
          <w:tcPr>
            <w:tcW w:type="dxa" w:w="7360"/>
            <w:tcBorders>
              <w:top w:val="single" w:color="CCCCCC" w:sz="4"/>
              <w:left w:val="single" w:color="CCCCCC" w:sz="4"/>
              <w:bottom w:val="single" w:color="CCCCCC" w:sz="4"/>
              <w:right w:val="single" w:color="CCCCCC" w:sz="4"/>
            </w:tcBorders>
            <w:shd w:fill="1C3A2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Meaning</w:t>
            </w:r>
          </w:p>
        </w:tc>
      </w:tr>
      <w:tr>
        <w:tc>
          <w:tcPr>
            <w:tcW w:type="dxa" w:w="20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w:t>
            </w:r>
          </w:p>
        </w:tc>
        <w:tc>
          <w:tcPr>
            <w:tcW w:type="dxa" w:w="736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required rate of return on equity (cost of capital)</w:t>
            </w:r>
          </w:p>
        </w:tc>
      </w:tr>
      <w:tr>
        <w:tc>
          <w:tcPr>
            <w:tcW w:type="dxa" w:w="20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B_(t−1)</w:t>
            </w:r>
          </w:p>
        </w:tc>
        <w:tc>
          <w:tcPr>
            <w:tcW w:type="dxa" w:w="736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book value of equity on the balance sheet of the previous year</w:t>
            </w:r>
          </w:p>
        </w:tc>
      </w:tr>
      <w:tr>
        <w:tc>
          <w:tcPr>
            <w:tcW w:type="dxa" w:w="20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Earn_t</w:t>
            </w:r>
          </w:p>
        </w:tc>
        <w:tc>
          <w:tcPr>
            <w:tcW w:type="dxa" w:w="736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comprehensive income for the current year</w:t>
            </w:r>
          </w:p>
        </w:tc>
      </w:tr>
      <w:tr>
        <w:tc>
          <w:tcPr>
            <w:tcW w:type="dxa" w:w="20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ρ_E</w:t>
            </w:r>
          </w:p>
        </w:tc>
        <w:tc>
          <w:tcPr>
            <w:tcW w:type="dxa" w:w="736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one plus the required equity return</w:t>
            </w:r>
          </w:p>
        </w:tc>
      </w:tr>
    </w:tbl>
    <w:p>
      <w:pPr>
        <w:spacing w:before="200"/>
      </w:pPr>
      <w:r>
        <w:rPr>
          <w:rFonts w:ascii="Calibri" w:cs="Calibri" w:eastAsia="Calibri" w:hAnsi="Calibri"/>
          <w:b/>
          <w:bCs/>
          <w:sz w:val="22"/>
          <w:szCs w:val="22"/>
        </w:rPr>
        <w:t xml:space="preserve">Intuition (opportunity cost). </w:t>
      </w:r>
      <w:r>
        <w:rPr>
          <w:rFonts w:ascii="Calibri" w:cs="Calibri" w:eastAsia="Calibri" w:hAnsi="Calibri"/>
          <w:sz w:val="22"/>
          <w:szCs w:val="22"/>
        </w:rPr>
        <w:t xml:space="preserve">B_(t−1) is the capital necessary to generate Earn_t. Had this capital not been deployed in this business, it would have been employed elsewhere. From this reality emerges, intuitively, the concept of opportunity cost — and thus the logical justification of the required return r in the RE equation. RE captures only the earnings </w:t>
      </w:r>
      <w:r>
        <w:rPr>
          <w:rFonts w:ascii="Calibri" w:cs="Calibri" w:eastAsia="Calibri" w:hAnsi="Calibri"/>
          <w:i/>
          <w:iCs/>
          <w:sz w:val="22"/>
          <w:szCs w:val="22"/>
        </w:rPr>
        <w:t xml:space="preserve">above</w:t>
      </w:r>
      <w:r>
        <w:rPr>
          <w:rFonts w:ascii="Calibri" w:cs="Calibri" w:eastAsia="Calibri" w:hAnsi="Calibri"/>
          <w:sz w:val="22"/>
          <w:szCs w:val="22"/>
        </w:rPr>
        <w:t xml:space="preserve"> this required minimum.</w:t>
      </w:r>
    </w:p>
    <w:p>
      <w:pPr>
        <w:spacing w:before="160"/>
      </w:pPr>
      <w:r>
        <w:rPr>
          <w:rFonts w:ascii="Calibri" w:cs="Calibri" w:eastAsia="Calibri" w:hAnsi="Calibri"/>
          <w:b/>
          <w:bCs/>
          <w:sz w:val="22"/>
          <w:szCs w:val="22"/>
        </w:rPr>
        <w:t xml:space="preserve">Economic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1C3A2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RE</w:t>
            </w:r>
          </w:p>
        </w:tc>
        <w:tc>
          <w:tcPr>
            <w:tcW w:type="dxa" w:w="7360"/>
            <w:tcBorders>
              <w:top w:val="single" w:color="CCCCCC" w:sz="4"/>
              <w:left w:val="single" w:color="CCCCCC" w:sz="4"/>
              <w:bottom w:val="single" w:color="CCCCCC" w:sz="4"/>
              <w:right w:val="single" w:color="CCCCCC" w:sz="4"/>
            </w:tcBorders>
            <w:shd w:fill="1C3A2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Meaning</w:t>
            </w:r>
          </w:p>
        </w:tc>
      </w:tr>
      <w:tr>
        <w:tc>
          <w:tcPr>
            <w:tcW w:type="dxa" w:w="20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 &gt; 0</w:t>
            </w:r>
          </w:p>
        </w:tc>
        <w:tc>
          <w:tcPr>
            <w:tcW w:type="dxa" w:w="736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Firm creates value (earns above cost of capital)</w:t>
            </w:r>
          </w:p>
        </w:tc>
      </w:tr>
      <w:tr>
        <w:tc>
          <w:tcPr>
            <w:tcW w:type="dxa" w:w="20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 = 0</w:t>
            </w:r>
          </w:p>
        </w:tc>
        <w:tc>
          <w:tcPr>
            <w:tcW w:type="dxa" w:w="736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Firm preserves value (earns exactly cost of capital)</w:t>
            </w:r>
          </w:p>
        </w:tc>
      </w:tr>
      <w:tr>
        <w:tc>
          <w:tcPr>
            <w:tcW w:type="dxa" w:w="20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 &lt; 0</w:t>
            </w:r>
          </w:p>
        </w:tc>
        <w:tc>
          <w:tcPr>
            <w:tcW w:type="dxa" w:w="736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Firm destroys value (earns below cost of capital)</w:t>
            </w:r>
          </w:p>
        </w:tc>
      </w:tr>
    </w:tbl>
    <w:p>
      <w:pPr>
        <w:spacing w:before="200"/>
      </w:pPr>
      <w:r>
        <w:rPr>
          <w:rFonts w:ascii="Calibri" w:cs="Calibri" w:eastAsia="Calibri" w:hAnsi="Calibri"/>
          <w:sz w:val="22"/>
          <w:szCs w:val="22"/>
        </w:rPr>
        <w:t xml:space="preserve"/>
      </w:r>
    </w:p>
    <w:p>
      <w:pPr>
        <w:pStyle w:val="Heading3"/>
        <w:spacing w:after="120" w:before="220"/>
      </w:pPr>
      <w:r>
        <w:rPr>
          <w:rFonts w:ascii="Calibri" w:cs="Calibri" w:eastAsia="Calibri" w:hAnsi="Calibri"/>
          <w:b/>
          <w:bCs/>
          <w:color w:val="2C5F46"/>
          <w:sz w:val="24"/>
          <w:szCs w:val="24"/>
        </w:rPr>
        <w:t xml:space="preserve">Eq. 5.2 reformulated — RE as spread × base (p. 147)</w:t>
      </w:r>
    </w:p>
    <w:p>
      <w:pPr>
        <w:shd w:fill="F4F4F0" w:val="clear"/>
        <w:spacing w:after="120" w:before="120" w:line="260"/>
        <w:ind w:left="360"/>
      </w:pPr>
      <w:r>
        <w:rPr>
          <w:rFonts w:ascii="Consolas" w:cs="Consolas" w:eastAsia="Consolas" w:hAnsi="Consolas"/>
          <w:sz w:val="20"/>
          <w:szCs w:val="20"/>
        </w:rPr>
        <w:t xml:space="preserve">RE_t = (ROCE_t − r) × B_(t−1)</w:t>
      </w:r>
    </w:p>
    <w:p>
      <w:pPr>
        <w:spacing w:after="120"/>
      </w:pPr>
      <w:r>
        <w:rPr>
          <w:rFonts w:ascii="Calibri" w:cs="Calibri" w:eastAsia="Calibri" w:hAnsi="Calibri"/>
          <w:sz w:val="22"/>
          <w:szCs w:val="22"/>
        </w:rPr>
        <w:t xml:space="preserve">This is mathematically identical to the dollar form, but reveals the </w:t>
      </w:r>
      <w:r>
        <w:rPr>
          <w:rFonts w:ascii="Calibri" w:cs="Calibri" w:eastAsia="Calibri" w:hAnsi="Calibri"/>
          <w:b/>
          <w:bCs/>
          <w:sz w:val="22"/>
          <w:szCs w:val="22"/>
        </w:rPr>
        <w:t xml:space="preserve">two value drivers</w:t>
      </w:r>
      <w:r>
        <w:rPr>
          <w:rFonts w:ascii="Calibri" w:cs="Calibri" w:eastAsia="Calibri" w:hAnsi="Calibri"/>
          <w:sz w:val="22"/>
          <w:szCs w:val="22"/>
        </w:rPr>
        <w:t xml:space="preserve"> explicitly: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1C3A2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Component</w:t>
            </w:r>
          </w:p>
        </w:tc>
        <w:tc>
          <w:tcPr>
            <w:tcW w:type="dxa" w:w="6960"/>
            <w:tcBorders>
              <w:top w:val="single" w:color="CCCCCC" w:sz="4"/>
              <w:left w:val="single" w:color="CCCCCC" w:sz="4"/>
              <w:bottom w:val="single" w:color="CCCCCC" w:sz="4"/>
              <w:right w:val="single" w:color="CCCCCC" w:sz="4"/>
            </w:tcBorders>
            <w:shd w:fill="1C3A2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Meaning</w:t>
            </w:r>
          </w:p>
        </w:tc>
      </w:tr>
      <w:tr>
        <w:tc>
          <w:tcPr>
            <w:tcW w:type="dxa" w:w="24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(ROCE_t − r)</w:t>
            </w:r>
          </w:p>
        </w:tc>
        <w:tc>
          <w:tcPr>
            <w:tcW w:type="dxa" w:w="696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Spread — profitability above hurdle rate</w:t>
            </w:r>
          </w:p>
        </w:tc>
      </w:tr>
      <w:tr>
        <w:tc>
          <w:tcPr>
            <w:tcW w:type="dxa" w:w="24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B_(t−1)</w:t>
            </w:r>
          </w:p>
        </w:tc>
        <w:tc>
          <w:tcPr>
            <w:tcW w:type="dxa" w:w="696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Base — capital employed</w:t>
            </w:r>
          </w:p>
        </w:tc>
      </w:tr>
    </w:tbl>
    <w:p>
      <w:pPr>
        <w:spacing w:before="160"/>
      </w:pPr>
      <w:r>
        <w:rPr>
          <w:rFonts w:ascii="Calibri" w:cs="Calibri" w:eastAsia="Calibri" w:hAnsi="Calibri"/>
          <w:sz w:val="22"/>
          <w:szCs w:val="22"/>
        </w:rPr>
        <w:t xml:space="preserve">A firm increases its RE — and therefore its value above book — by:</w:t>
      </w:r>
    </w:p>
    <w:p>
      <w:pPr>
        <w:pStyle w:val="ListParagraph"/>
        <w:numPr>
          <w:ilvl w:val="0"/>
          <w:numId w:val="2"/>
        </w:numPr>
        <w:spacing w:after="100"/>
      </w:pPr>
      <w:r>
        <w:rPr>
          <w:rFonts w:ascii="Calibri" w:cs="Calibri" w:eastAsia="Calibri" w:hAnsi="Calibri"/>
          <w:sz w:val="22"/>
          <w:szCs w:val="22"/>
        </w:rPr>
        <w:t xml:space="preserve">Increasing ROCE above r (improving the spread)</w:t>
      </w:r>
    </w:p>
    <w:p>
      <w:pPr>
        <w:pStyle w:val="ListParagraph"/>
        <w:numPr>
          <w:ilvl w:val="0"/>
          <w:numId w:val="2"/>
        </w:numPr>
        <w:spacing w:after="100"/>
      </w:pPr>
      <w:r>
        <w:rPr>
          <w:rFonts w:ascii="Calibri" w:cs="Calibri" w:eastAsia="Calibri" w:hAnsi="Calibri"/>
          <w:sz w:val="22"/>
          <w:szCs w:val="22"/>
        </w:rPr>
        <w:t xml:space="preserve">Growing book value at that ROCE (expanding the base)</w:t>
      </w:r>
    </w:p>
    <w:p>
      <w:pPr>
        <w:spacing w:before="200"/>
      </w:pPr>
      <w:r>
        <w:rPr>
          <w:rFonts w:ascii="Calibri" w:cs="Calibri" w:eastAsia="Calibri" w:hAnsi="Calibri"/>
          <w:sz w:val="22"/>
          <w:szCs w:val="22"/>
        </w:rPr>
        <w:t xml:space="preserve"/>
      </w:r>
    </w:p>
    <w:p>
      <w:pPr>
        <w:pStyle w:val="Heading3"/>
        <w:spacing w:after="120" w:before="220"/>
      </w:pPr>
      <w:r>
        <w:rPr>
          <w:rFonts w:ascii="Calibri" w:cs="Calibri" w:eastAsia="Calibri" w:hAnsi="Calibri"/>
          <w:b/>
          <w:bCs/>
          <w:color w:val="2C5F46"/>
          <w:sz w:val="24"/>
          <w:szCs w:val="24"/>
        </w:rPr>
        <w:t xml:space="preserve">Eq. 5.1 — Residual Earnings Valuation Model</w:t>
      </w:r>
    </w:p>
    <w:p>
      <w:pPr>
        <w:shd w:fill="F4F4F0" w:val="clear"/>
        <w:spacing w:after="120" w:before="120" w:line="260"/>
        <w:ind w:left="360"/>
      </w:pPr>
      <w:r>
        <w:rPr>
          <w:rFonts w:ascii="Consolas" w:cs="Consolas" w:eastAsia="Consolas" w:hAnsi="Consolas"/>
          <w:sz w:val="20"/>
          <w:szCs w:val="20"/>
        </w:rPr>
        <w:t xml:space="preserve">V_0^E = B_0 + RE_1/ρ_E + RE_2/ρ_E² + RE_3/ρ_E³ + ...     (p. 145)</w:t>
      </w:r>
    </w:p>
    <w:p>
      <w:pPr>
        <w:spacing w:after="120"/>
      </w:pPr>
      <w:r>
        <w:rPr>
          <w:rFonts w:ascii="Calibri" w:cs="Calibri" w:eastAsia="Calibri" w:hAnsi="Calibri"/>
          <w:b/>
          <w:bCs/>
          <w:sz w:val="22"/>
          <w:szCs w:val="22"/>
        </w:rPr>
        <w:t xml:space="preserve">Compact form:</w:t>
      </w:r>
    </w:p>
    <w:p>
      <w:pPr>
        <w:shd w:fill="F4F4F0" w:val="clear"/>
        <w:spacing w:after="120" w:before="120" w:line="260"/>
        <w:ind w:left="360"/>
      </w:pPr>
      <w:r>
        <w:rPr>
          <w:rFonts w:ascii="Consolas" w:cs="Consolas" w:eastAsia="Consolas" w:hAnsi="Consolas"/>
          <w:sz w:val="20"/>
          <w:szCs w:val="20"/>
        </w:rPr>
        <w:t xml:space="preserve">V_0^E = B_0 + Σ (RE_t / ρ_E^t)     for t = 1 to ∞</w:t>
      </w:r>
    </w:p>
    <w:p>
      <w:pPr>
        <w:spacing w:before="160"/>
      </w:pPr>
      <w:r>
        <w:rPr>
          <w:rFonts w:ascii="Calibri" w:cs="Calibri" w:eastAsia="Calibri" w:hAnsi="Calibri"/>
          <w:b/>
          <w:bCs/>
          <w:sz w:val="22"/>
          <w:szCs w:val="22"/>
        </w:rPr>
        <w:t xml:space="preserve">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1C3A2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Symbol</w:t>
            </w:r>
          </w:p>
        </w:tc>
        <w:tc>
          <w:tcPr>
            <w:tcW w:type="dxa" w:w="7360"/>
            <w:tcBorders>
              <w:top w:val="single" w:color="CCCCCC" w:sz="4"/>
              <w:left w:val="single" w:color="CCCCCC" w:sz="4"/>
              <w:bottom w:val="single" w:color="CCCCCC" w:sz="4"/>
              <w:right w:val="single" w:color="CCCCCC" w:sz="4"/>
            </w:tcBorders>
            <w:shd w:fill="1C3A2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Meaning</w:t>
            </w:r>
          </w:p>
        </w:tc>
      </w:tr>
      <w:tr>
        <w:tc>
          <w:tcPr>
            <w:tcW w:type="dxa" w:w="20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V_0^E</w:t>
            </w:r>
          </w:p>
        </w:tc>
        <w:tc>
          <w:tcPr>
            <w:tcW w:type="dxa" w:w="736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intrinsic value of common equity at time 0</w:t>
            </w:r>
          </w:p>
        </w:tc>
      </w:tr>
      <w:tr>
        <w:tc>
          <w:tcPr>
            <w:tcW w:type="dxa" w:w="20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B_0</w:t>
            </w:r>
          </w:p>
        </w:tc>
        <w:tc>
          <w:tcPr>
            <w:tcW w:type="dxa" w:w="736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current book value of equity</w:t>
            </w:r>
          </w:p>
        </w:tc>
      </w:tr>
      <w:tr>
        <w:tc>
          <w:tcPr>
            <w:tcW w:type="dxa" w:w="20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RE_t</w:t>
            </w:r>
          </w:p>
        </w:tc>
        <w:tc>
          <w:tcPr>
            <w:tcW w:type="dxa" w:w="736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residual earnings forecast for year t</w:t>
            </w:r>
          </w:p>
        </w:tc>
      </w:tr>
      <w:tr>
        <w:tc>
          <w:tcPr>
            <w:tcW w:type="dxa" w:w="20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ρ_E^t</w:t>
            </w:r>
          </w:p>
        </w:tc>
        <w:tc>
          <w:tcPr>
            <w:tcW w:type="dxa" w:w="736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(1 + r)^t — compound discount factor at horizon t</w:t>
            </w:r>
          </w:p>
        </w:tc>
      </w:tr>
    </w:tbl>
    <w:p>
      <w:pPr>
        <w:spacing w:before="200"/>
      </w:pPr>
      <w:r>
        <w:rPr>
          <w:rFonts w:ascii="Calibri" w:cs="Calibri" w:eastAsia="Calibri" w:hAnsi="Calibri"/>
          <w:b/>
          <w:bCs/>
          <w:sz w:val="22"/>
          <w:szCs w:val="22"/>
        </w:rPr>
        <w:t xml:space="preserve">Two derived quantities:</w:t>
      </w:r>
    </w:p>
    <w:p>
      <w:pPr>
        <w:shd w:fill="F4F4F0" w:val="clear"/>
        <w:spacing w:after="120" w:before="120" w:line="260"/>
        <w:ind w:left="360"/>
      </w:pPr>
      <w:r>
        <w:rPr>
          <w:rFonts w:ascii="Consolas" w:cs="Consolas" w:eastAsia="Consolas" w:hAnsi="Consolas"/>
          <w:sz w:val="20"/>
          <w:szCs w:val="20"/>
        </w:rPr>
        <w:t xml:space="preserve">Intrinsic premium over book:    V_0^E − B_0 = Σ RE_t / ρ_E^t</w:t>
      </w:r>
    </w:p>
    <w:p>
      <w:pPr>
        <w:shd w:fill="F4F4F0" w:val="clear"/>
        <w:spacing w:after="120" w:before="120" w:line="260"/>
        <w:ind w:left="360"/>
      </w:pPr>
      <w:r>
        <w:rPr>
          <w:rFonts w:ascii="Consolas" w:cs="Consolas" w:eastAsia="Consolas" w:hAnsi="Consolas"/>
          <w:sz w:val="20"/>
          <w:szCs w:val="20"/>
        </w:rPr>
        <w:t xml:space="preserve">Intrinsic price-to-book ratio:  V_0^E / B_0 = 1 + (Σ RE_t / ρ_E^t) / B_0</w:t>
      </w:r>
    </w:p>
    <w:p>
      <w:pPr>
        <w:spacing w:before="160"/>
      </w:pPr>
      <w:r>
        <w:rPr>
          <w:rFonts w:ascii="Calibri" w:cs="Calibri" w:eastAsia="Calibri" w:hAnsi="Calibri"/>
          <w:b/>
          <w:bCs/>
          <w:sz w:val="22"/>
          <w:szCs w:val="22"/>
        </w:rPr>
        <w:t xml:space="preserve">Going concern assumption. </w:t>
      </w:r>
      <w:r>
        <w:rPr>
          <w:rFonts w:ascii="Calibri" w:cs="Calibri" w:eastAsia="Calibri" w:hAnsi="Calibri"/>
          <w:sz w:val="22"/>
          <w:szCs w:val="22"/>
        </w:rPr>
        <w:t xml:space="preserve">The sum extends to infinity because the firm is assumed to operate indefinitely. Under liquidation assumption, the model would change.</w:t>
      </w:r>
    </w:p>
    <w:p>
      <w:pPr>
        <w:spacing w:before="200"/>
      </w:pPr>
      <w:r>
        <w:rPr>
          <w:rFonts w:ascii="Calibri" w:cs="Calibri" w:eastAsia="Calibri" w:hAnsi="Calibri"/>
          <w:sz w:val="22"/>
          <w:szCs w:val="22"/>
        </w:rPr>
        <w:t xml:space="preserve"/>
      </w:r>
    </w:p>
    <w:p>
      <w:pPr>
        <w:pStyle w:val="Heading3"/>
        <w:spacing w:after="120" w:before="220"/>
      </w:pPr>
      <w:r>
        <w:rPr>
          <w:rFonts w:ascii="Calibri" w:cs="Calibri" w:eastAsia="Calibri" w:hAnsi="Calibri"/>
          <w:b/>
          <w:bCs/>
          <w:color w:val="2C5F46"/>
          <w:sz w:val="24"/>
          <w:szCs w:val="24"/>
        </w:rPr>
        <w:t xml:space="preserve">From Eq. 5.2 reformulated to the Normal P/B condition</w:t>
      </w:r>
    </w:p>
    <w:p>
      <w:pPr>
        <w:spacing w:after="120"/>
      </w:pPr>
      <w:r>
        <w:rPr>
          <w:rFonts w:ascii="Calibri" w:cs="Calibri" w:eastAsia="Calibri" w:hAnsi="Calibri"/>
          <w:sz w:val="22"/>
          <w:szCs w:val="22"/>
        </w:rPr>
        <w:t xml:space="preserve">If ROCE = r, then by Eq. 5.2 reformulated:</w:t>
      </w:r>
    </w:p>
    <w:p>
      <w:pPr>
        <w:shd w:fill="F4F4F0" w:val="clear"/>
        <w:spacing w:after="120" w:before="120" w:line="260"/>
        <w:ind w:left="360"/>
      </w:pPr>
      <w:r>
        <w:rPr>
          <w:rFonts w:ascii="Consolas" w:cs="Consolas" w:eastAsia="Consolas" w:hAnsi="Consolas"/>
          <w:sz w:val="20"/>
          <w:szCs w:val="20"/>
        </w:rPr>
        <w:t xml:space="preserve">RE_t = (ROCE_t − r) × B_(t−1) = 0 × B_(t−1) = 0</w:t>
      </w:r>
    </w:p>
    <w:p>
      <w:pPr>
        <w:spacing w:before="160"/>
      </w:pPr>
      <w:r>
        <w:rPr>
          <w:rFonts w:ascii="Calibri" w:cs="Calibri" w:eastAsia="Calibri" w:hAnsi="Calibri"/>
          <w:sz w:val="22"/>
          <w:szCs w:val="22"/>
        </w:rPr>
        <w:t xml:space="preserve">Applying RE_t = 0 in Eq. 5.1 (preserving the fractional form):</w:t>
      </w:r>
    </w:p>
    <w:p>
      <w:pPr>
        <w:shd w:fill="F4F4F0" w:val="clear"/>
        <w:spacing w:after="0" w:before="120" w:line="260"/>
        <w:ind w:left="360"/>
      </w:pPr>
      <w:r>
        <w:rPr>
          <w:rFonts w:ascii="Consolas" w:cs="Consolas" w:eastAsia="Consolas" w:hAnsi="Consolas"/>
          <w:sz w:val="20"/>
          <w:szCs w:val="20"/>
        </w:rPr>
        <w:t xml:space="preserve">V_0^E = B_0 + RE_1/ρ_E + RE_2/ρ_E² + RE_3/ρ_E³ + ...</w:t>
      </w:r>
    </w:p>
    <w:p>
      <w:pPr>
        <w:shd w:fill="F4F4F0" w:val="clear"/>
        <w:spacing w:after="0" w:before="0" w:line="260"/>
        <w:ind w:left="360"/>
      </w:pPr>
      <w:r>
        <w:rPr>
          <w:rFonts w:ascii="Consolas" w:cs="Consolas" w:eastAsia="Consolas" w:hAnsi="Consolas"/>
          <w:sz w:val="20"/>
          <w:szCs w:val="20"/>
        </w:rPr>
        <w:t xml:space="preserve"/>
      </w:r>
    </w:p>
    <w:p>
      <w:pPr>
        <w:shd w:fill="F4F4F0" w:val="clear"/>
        <w:spacing w:after="0" w:before="0" w:line="260"/>
        <w:ind w:left="360"/>
      </w:pPr>
      <w:r>
        <w:rPr>
          <w:rFonts w:ascii="Consolas" w:cs="Consolas" w:eastAsia="Consolas" w:hAnsi="Consolas"/>
          <w:sz w:val="20"/>
          <w:szCs w:val="20"/>
        </w:rPr>
        <w:t xml:space="preserve">      = B_0 +  0/ρ_E +  0/ρ_E² +  0/ρ_E³ + ...</w:t>
      </w:r>
    </w:p>
    <w:p>
      <w:pPr>
        <w:shd w:fill="F4F4F0" w:val="clear"/>
        <w:spacing w:after="0" w:before="0" w:line="260"/>
        <w:ind w:left="360"/>
      </w:pPr>
      <w:r>
        <w:rPr>
          <w:rFonts w:ascii="Consolas" w:cs="Consolas" w:eastAsia="Consolas" w:hAnsi="Consolas"/>
          <w:sz w:val="20"/>
          <w:szCs w:val="20"/>
        </w:rPr>
        <w:t xml:space="preserve"/>
      </w:r>
    </w:p>
    <w:p>
      <w:pPr>
        <w:shd w:fill="F4F4F0" w:val="clear"/>
        <w:spacing w:after="0" w:before="0" w:line="260"/>
        <w:ind w:left="360"/>
      </w:pPr>
      <w:r>
        <w:rPr>
          <w:rFonts w:ascii="Consolas" w:cs="Consolas" w:eastAsia="Consolas" w:hAnsi="Consolas"/>
          <w:sz w:val="20"/>
          <w:szCs w:val="20"/>
        </w:rPr>
        <w:t xml:space="preserve">      = B_0 + 0</w:t>
      </w:r>
    </w:p>
    <w:p>
      <w:pPr>
        <w:shd w:fill="F4F4F0" w:val="clear"/>
        <w:spacing w:after="0" w:before="0" w:line="260"/>
        <w:ind w:left="360"/>
      </w:pPr>
      <w:r>
        <w:rPr>
          <w:rFonts w:ascii="Consolas" w:cs="Consolas" w:eastAsia="Consolas" w:hAnsi="Consolas"/>
          <w:sz w:val="20"/>
          <w:szCs w:val="20"/>
        </w:rPr>
        <w:t xml:space="preserve"/>
      </w:r>
    </w:p>
    <w:p>
      <w:pPr>
        <w:shd w:fill="F4F4F0" w:val="clear"/>
        <w:spacing w:after="120" w:before="0" w:line="260"/>
        <w:ind w:left="360"/>
      </w:pPr>
      <w:r>
        <w:rPr>
          <w:rFonts w:ascii="Consolas" w:cs="Consolas" w:eastAsia="Consolas" w:hAnsi="Consolas"/>
          <w:sz w:val="20"/>
          <w:szCs w:val="20"/>
        </w:rPr>
        <w:t xml:space="preserve">      = B_0</w:t>
      </w:r>
    </w:p>
    <w:p>
      <w:pPr>
        <w:spacing w:before="160"/>
      </w:pPr>
      <w:r>
        <w:rPr>
          <w:rFonts w:ascii="Calibri" w:cs="Calibri" w:eastAsia="Calibri" w:hAnsi="Calibri"/>
          <w:sz w:val="22"/>
          <w:szCs w:val="22"/>
        </w:rPr>
        <w:t xml:space="preserve">Therefore:</w:t>
      </w:r>
    </w:p>
    <w:p>
      <w:pPr>
        <w:shd w:fill="F4F4F0" w:val="clear"/>
        <w:spacing w:after="120" w:before="120" w:line="260"/>
        <w:ind w:left="360"/>
      </w:pPr>
      <w:r>
        <w:rPr>
          <w:rFonts w:ascii="Consolas" w:cs="Consolas" w:eastAsia="Consolas" w:hAnsi="Consolas"/>
          <w:sz w:val="20"/>
          <w:szCs w:val="20"/>
        </w:rPr>
        <w:t xml:space="preserve">ROCE = r  ⟺  RE = 0  ⟺  V_0^E = B_0  ⟺  P/B = 1</w:t>
      </w:r>
    </w:p>
    <w:p>
      <w:pPr>
        <w:spacing w:after="120"/>
      </w:pPr>
      <w:r>
        <w:rPr>
          <w:rFonts w:ascii="Calibri" w:cs="Calibri" w:eastAsia="Calibri" w:hAnsi="Calibri"/>
          <w:sz w:val="22"/>
          <w:szCs w:val="22"/>
        </w:rPr>
        <w:t xml:space="preserve">This defines the </w:t>
      </w:r>
      <w:r>
        <w:rPr>
          <w:rFonts w:ascii="Calibri" w:cs="Calibri" w:eastAsia="Calibri" w:hAnsi="Calibri"/>
          <w:b/>
          <w:bCs/>
          <w:sz w:val="22"/>
          <w:szCs w:val="22"/>
        </w:rPr>
        <w:t xml:space="preserve">Normal P/B ratio</w:t>
      </w:r>
      <w:r>
        <w:rPr>
          <w:rFonts w:ascii="Calibri" w:cs="Calibri" w:eastAsia="Calibri" w:hAnsi="Calibri"/>
          <w:sz w:val="22"/>
          <w:szCs w:val="22"/>
        </w:rPr>
        <w:t xml:space="preserve"> (Penman, 2013, p. 145). When ROCE equals r indefinitely, the firm is worth exactly its book value — there is no premium.</w:t>
      </w:r>
    </w:p>
    <w:p>
      <w:pPr>
        <w:pBdr>
          <w:bottom w:val="single" w:color="CCCCCC" w:sz="6" w:space="1"/>
        </w:pBdr>
        <w:spacing w:after="200" w:before="200"/>
      </w:pPr>
      <w:r>
        <w:t xml:space="preserve"/>
      </w:r>
    </w:p>
    <w:p>
      <w:pPr>
        <w:pStyle w:val="Heading2"/>
        <w:spacing w:after="140" w:before="280"/>
      </w:pPr>
      <w:r>
        <w:rPr>
          <w:rFonts w:ascii="Calibri" w:cs="Calibri" w:eastAsia="Calibri" w:hAnsi="Calibri"/>
          <w:b/>
          <w:bCs/>
          <w:color w:val="1C3A2A"/>
          <w:sz w:val="28"/>
          <w:szCs w:val="28"/>
        </w:rPr>
        <w:t xml:space="preserve">Drivers of Residual Earnings</w:t>
      </w:r>
    </w:p>
    <w:p>
      <w:pPr>
        <w:pStyle w:val="Heading3"/>
        <w:spacing w:after="120" w:before="220"/>
      </w:pPr>
      <w:r>
        <w:rPr>
          <w:rFonts w:ascii="Calibri" w:cs="Calibri" w:eastAsia="Calibri" w:hAnsi="Calibri"/>
          <w:b/>
          <w:bCs/>
          <w:color w:val="2C5F46"/>
          <w:sz w:val="24"/>
          <w:szCs w:val="24"/>
        </w:rPr>
        <w:t xml:space="preserve">Penman's two drivers (Eq. 5.2 reformulated, p. 147)</w:t>
      </w:r>
    </w:p>
    <w:p>
      <w:pPr>
        <w:spacing w:after="120"/>
      </w:pPr>
      <w:r>
        <w:rPr>
          <w:rFonts w:ascii="Calibri" w:cs="Calibri" w:eastAsia="Calibri" w:hAnsi="Calibri"/>
          <w:sz w:val="22"/>
          <w:szCs w:val="22"/>
        </w:rPr>
        <w:t xml:space="preserve">From Eq. 5.2 reformulated, RE has two drivers:</w:t>
      </w:r>
    </w:p>
    <w:p>
      <w:pPr>
        <w:pStyle w:val="ListParagraph"/>
        <w:numPr>
          <w:ilvl w:val="0"/>
          <w:numId w:val="2"/>
        </w:numPr>
        <w:spacing w:after="100"/>
      </w:pPr>
      <w:r>
        <w:rPr>
          <w:rFonts w:ascii="Calibri" w:cs="Calibri" w:eastAsia="Calibri" w:hAnsi="Calibri"/>
          <w:b/>
          <w:bCs/>
          <w:sz w:val="22"/>
          <w:szCs w:val="22"/>
        </w:rPr>
        <w:t xml:space="preserve">ROCE</w:t>
      </w:r>
      <w:r>
        <w:rPr>
          <w:rFonts w:ascii="Calibri" w:cs="Calibri" w:eastAsia="Calibri" w:hAnsi="Calibri"/>
          <w:sz w:val="22"/>
          <w:szCs w:val="22"/>
        </w:rPr>
        <w:t xml:space="preserve"> — profitability of capital</w:t>
      </w:r>
    </w:p>
    <w:p>
      <w:pPr>
        <w:pStyle w:val="ListParagraph"/>
        <w:numPr>
          <w:ilvl w:val="0"/>
          <w:numId w:val="2"/>
        </w:numPr>
        <w:spacing w:after="100"/>
      </w:pPr>
      <w:r>
        <w:rPr>
          <w:rFonts w:ascii="Calibri" w:cs="Calibri" w:eastAsia="Calibri" w:hAnsi="Calibri"/>
          <w:b/>
          <w:bCs/>
          <w:sz w:val="22"/>
          <w:szCs w:val="22"/>
        </w:rPr>
        <w:t xml:space="preserve">Book value (B)</w:t>
      </w:r>
      <w:r>
        <w:rPr>
          <w:rFonts w:ascii="Calibri" w:cs="Calibri" w:eastAsia="Calibri" w:hAnsi="Calibri"/>
          <w:sz w:val="22"/>
          <w:szCs w:val="22"/>
        </w:rPr>
        <w:t xml:space="preserve"> — capital employed</w:t>
      </w:r>
    </w:p>
    <w:p>
      <w:pPr>
        <w:spacing w:after="120"/>
      </w:pPr>
      <w:r>
        <w:rPr>
          <w:rFonts w:ascii="Calibri" w:cs="Calibri" w:eastAsia="Calibri" w:hAnsi="Calibri"/>
          <w:sz w:val="22"/>
          <w:szCs w:val="22"/>
        </w:rPr>
        <w:t xml:space="preserve">Both must operate together. A firm cannot create value through ROCE alone (without capital base) or through capital alone (without profitability above the hurdle).</w:t>
      </w:r>
    </w:p>
    <w:p>
      <w:pPr>
        <w:pStyle w:val="Heading3"/>
        <w:spacing w:after="120" w:before="220"/>
      </w:pPr>
      <w:r>
        <w:rPr>
          <w:rFonts w:ascii="Calibri" w:cs="Calibri" w:eastAsia="Calibri" w:hAnsi="Calibri"/>
          <w:b/>
          <w:bCs/>
          <w:color w:val="2C5F46"/>
          <w:sz w:val="24"/>
          <w:szCs w:val="24"/>
        </w:rPr>
        <w:t xml:space="preserve">A complementary view from Magni (2020)</w:t>
      </w:r>
    </w:p>
    <w:p>
      <w:pPr>
        <w:spacing w:after="120"/>
      </w:pPr>
      <w:r>
        <w:rPr>
          <w:rFonts w:ascii="Calibri" w:cs="Calibri" w:eastAsia="Calibri" w:hAnsi="Calibri"/>
          <w:sz w:val="22"/>
          <w:szCs w:val="22"/>
        </w:rPr>
        <w:t xml:space="preserve">Magni (2020) frames any economic activity in three universal elements:</w:t>
      </w:r>
    </w:p>
    <w:p>
      <w:pPr>
        <w:pStyle w:val="ListParagraph"/>
        <w:numPr>
          <w:ilvl w:val="0"/>
          <w:numId w:val="2"/>
        </w:numPr>
        <w:spacing w:after="100"/>
      </w:pPr>
      <w:r>
        <w:rPr>
          <w:rFonts w:ascii="Calibri" w:cs="Calibri" w:eastAsia="Calibri" w:hAnsi="Calibri"/>
          <w:b/>
          <w:bCs/>
          <w:sz w:val="22"/>
          <w:szCs w:val="22"/>
        </w:rPr>
        <w:t xml:space="preserve">Capital</w:t>
      </w:r>
      <w:r>
        <w:rPr>
          <w:rFonts w:ascii="Calibri" w:cs="Calibri" w:eastAsia="Calibri" w:hAnsi="Calibri"/>
          <w:sz w:val="22"/>
          <w:szCs w:val="22"/>
        </w:rPr>
        <w:t xml:space="preserve"> (stock)</w:t>
      </w:r>
    </w:p>
    <w:p>
      <w:pPr>
        <w:pStyle w:val="ListParagraph"/>
        <w:numPr>
          <w:ilvl w:val="0"/>
          <w:numId w:val="2"/>
        </w:numPr>
        <w:spacing w:after="100"/>
      </w:pPr>
      <w:r>
        <w:rPr>
          <w:rFonts w:ascii="Calibri" w:cs="Calibri" w:eastAsia="Calibri" w:hAnsi="Calibri"/>
          <w:b/>
          <w:bCs/>
          <w:sz w:val="22"/>
          <w:szCs w:val="22"/>
        </w:rPr>
        <w:t xml:space="preserve">Income</w:t>
      </w:r>
      <w:r>
        <w:rPr>
          <w:rFonts w:ascii="Calibri" w:cs="Calibri" w:eastAsia="Calibri" w:hAnsi="Calibri"/>
          <w:sz w:val="22"/>
          <w:szCs w:val="22"/>
        </w:rPr>
        <w:t xml:space="preserve"> (flow)</w:t>
      </w:r>
    </w:p>
    <w:p>
      <w:pPr>
        <w:pStyle w:val="ListParagraph"/>
        <w:numPr>
          <w:ilvl w:val="0"/>
          <w:numId w:val="2"/>
        </w:numPr>
        <w:spacing w:after="100"/>
      </w:pPr>
      <w:r>
        <w:rPr>
          <w:rFonts w:ascii="Calibri" w:cs="Calibri" w:eastAsia="Calibri" w:hAnsi="Calibri"/>
          <w:b/>
          <w:bCs/>
          <w:sz w:val="22"/>
          <w:szCs w:val="22"/>
        </w:rPr>
        <w:t xml:space="preserve">Cash flow</w:t>
      </w:r>
      <w:r>
        <w:rPr>
          <w:rFonts w:ascii="Calibri" w:cs="Calibri" w:eastAsia="Calibri" w:hAnsi="Calibri"/>
          <w:sz w:val="22"/>
          <w:szCs w:val="22"/>
        </w:rPr>
        <w:t xml:space="preserve"> (flow)</w:t>
      </w:r>
    </w:p>
    <w:p>
      <w:pPr>
        <w:spacing w:after="120"/>
      </w:pPr>
      <w:r>
        <w:rPr>
          <w:rFonts w:ascii="Calibri" w:cs="Calibri" w:eastAsia="Calibri" w:hAnsi="Calibri"/>
          <w:sz w:val="22"/>
          <w:szCs w:val="22"/>
        </w:rPr>
        <w:t xml:space="preserve">For Magni (2020, p. 7), income represents </w:t>
      </w:r>
      <w:r>
        <w:rPr>
          <w:rFonts w:ascii="Calibri" w:cs="Calibri" w:eastAsia="Calibri" w:hAnsi="Calibri"/>
          <w:i/>
          <w:iCs/>
          <w:sz w:val="22"/>
          <w:szCs w:val="22"/>
        </w:rPr>
        <w:t xml:space="preserve">"the growth of the capital within a period of the operation made in economic activity"</w:t>
      </w:r>
      <w:r>
        <w:rPr>
          <w:rFonts w:ascii="Calibri" w:cs="Calibri" w:eastAsia="Calibri" w:hAnsi="Calibri"/>
          <w:sz w:val="22"/>
          <w:szCs w:val="22"/>
        </w:rPr>
        <w:t xml:space="preserve"> — that is, income is precisely what makes capital grow during a period.</w:t>
      </w:r>
    </w:p>
    <w:p>
      <w:pPr>
        <w:spacing w:after="120"/>
      </w:pPr>
      <w:r>
        <w:rPr>
          <w:rFonts w:ascii="Calibri" w:cs="Calibri" w:eastAsia="Calibri" w:hAnsi="Calibri"/>
          <w:sz w:val="22"/>
          <w:szCs w:val="22"/>
        </w:rPr>
        <w:t xml:space="preserve">Penman (p. 141) defines the rate of return on book as </w:t>
      </w:r>
      <w:r>
        <w:rPr>
          <w:rFonts w:ascii="Calibri" w:cs="Calibri" w:eastAsia="Calibri" w:hAnsi="Calibri"/>
          <w:b/>
          <w:bCs/>
          <w:sz w:val="22"/>
          <w:szCs w:val="22"/>
        </w:rPr>
        <w:t xml:space="preserve">profitability</w:t>
      </w:r>
      <w:r>
        <w:rPr>
          <w:rFonts w:ascii="Calibri" w:cs="Calibri" w:eastAsia="Calibri" w:hAnsi="Calibri"/>
          <w:sz w:val="22"/>
          <w:szCs w:val="22"/>
        </w:rPr>
        <w:t xml:space="preserve">, formalized in Box 5.1 (p. 147) as:</w:t>
      </w:r>
    </w:p>
    <w:p>
      <w:pPr>
        <w:shd w:fill="F4F4F0" w:val="clear"/>
        <w:spacing w:after="120" w:before="120" w:line="260"/>
        <w:ind w:left="360"/>
      </w:pPr>
      <w:r>
        <w:rPr>
          <w:rFonts w:ascii="Consolas" w:cs="Consolas" w:eastAsia="Consolas" w:hAnsi="Consolas"/>
          <w:sz w:val="20"/>
          <w:szCs w:val="20"/>
        </w:rPr>
        <w:t xml:space="preserve">ROCE_t = Comprehensive Income_t / [(B_(t−1) + B_t) / 2]</w:t>
      </w:r>
    </w:p>
    <w:p>
      <w:pPr>
        <w:spacing w:after="120"/>
      </w:pPr>
      <w:r>
        <w:rPr>
          <w:rFonts w:ascii="Calibri" w:cs="Calibri" w:eastAsia="Calibri" w:hAnsi="Calibri"/>
          <w:sz w:val="22"/>
          <w:szCs w:val="22"/>
        </w:rPr>
        <w:t xml:space="preserve">Combining the two views: RE requires </w:t>
      </w:r>
      <w:r>
        <w:rPr>
          <w:rFonts w:ascii="Calibri" w:cs="Calibri" w:eastAsia="Calibri" w:hAnsi="Calibri"/>
          <w:b/>
          <w:bCs/>
          <w:sz w:val="22"/>
          <w:szCs w:val="22"/>
        </w:rPr>
        <w:t xml:space="preserve">profitability applied to a capital</w:t>
      </w:r>
      <w:r>
        <w:rPr>
          <w:rFonts w:ascii="Calibri" w:cs="Calibri" w:eastAsia="Calibri" w:hAnsi="Calibri"/>
          <w:sz w:val="22"/>
          <w:szCs w:val="22"/>
        </w:rPr>
        <w:t xml:space="preserve">. ROCE expresses how efficiently capital generates income; book value (B) is the capital base on which this efficiency operates.</w:t>
      </w:r>
    </w:p>
    <w:p>
      <w:pPr>
        <w:pStyle w:val="Heading3"/>
        <w:spacing w:after="120" w:before="220"/>
      </w:pPr>
      <w:r>
        <w:rPr>
          <w:rFonts w:ascii="Calibri" w:cs="Calibri" w:eastAsia="Calibri" w:hAnsi="Calibri"/>
          <w:b/>
          <w:bCs/>
          <w:color w:val="2C5F46"/>
          <w:sz w:val="24"/>
          <w:szCs w:val="24"/>
        </w:rPr>
        <w:t xml:space="preserve">My extension — the triad of value creation</w:t>
      </w:r>
    </w:p>
    <w:p>
      <w:pPr>
        <w:spacing w:after="120"/>
      </w:pPr>
      <w:r>
        <w:rPr>
          <w:rFonts w:ascii="Calibri" w:cs="Calibri" w:eastAsia="Calibri" w:hAnsi="Calibri"/>
          <w:sz w:val="22"/>
          <w:szCs w:val="22"/>
        </w:rPr>
        <w:t xml:space="preserve">Penman's two drivers are sufficient to explain RE in any single period. But to explain how RE </w:t>
      </w:r>
      <w:r>
        <w:rPr>
          <w:rFonts w:ascii="Calibri" w:cs="Calibri" w:eastAsia="Calibri" w:hAnsi="Calibri"/>
          <w:i/>
          <w:iCs/>
          <w:sz w:val="22"/>
          <w:szCs w:val="22"/>
        </w:rPr>
        <w:t xml:space="preserve">evolves over time</w:t>
      </w:r>
      <w:r>
        <w:rPr>
          <w:rFonts w:ascii="Calibri" w:cs="Calibri" w:eastAsia="Calibri" w:hAnsi="Calibri"/>
          <w:sz w:val="22"/>
          <w:szCs w:val="22"/>
        </w:rPr>
        <w:t xml:space="preserve">, a third element matters: </w:t>
      </w:r>
      <w:r>
        <w:rPr>
          <w:rFonts w:ascii="Calibri" w:cs="Calibri" w:eastAsia="Calibri" w:hAnsi="Calibri"/>
          <w:b/>
          <w:bCs/>
          <w:sz w:val="22"/>
          <w:szCs w:val="22"/>
        </w:rPr>
        <w:t xml:space="preserve">how the firm allocates its earnings back to capital</w:t>
      </w: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The triad is:</w:t>
      </w:r>
    </w:p>
    <w:p>
      <w:pPr>
        <w:pStyle w:val="ListParagraph"/>
        <w:numPr>
          <w:ilvl w:val="0"/>
          <w:numId w:val="2"/>
        </w:numPr>
        <w:spacing w:after="100"/>
      </w:pPr>
      <w:r>
        <w:rPr>
          <w:rFonts w:ascii="Calibri" w:cs="Calibri" w:eastAsia="Calibri" w:hAnsi="Calibri"/>
          <w:b/>
          <w:bCs/>
          <w:sz w:val="22"/>
          <w:szCs w:val="22"/>
        </w:rPr>
        <w:t xml:space="preserve">Profitability</w:t>
      </w:r>
      <w:r>
        <w:rPr>
          <w:rFonts w:ascii="Calibri" w:cs="Calibri" w:eastAsia="Calibri" w:hAnsi="Calibri"/>
          <w:sz w:val="22"/>
          <w:szCs w:val="22"/>
        </w:rPr>
        <w:t xml:space="preserve"> (ROCE) — capacity to generate income from book value</w:t>
      </w:r>
    </w:p>
    <w:p>
      <w:pPr>
        <w:pStyle w:val="ListParagraph"/>
        <w:numPr>
          <w:ilvl w:val="0"/>
          <w:numId w:val="2"/>
        </w:numPr>
        <w:spacing w:after="100"/>
      </w:pPr>
      <w:r>
        <w:rPr>
          <w:rFonts w:ascii="Calibri" w:cs="Calibri" w:eastAsia="Calibri" w:hAnsi="Calibri"/>
          <w:b/>
          <w:bCs/>
          <w:sz w:val="22"/>
          <w:szCs w:val="22"/>
        </w:rPr>
        <w:t xml:space="preserve">Capital employed</w:t>
      </w:r>
      <w:r>
        <w:rPr>
          <w:rFonts w:ascii="Calibri" w:cs="Calibri" w:eastAsia="Calibri" w:hAnsi="Calibri"/>
          <w:sz w:val="22"/>
          <w:szCs w:val="22"/>
        </w:rPr>
        <w:t xml:space="preserve"> (B) — base on which profitability operates</w:t>
      </w:r>
    </w:p>
    <w:p>
      <w:pPr>
        <w:pStyle w:val="ListParagraph"/>
        <w:numPr>
          <w:ilvl w:val="0"/>
          <w:numId w:val="2"/>
        </w:numPr>
        <w:spacing w:after="100"/>
      </w:pPr>
      <w:r>
        <w:rPr>
          <w:rFonts w:ascii="Calibri" w:cs="Calibri" w:eastAsia="Calibri" w:hAnsi="Calibri"/>
          <w:b/>
          <w:bCs/>
          <w:sz w:val="22"/>
          <w:szCs w:val="22"/>
        </w:rPr>
        <w:t xml:space="preserve">Capital allocation</w:t>
      </w:r>
      <w:r>
        <w:rPr>
          <w:rFonts w:ascii="Calibri" w:cs="Calibri" w:eastAsia="Calibri" w:hAnsi="Calibri"/>
          <w:sz w:val="22"/>
          <w:szCs w:val="22"/>
        </w:rPr>
        <w:t xml:space="preserve"> (dividend policy / retention) — strategic decision that determines how earnings flow back into book value, and therefore set the base for next period's RE</w:t>
      </w:r>
    </w:p>
    <w:p>
      <w:pPr>
        <w:spacing w:after="120"/>
      </w:pPr>
      <w:r>
        <w:rPr>
          <w:rFonts w:ascii="Calibri" w:cs="Calibri" w:eastAsia="Calibri" w:hAnsi="Calibri"/>
          <w:sz w:val="22"/>
          <w:szCs w:val="22"/>
        </w:rPr>
        <w:t xml:space="preserve">This triad is what makes the RE model so powerful as an anchor: it captures simultaneously </w:t>
      </w:r>
      <w:r>
        <w:rPr>
          <w:rFonts w:ascii="Calibri" w:cs="Calibri" w:eastAsia="Calibri" w:hAnsi="Calibri"/>
          <w:i/>
          <w:iCs/>
          <w:sz w:val="22"/>
          <w:szCs w:val="22"/>
        </w:rPr>
        <w:t xml:space="preserve">how</w:t>
      </w:r>
      <w:r>
        <w:rPr>
          <w:rFonts w:ascii="Calibri" w:cs="Calibri" w:eastAsia="Calibri" w:hAnsi="Calibri"/>
          <w:sz w:val="22"/>
          <w:szCs w:val="22"/>
        </w:rPr>
        <w:t xml:space="preserve"> the firm earns (profitability), </w:t>
      </w:r>
      <w:r>
        <w:rPr>
          <w:rFonts w:ascii="Calibri" w:cs="Calibri" w:eastAsia="Calibri" w:hAnsi="Calibri"/>
          <w:i/>
          <w:iCs/>
          <w:sz w:val="22"/>
          <w:szCs w:val="22"/>
        </w:rPr>
        <w:t xml:space="preserve">on what</w:t>
      </w:r>
      <w:r>
        <w:rPr>
          <w:rFonts w:ascii="Calibri" w:cs="Calibri" w:eastAsia="Calibri" w:hAnsi="Calibri"/>
          <w:sz w:val="22"/>
          <w:szCs w:val="22"/>
        </w:rPr>
        <w:t xml:space="preserve"> it earns (capital), and </w:t>
      </w:r>
      <w:r>
        <w:rPr>
          <w:rFonts w:ascii="Calibri" w:cs="Calibri" w:eastAsia="Calibri" w:hAnsi="Calibri"/>
          <w:i/>
          <w:iCs/>
          <w:sz w:val="22"/>
          <w:szCs w:val="22"/>
        </w:rPr>
        <w:t xml:space="preserve">how the firm decides</w:t>
      </w:r>
      <w:r>
        <w:rPr>
          <w:rFonts w:ascii="Calibri" w:cs="Calibri" w:eastAsia="Calibri" w:hAnsi="Calibri"/>
          <w:sz w:val="22"/>
          <w:szCs w:val="22"/>
        </w:rPr>
        <w:t xml:space="preserve"> what to do with what it earns (allocation). It aligns directly with Penman's Principle VII — </w:t>
      </w:r>
      <w:r>
        <w:rPr>
          <w:rFonts w:ascii="Calibri" w:cs="Calibri" w:eastAsia="Calibri" w:hAnsi="Calibri"/>
          <w:i/>
          <w:iCs/>
          <w:sz w:val="22"/>
          <w:szCs w:val="22"/>
        </w:rPr>
        <w:t xml:space="preserve">anchor valuation on what you know</w:t>
      </w:r>
      <w:r>
        <w:rPr>
          <w:rFonts w:ascii="Calibri" w:cs="Calibri" w:eastAsia="Calibri" w:hAnsi="Calibri"/>
          <w:sz w:val="22"/>
          <w:szCs w:val="22"/>
        </w:rPr>
        <w:t xml:space="preserve"> — because each of the three elements is observable in financial statements rather than speculated.</w:t>
      </w:r>
    </w:p>
    <w:p>
      <w:pPr>
        <w:pStyle w:val="Heading3"/>
        <w:spacing w:after="120" w:before="220"/>
      </w:pPr>
      <w:r>
        <w:rPr>
          <w:rFonts w:ascii="Calibri" w:cs="Calibri" w:eastAsia="Calibri" w:hAnsi="Calibri"/>
          <w:b/>
          <w:bCs/>
          <w:color w:val="2C5F46"/>
          <w:sz w:val="24"/>
          <w:szCs w:val="24"/>
        </w:rPr>
        <w:t xml:space="preserve">Mapping the Clean Surplus Relation to the triad</w:t>
      </w:r>
    </w:p>
    <w:p>
      <w:pPr>
        <w:spacing w:after="120"/>
      </w:pPr>
      <w:r>
        <w:rPr>
          <w:rFonts w:ascii="Calibri" w:cs="Calibri" w:eastAsia="Calibri" w:hAnsi="Calibri"/>
          <w:sz w:val="22"/>
          <w:szCs w:val="22"/>
        </w:rPr>
        <w:t xml:space="preserve">The Clean Surplus Relation (Penman &amp; Pope, 2025, p. 60), expressed as the accounting equivalence:</w:t>
      </w:r>
    </w:p>
    <w:p>
      <w:pPr>
        <w:shd w:fill="F4F4F0" w:val="clear"/>
        <w:spacing w:after="120" w:before="120" w:line="260"/>
        <w:ind w:left="360"/>
      </w:pPr>
      <w:r>
        <w:rPr>
          <w:rFonts w:ascii="Consolas" w:cs="Consolas" w:eastAsia="Consolas" w:hAnsi="Consolas"/>
          <w:sz w:val="20"/>
          <w:szCs w:val="20"/>
        </w:rPr>
        <w:t xml:space="preserve">Equity_t  =  Equity_(t−1)  +  Earnings_t  −  Net Dividends_t</w:t>
      </w:r>
    </w:p>
    <w:p>
      <w:pPr>
        <w:spacing w:after="120"/>
      </w:pPr>
      <w:r>
        <w:rPr>
          <w:rFonts w:ascii="Calibri" w:cs="Calibri" w:eastAsia="Calibri" w:hAnsi="Calibri"/>
          <w:sz w:val="22"/>
          <w:szCs w:val="22"/>
        </w:rPr>
        <w:t xml:space="preserve">maps directly onto the economic triad: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C3A2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Accounting term</w:t>
            </w:r>
          </w:p>
        </w:tc>
        <w:tc>
          <w:tcPr>
            <w:tcW w:type="dxa" w:w="6360"/>
            <w:tcBorders>
              <w:top w:val="single" w:color="CCCCCC" w:sz="4"/>
              <w:left w:val="single" w:color="CCCCCC" w:sz="4"/>
              <w:bottom w:val="single" w:color="CCCCCC" w:sz="4"/>
              <w:right w:val="single" w:color="CCCCCC" w:sz="4"/>
            </w:tcBorders>
            <w:shd w:fill="1C3A2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Economic meaning</w:t>
            </w:r>
          </w:p>
        </w:tc>
      </w:tr>
      <w:tr>
        <w:tc>
          <w:tcPr>
            <w:tcW w:type="dxa" w:w="30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Equity_t</w:t>
            </w:r>
          </w:p>
        </w:tc>
        <w:tc>
          <w:tcPr>
            <w:tcW w:type="dxa" w:w="636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Capital (end of period)</w:t>
            </w:r>
          </w:p>
        </w:tc>
      </w:tr>
      <w:tr>
        <w:tc>
          <w:tcPr>
            <w:tcW w:type="dxa" w:w="30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Equity_(t−1)</w:t>
            </w:r>
          </w:p>
        </w:tc>
        <w:tc>
          <w:tcPr>
            <w:tcW w:type="dxa" w:w="636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Capital (start of period)</w:t>
            </w:r>
          </w:p>
        </w:tc>
      </w:tr>
      <w:tr>
        <w:tc>
          <w:tcPr>
            <w:tcW w:type="dxa" w:w="30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Earnings_t</w:t>
            </w:r>
          </w:p>
        </w:tc>
        <w:tc>
          <w:tcPr>
            <w:tcW w:type="dxa" w:w="636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Profitability (income generated by the capital)</w:t>
            </w:r>
          </w:p>
        </w:tc>
      </w:tr>
      <w:tr>
        <w:tc>
          <w:tcPr>
            <w:tcW w:type="dxa" w:w="30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Net Dividends_t</w:t>
            </w:r>
          </w:p>
        </w:tc>
        <w:tc>
          <w:tcPr>
            <w:tcW w:type="dxa" w:w="636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Capital allocation decision (strategy)</w:t>
            </w:r>
          </w:p>
        </w:tc>
      </w:tr>
    </w:tbl>
    <w:p>
      <w:pPr>
        <w:spacing w:before="160"/>
      </w:pPr>
      <w:r>
        <w:rPr>
          <w:rFonts w:ascii="Calibri" w:cs="Calibri" w:eastAsia="Calibri" w:hAnsi="Calibri"/>
          <w:sz w:val="22"/>
          <w:szCs w:val="22"/>
        </w:rPr>
        <w:t xml:space="preserve">The Clean Surplus Relation is therefore not just a bookkeeping identity. Read economically, it is the equation of motion of the three elements that drive RE: capital evolves through profitability and is shaped by allocation decisions.</w:t>
      </w:r>
    </w:p>
    <w:p>
      <w:pPr>
        <w:pBdr>
          <w:bottom w:val="single" w:color="CCCCCC" w:sz="6" w:space="1"/>
        </w:pBdr>
        <w:spacing w:after="200" w:before="200"/>
      </w:pPr>
      <w:r>
        <w:t xml:space="preserve"/>
      </w:r>
    </w:p>
    <w:p>
      <w:pPr>
        <w:pStyle w:val="Heading2"/>
        <w:spacing w:after="140" w:before="280"/>
      </w:pPr>
      <w:r>
        <w:rPr>
          <w:rFonts w:ascii="Calibri" w:cs="Calibri" w:eastAsia="Calibri" w:hAnsi="Calibri"/>
          <w:b/>
          <w:bCs/>
          <w:color w:val="1C3A2A"/>
          <w:sz w:val="28"/>
          <w:szCs w:val="28"/>
        </w:rPr>
        <w:t xml:space="preserve">Principles</w:t>
      </w:r>
    </w:p>
    <w:p>
      <w:pPr>
        <w:pStyle w:val="ListParagraph"/>
        <w:numPr>
          <w:ilvl w:val="0"/>
          <w:numId w:val="2"/>
        </w:numPr>
        <w:spacing w:after="100"/>
      </w:pPr>
      <w:r>
        <w:rPr>
          <w:rFonts w:ascii="Calibri" w:cs="Calibri" w:eastAsia="Calibri" w:hAnsi="Calibri"/>
          <w:b/>
          <w:bCs/>
          <w:sz w:val="22"/>
          <w:szCs w:val="22"/>
        </w:rPr>
        <w:t xml:space="preserve">Anchoring principle. </w:t>
      </w:r>
      <w:r>
        <w:rPr>
          <w:rFonts w:ascii="Calibri" w:cs="Calibri" w:eastAsia="Calibri" w:hAnsi="Calibri"/>
          <w:sz w:val="22"/>
          <w:szCs w:val="22"/>
        </w:rPr>
        <w:t xml:space="preserve">Fundamental analysis anchors valuation in the financial statements. Book value, presented as the bottom line of the balance sheet, provides the anchor. The investor anchors on what is recognized in the books, then proceeds to assess the value not yet recognized — the premium over book value. (p. 142)</w:t>
      </w:r>
    </w:p>
    <w:p>
      <w:pPr>
        <w:shd w:fill="F4F4F0" w:val="clear"/>
        <w:spacing w:after="120" w:before="120" w:line="260"/>
        <w:ind w:left="360"/>
      </w:pPr>
      <w:r>
        <w:rPr>
          <w:rFonts w:ascii="Consolas" w:cs="Consolas" w:eastAsia="Consolas" w:hAnsi="Consolas"/>
          <w:sz w:val="20"/>
          <w:szCs w:val="20"/>
        </w:rPr>
        <w:t xml:space="preserve">Value = Book value + Premium</w:t>
      </w:r>
    </w:p>
    <w:p>
      <w:pPr>
        <w:pStyle w:val="ListParagraph"/>
        <w:numPr>
          <w:ilvl w:val="0"/>
          <w:numId w:val="2"/>
        </w:numPr>
        <w:spacing w:after="100"/>
      </w:pPr>
      <w:r>
        <w:rPr>
          <w:rFonts w:ascii="Calibri" w:cs="Calibri" w:eastAsia="Calibri" w:hAnsi="Calibri"/>
          <w:b/>
          <w:bCs/>
          <w:sz w:val="22"/>
          <w:szCs w:val="22"/>
        </w:rPr>
        <w:t xml:space="preserve">Central thesis of the chapter. </w:t>
      </w:r>
      <w:r>
        <w:rPr>
          <w:rFonts w:ascii="Calibri" w:cs="Calibri" w:eastAsia="Calibri" w:hAnsi="Calibri"/>
          <w:sz w:val="22"/>
          <w:szCs w:val="22"/>
        </w:rPr>
        <w:t xml:space="preserve">The four following statements are equivalent — different ways of saying the same thing:</w:t>
      </w:r>
    </w:p>
    <w:p>
      <w:pPr>
        <w:shd w:fill="F4F4F0" w:val="clear"/>
        <w:spacing w:after="120" w:before="120" w:line="260"/>
        <w:ind w:left="360"/>
      </w:pPr>
      <w:r>
        <w:rPr>
          <w:rFonts w:ascii="Consolas" w:cs="Consolas" w:eastAsia="Consolas" w:hAnsi="Consolas"/>
          <w:sz w:val="20"/>
          <w:szCs w:val="20"/>
        </w:rPr>
        <w:t xml:space="preserve">RE &gt; 0  ⟺  V &gt; B  ⟺  P/B &gt; 1  ⟺  ROCE &gt; r</w:t>
      </w:r>
    </w:p>
    <w:p>
      <w:pPr>
        <w:spacing w:after="120"/>
        <w:ind w:left="720"/>
      </w:pPr>
      <w:r>
        <w:rPr>
          <w:rFonts w:ascii="Calibri" w:cs="Calibri" w:eastAsia="Calibri" w:hAnsi="Calibri"/>
          <w:sz w:val="22"/>
          <w:szCs w:val="22"/>
        </w:rPr>
        <w:t xml:space="preserve">When this equivalence becomes intuitive, the chapter is conceptually mastered.</w:t>
      </w:r>
    </w:p>
    <w:p>
      <w:pPr>
        <w:pBdr>
          <w:bottom w:val="single" w:color="CCCCCC" w:sz="6" w:space="1"/>
        </w:pBdr>
        <w:spacing w:after="200" w:before="200"/>
      </w:pPr>
      <w:r>
        <w:t xml:space="preserve"/>
      </w:r>
    </w:p>
    <w:p>
      <w:pPr>
        <w:pStyle w:val="Heading2"/>
        <w:spacing w:after="140" w:before="280"/>
      </w:pPr>
      <w:r>
        <w:rPr>
          <w:rFonts w:ascii="Calibri" w:cs="Calibri" w:eastAsia="Calibri" w:hAnsi="Calibri"/>
          <w:b/>
          <w:bCs/>
          <w:color w:val="1C3A2A"/>
          <w:sz w:val="28"/>
          <w:szCs w:val="28"/>
        </w:rPr>
        <w:t xml:space="preserve">Quotable passages</w:t>
      </w:r>
    </w:p>
    <w:p>
      <w:pPr>
        <w:pStyle w:val="ListParagraph"/>
        <w:numPr>
          <w:ilvl w:val="0"/>
          <w:numId w:val="2"/>
        </w:numPr>
        <w:spacing w:after="100"/>
      </w:pPr>
      <w:r>
        <w:rPr>
          <w:rFonts w:ascii="Calibri" w:cs="Calibri" w:eastAsia="Calibri" w:hAnsi="Calibri"/>
          <w:i/>
          <w:iCs/>
          <w:sz w:val="22"/>
          <w:szCs w:val="22"/>
        </w:rPr>
        <w:t xml:space="preserve">"Book value is worth more or less, depending upon the future earnings that the net assets are likely to generate."</w:t>
      </w:r>
      <w:r>
        <w:rPr>
          <w:rFonts w:ascii="Calibri" w:cs="Calibri" w:eastAsia="Calibri" w:hAnsi="Calibri"/>
          <w:sz w:val="22"/>
          <w:szCs w:val="22"/>
        </w:rPr>
        <w:t xml:space="preserve"> — Penman (2013, p. 141)</w:t>
      </w:r>
    </w:p>
    <w:p>
      <w:pPr>
        <w:pStyle w:val="ListParagraph"/>
        <w:numPr>
          <w:ilvl w:val="0"/>
          <w:numId w:val="2"/>
        </w:numPr>
        <w:spacing w:after="100"/>
      </w:pPr>
      <w:r>
        <w:rPr>
          <w:rFonts w:ascii="Calibri" w:cs="Calibri" w:eastAsia="Calibri" w:hAnsi="Calibri"/>
          <w:i/>
          <w:iCs/>
          <w:sz w:val="22"/>
          <w:szCs w:val="22"/>
        </w:rPr>
        <w:t xml:space="preserve">"We calculate the intrinsic premium over book value, V_0^E − B_0, as the present value of forecasted residual income."</w:t>
      </w:r>
      <w:r>
        <w:rPr>
          <w:rFonts w:ascii="Calibri" w:cs="Calibri" w:eastAsia="Calibri" w:hAnsi="Calibri"/>
          <w:sz w:val="22"/>
          <w:szCs w:val="22"/>
        </w:rPr>
        <w:t xml:space="preserve"> — Penman (2013, p. 145)</w:t>
      </w:r>
    </w:p>
    <w:p>
      <w:pPr>
        <w:pStyle w:val="ListParagraph"/>
        <w:numPr>
          <w:ilvl w:val="0"/>
          <w:numId w:val="2"/>
        </w:numPr>
        <w:spacing w:after="100"/>
      </w:pPr>
      <w:r>
        <w:rPr>
          <w:rFonts w:ascii="Calibri" w:cs="Calibri" w:eastAsia="Calibri" w:hAnsi="Calibri"/>
          <w:i/>
          <w:iCs/>
          <w:sz w:val="22"/>
          <w:szCs w:val="22"/>
        </w:rPr>
        <w:t xml:space="preserve">"Income (earnings) represents the growth of the capital within a period of the operation made in economic activity."</w:t>
      </w:r>
      <w:r>
        <w:rPr>
          <w:rFonts w:ascii="Calibri" w:cs="Calibri" w:eastAsia="Calibri" w:hAnsi="Calibri"/>
          <w:sz w:val="22"/>
          <w:szCs w:val="22"/>
        </w:rPr>
        <w:t xml:space="preserve"> — Magni (2020, p. 7)</w:t>
      </w:r>
    </w:p>
    <w:p>
      <w:pPr>
        <w:spacing w:after="200"/>
        <w:ind w:left="720"/>
      </w:pPr>
      <w:r>
        <w:rPr>
          <w:rFonts w:ascii="Calibri" w:cs="Calibri" w:eastAsia="Calibri" w:hAnsi="Calibri"/>
          <w:sz w:val="22"/>
          <w:szCs w:val="22"/>
        </w:rPr>
        <w:t xml:space="preserve">→ Convergence with Penman: earnings is the accounting instrument that captures the value added by economic operations during a period.</w:t>
      </w:r>
    </w:p>
    <w:p>
      <w:pPr>
        <w:pBdr>
          <w:bottom w:val="single" w:color="CCCCCC" w:sz="6" w:space="1"/>
        </w:pBdr>
        <w:spacing w:after="200" w:before="200"/>
      </w:pPr>
      <w:r>
        <w:t xml:space="preserve"/>
      </w:r>
    </w:p>
    <w:p>
      <w:pPr>
        <w:pStyle w:val="Heading2"/>
        <w:spacing w:after="140" w:before="280"/>
      </w:pPr>
      <w:r>
        <w:rPr>
          <w:rFonts w:ascii="Calibri" w:cs="Calibri" w:eastAsia="Calibri" w:hAnsi="Calibri"/>
          <w:b/>
          <w:bCs/>
          <w:color w:val="1C3A2A"/>
          <w:sz w:val="28"/>
          <w:szCs w:val="28"/>
        </w:rPr>
        <w:t xml:space="preserve">My reflections</w:t>
      </w:r>
    </w:p>
    <w:p>
      <w:pPr>
        <w:spacing w:after="200"/>
      </w:pPr>
      <w:r>
        <w:rPr>
          <w:rFonts w:ascii="Calibri" w:cs="Calibri" w:eastAsia="Calibri" w:hAnsi="Calibri"/>
          <w:b/>
          <w:bCs/>
          <w:sz w:val="22"/>
          <w:szCs w:val="22"/>
        </w:rPr>
        <w:t xml:space="preserve">On Penman's modal language. </w:t>
      </w:r>
      <w:r>
        <w:rPr>
          <w:rFonts w:ascii="Calibri" w:cs="Calibri" w:eastAsia="Calibri" w:hAnsi="Calibri"/>
          <w:sz w:val="22"/>
          <w:szCs w:val="22"/>
        </w:rPr>
        <w:t xml:space="preserve">This is why valuing a firm is so hard, and why Penman uses careful modal words: </w:t>
      </w:r>
      <w:r>
        <w:rPr>
          <w:rFonts w:ascii="Calibri" w:cs="Calibri" w:eastAsia="Calibri" w:hAnsi="Calibri"/>
          <w:i/>
          <w:iCs/>
          <w:sz w:val="22"/>
          <w:szCs w:val="22"/>
        </w:rPr>
        <w:t xml:space="preserve">"expected to earn"</w:t>
      </w:r>
      <w:r>
        <w:rPr>
          <w:rFonts w:ascii="Calibri" w:cs="Calibri" w:eastAsia="Calibri" w:hAnsi="Calibri"/>
          <w:sz w:val="22"/>
          <w:szCs w:val="22"/>
        </w:rPr>
        <w:t xml:space="preserve">, </w:t>
      </w:r>
      <w:r>
        <w:rPr>
          <w:rFonts w:ascii="Calibri" w:cs="Calibri" w:eastAsia="Calibri" w:hAnsi="Calibri"/>
          <w:i/>
          <w:iCs/>
          <w:sz w:val="22"/>
          <w:szCs w:val="22"/>
        </w:rPr>
        <w:t xml:space="preserve">"likely to generate"</w:t>
      </w:r>
      <w:r>
        <w:rPr>
          <w:rFonts w:ascii="Calibri" w:cs="Calibri" w:eastAsia="Calibri" w:hAnsi="Calibri"/>
          <w:sz w:val="22"/>
          <w:szCs w:val="22"/>
        </w:rPr>
        <w:t xml:space="preserve">. Both expressions carry a belief that something </w:t>
      </w:r>
      <w:r>
        <w:rPr>
          <w:rFonts w:ascii="Calibri" w:cs="Calibri" w:eastAsia="Calibri" w:hAnsi="Calibri"/>
          <w:i/>
          <w:iCs/>
          <w:sz w:val="22"/>
          <w:szCs w:val="22"/>
        </w:rPr>
        <w:t xml:space="preserve">might</w:t>
      </w:r>
      <w:r>
        <w:rPr>
          <w:rFonts w:ascii="Calibri" w:cs="Calibri" w:eastAsia="Calibri" w:hAnsi="Calibri"/>
          <w:sz w:val="22"/>
          <w:szCs w:val="22"/>
        </w:rPr>
        <w:t xml:space="preserve"> happen in the future. Valuation is probabilistic, not deterministic — and the framework respects this by anchoring on what is verified (book value) before extending into what is expected.</w:t>
      </w:r>
    </w:p>
    <w:p>
      <w:pPr>
        <w:spacing w:after="200"/>
      </w:pPr>
      <w:r>
        <w:rPr>
          <w:rFonts w:ascii="Calibri" w:cs="Calibri" w:eastAsia="Calibri" w:hAnsi="Calibri"/>
          <w:b/>
          <w:bCs/>
          <w:sz w:val="22"/>
          <w:szCs w:val="22"/>
        </w:rPr>
        <w:t xml:space="preserve">On opportunity cost as the foundation of RE. </w:t>
      </w:r>
      <w:r>
        <w:rPr>
          <w:rFonts w:ascii="Calibri" w:cs="Calibri" w:eastAsia="Calibri" w:hAnsi="Calibri"/>
          <w:sz w:val="22"/>
          <w:szCs w:val="22"/>
        </w:rPr>
        <w:t xml:space="preserve">The required return r is not arbitrary. It reflects the alternative use of capital: had B_(t−1) been employed in another business of equivalent risk, it would have earned r there. RE is therefore not "earnings minus an accounting charge" — it is </w:t>
      </w:r>
      <w:r>
        <w:rPr>
          <w:rFonts w:ascii="Calibri" w:cs="Calibri" w:eastAsia="Calibri" w:hAnsi="Calibri"/>
          <w:b/>
          <w:bCs/>
          <w:sz w:val="22"/>
          <w:szCs w:val="22"/>
        </w:rPr>
        <w:t xml:space="preserve">earnings above the alternative</w:t>
      </w:r>
      <w:r>
        <w:rPr>
          <w:rFonts w:ascii="Calibri" w:cs="Calibri" w:eastAsia="Calibri" w:hAnsi="Calibri"/>
          <w:sz w:val="22"/>
          <w:szCs w:val="22"/>
        </w:rPr>
        <w:t xml:space="preserve">. This is the economic substance behind the formula.</w:t>
      </w:r>
    </w:p>
    <w:p>
      <w:pPr>
        <w:spacing w:after="200"/>
      </w:pPr>
      <w:r>
        <w:rPr>
          <w:rFonts w:ascii="Calibri" w:cs="Calibri" w:eastAsia="Calibri" w:hAnsi="Calibri"/>
          <w:b/>
          <w:bCs/>
          <w:sz w:val="22"/>
          <w:szCs w:val="22"/>
        </w:rPr>
        <w:t xml:space="preserve">On Eq. 5.1 and the closing of the foundational argument. </w:t>
      </w:r>
      <w:r>
        <w:rPr>
          <w:rFonts w:ascii="Calibri" w:cs="Calibri" w:eastAsia="Calibri" w:hAnsi="Calibri"/>
          <w:sz w:val="22"/>
          <w:szCs w:val="22"/>
        </w:rPr>
        <w:t xml:space="preserve">In the foundational part we observed that when value differs from book, something is missing. To formalize this idea, Penman presents the intrinsic premium over book, V₀ᴱ − B₀ — the missing value in the balance sheet. When this premium is denominated by B₀, it becomes the intrinsic price-to-book ratio V₀ᴱ/B₀. A positive RE means equity is worth more than its book value, and the firm should trade at a premium over book. Equation 5.1 formally states that the current value of equity equals its current book plus the present value of all upcoming residual earnings, summed to infinity because we are dealing with going-concern firms. (Penman, 2013, p. 145)</w:t>
      </w:r>
    </w:p>
    <w:p>
      <w:pPr>
        <w:spacing w:after="120"/>
      </w:pPr>
      <w:r>
        <w:rPr>
          <w:rFonts w:ascii="Calibri" w:cs="Calibri" w:eastAsia="Calibri" w:hAnsi="Calibri"/>
          <w:b/>
          <w:bCs/>
          <w:sz w:val="22"/>
          <w:szCs w:val="22"/>
        </w:rPr>
        <w:t xml:space="preserve">On the triad of value creation. </w:t>
      </w:r>
      <w:r>
        <w:rPr>
          <w:rFonts w:ascii="Calibri" w:cs="Calibri" w:eastAsia="Calibri" w:hAnsi="Calibri"/>
          <w:sz w:val="22"/>
          <w:szCs w:val="22"/>
        </w:rPr>
        <w:t xml:space="preserve">Penman articulates two drivers of RE — profitability and capital growth. But reading Eq. 5.2 reformulated alongside the Clean Surplus Relation reveals a third element: capital allocation. The firm's decision to retain or distribute earnings shapes the trajectory of book value, and therefore the base on which profitability operates in the next period. Profitability, capital employed, and capital allocation form the triad that makes the RE model so powerful as an anchor for valuation. The model is robust precisely because each element of the triad is observable in financial statements, consistent with Penman's Principle VII (anchor on what you know).</w:t>
      </w:r>
    </w:p>
    <w:p>
      <w:pPr>
        <w:pBdr>
          <w:bottom w:val="single" w:color="CCCCCC" w:sz="6" w:space="1"/>
        </w:pBdr>
        <w:spacing w:after="200" w:before="200"/>
      </w:pPr>
      <w:r>
        <w:t xml:space="preserve"/>
      </w:r>
    </w:p>
    <w:p>
      <w:pPr>
        <w:pStyle w:val="Heading2"/>
        <w:spacing w:after="140" w:before="280"/>
      </w:pPr>
      <w:r>
        <w:rPr>
          <w:rFonts w:ascii="Calibri" w:cs="Calibri" w:eastAsia="Calibri" w:hAnsi="Calibri"/>
          <w:b/>
          <w:bCs/>
          <w:color w:val="1C3A2A"/>
          <w:sz w:val="28"/>
          <w:szCs w:val="28"/>
        </w:rPr>
        <w:t xml:space="preserve">Bridge to WP 2026.01</w:t>
      </w:r>
    </w:p>
    <w:p>
      <w:pPr>
        <w:spacing w:after="120"/>
      </w:pPr>
      <w:r>
        <w:rPr>
          <w:rFonts w:ascii="Calibri" w:cs="Calibri" w:eastAsia="Calibri" w:hAnsi="Calibri"/>
          <w:sz w:val="22"/>
          <w:szCs w:val="22"/>
        </w:rPr>
        <w:t xml:space="preserve">The economic interpretation of RE maps directly to the three Brazilian archetypes: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4"/>
              <w:left w:val="single" w:color="CCCCCC" w:sz="4"/>
              <w:bottom w:val="single" w:color="CCCCCC" w:sz="4"/>
              <w:right w:val="single" w:color="CCCCCC" w:sz="4"/>
            </w:tcBorders>
            <w:shd w:fill="1C3A2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Archetype</w:t>
            </w:r>
          </w:p>
        </w:tc>
        <w:tc>
          <w:tcPr>
            <w:tcW w:type="dxa" w:w="3280"/>
            <w:tcBorders>
              <w:top w:val="single" w:color="CCCCCC" w:sz="4"/>
              <w:left w:val="single" w:color="CCCCCC" w:sz="4"/>
              <w:bottom w:val="single" w:color="CCCCCC" w:sz="4"/>
              <w:right w:val="single" w:color="CCCCCC" w:sz="4"/>
            </w:tcBorders>
            <w:shd w:fill="1C3A2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RE behavior</w:t>
            </w:r>
          </w:p>
        </w:tc>
        <w:tc>
          <w:tcPr>
            <w:tcW w:type="dxa" w:w="3280"/>
            <w:tcBorders>
              <w:top w:val="single" w:color="CCCCCC" w:sz="4"/>
              <w:left w:val="single" w:color="CCCCCC" w:sz="4"/>
              <w:bottom w:val="single" w:color="CCCCCC" w:sz="4"/>
              <w:right w:val="single" w:color="CCCCCC" w:sz="4"/>
            </w:tcBorders>
            <w:shd w:fill="1C3A2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Penman case</w:t>
            </w:r>
          </w:p>
        </w:tc>
      </w:tr>
      <w:tr>
        <w:tc>
          <w:tcPr>
            <w:tcW w:type="dxa" w:w="28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VIVA3 (Vivara)</w:t>
            </w:r>
          </w:p>
        </w:tc>
        <w:tc>
          <w:tcPr>
            <w:tcW w:type="dxa" w:w="328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 &gt; 0, persistent</w:t>
            </w:r>
          </w:p>
        </w:tc>
        <w:tc>
          <w:tcPr>
            <w:tcW w:type="dxa" w:w="328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Case 2 — constant positive RE</w:t>
            </w:r>
          </w:p>
        </w:tc>
      </w:tr>
      <w:tr>
        <w:tc>
          <w:tcPr>
            <w:tcW w:type="dxa" w:w="28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MDIA3 (M. Dias Branco)</w:t>
            </w:r>
          </w:p>
        </w:tc>
        <w:tc>
          <w:tcPr>
            <w:tcW w:type="dxa" w:w="328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 ≈ 0 or slightly negative</w:t>
            </w:r>
          </w:p>
        </w:tc>
        <w:tc>
          <w:tcPr>
            <w:tcW w:type="dxa" w:w="328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Case 1 — RE drifts to zero</w:t>
            </w:r>
          </w:p>
        </w:tc>
      </w:tr>
      <w:tr>
        <w:tc>
          <w:tcPr>
            <w:tcW w:type="dxa" w:w="28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RADL3 (RD Saúde)</w:t>
            </w:r>
          </w:p>
        </w:tc>
        <w:tc>
          <w:tcPr>
            <w:tcW w:type="dxa" w:w="328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 &gt; 0, growing</w:t>
            </w:r>
          </w:p>
        </w:tc>
        <w:tc>
          <w:tcPr>
            <w:tcW w:type="dxa" w:w="328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Case 3 — RE growing</w:t>
            </w:r>
          </w:p>
        </w:tc>
      </w:tr>
    </w:tbl>
    <w:p>
      <w:pPr>
        <w:spacing w:before="200"/>
      </w:pPr>
      <w:r>
        <w:rPr>
          <w:rFonts w:ascii="Calibri" w:cs="Calibri" w:eastAsia="Calibri" w:hAnsi="Calibri"/>
          <w:sz w:val="22"/>
          <w:szCs w:val="22"/>
        </w:rPr>
        <w:t xml:space="preserve">The central thesis equivalence (</w:t>
      </w:r>
      <w:r>
        <w:rPr>
          <w:rFonts w:ascii="Consolas" w:cs="Consolas" w:eastAsia="Consolas" w:hAnsi="Consolas"/>
          <w:sz w:val="20"/>
          <w:szCs w:val="20"/>
        </w:rPr>
        <w:t xml:space="preserve">RE &gt; 0 ⟺ V &gt; B ⟺ P/B &gt; 1 ⟺ ROCE &gt; r</w:t>
      </w:r>
      <w:r>
        <w:rPr>
          <w:rFonts w:ascii="Calibri" w:cs="Calibri" w:eastAsia="Calibri" w:hAnsi="Calibri"/>
          <w:sz w:val="22"/>
          <w:szCs w:val="22"/>
        </w:rPr>
        <w:t xml:space="preserve">) is the analytical core of Section VIII of the Working Paper. The cases in Penman are not pedagogical curiosities — they are categories of value creation that map onto real Brazilian firms.</w:t>
      </w:r>
    </w:p>
    <w:p>
      <w:pPr>
        <w:spacing w:before="160"/>
      </w:pPr>
      <w:r>
        <w:rPr>
          <w:rFonts w:ascii="Calibri" w:cs="Calibri" w:eastAsia="Calibri" w:hAnsi="Calibri"/>
          <w:sz w:val="22"/>
          <w:szCs w:val="22"/>
        </w:rPr>
        <w:t xml:space="preserve">The triad framing (profitability × capital × capital allocation) provides the conceptual scaffolding for §3 (Mathematical Foundation) and §6 (Building Blocks) of WP 2026.01, where the drivers of RE must be made explicit before the three archetypes are interpreted.</w:t>
      </w:r>
    </w:p>
    <w:p>
      <w:pPr>
        <w:pBdr>
          <w:bottom w:val="single" w:color="CCCCCC" w:sz="6" w:space="1"/>
        </w:pBdr>
        <w:spacing w:after="200" w:before="200"/>
      </w:pPr>
      <w:r>
        <w:t xml:space="preserve"/>
      </w:r>
    </w:p>
    <w:p>
      <w:pPr>
        <w:pStyle w:val="Heading2"/>
        <w:spacing w:after="140" w:before="280"/>
      </w:pPr>
      <w:r>
        <w:rPr>
          <w:rFonts w:ascii="Calibri" w:cs="Calibri" w:eastAsia="Calibri" w:hAnsi="Calibri"/>
          <w:b/>
          <w:bCs/>
          <w:color w:val="1C3A2A"/>
          <w:sz w:val="28"/>
          <w:szCs w:val="28"/>
        </w:rPr>
        <w:t xml:space="preserve">Open questions</w:t>
      </w:r>
    </w:p>
    <w:p>
      <w:pPr>
        <w:spacing w:after="120"/>
      </w:pPr>
      <w:r>
        <w:rPr>
          <w:rFonts w:ascii="Calibri" w:cs="Calibri" w:eastAsia="Calibri" w:hAnsi="Calibri"/>
          <w:i/>
          <w:iCs/>
          <w:sz w:val="22"/>
          <w:szCs w:val="22"/>
        </w:rPr>
        <w:t xml:space="preserve">(to be filled as reading progresses)</w:t>
      </w:r>
    </w:p>
    <w:p>
      <w:pPr>
        <w:pBdr>
          <w:bottom w:val="single" w:color="CCCCCC" w:sz="6" w:space="1"/>
        </w:pBdr>
        <w:spacing w:after="200" w:before="200"/>
      </w:pPr>
      <w:r>
        <w:t xml:space="preserve"/>
      </w:r>
    </w:p>
    <w:p>
      <w:pPr>
        <w:pStyle w:val="Heading2"/>
        <w:spacing w:after="140" w:before="280"/>
      </w:pPr>
      <w:r>
        <w:rPr>
          <w:rFonts w:ascii="Calibri" w:cs="Calibri" w:eastAsia="Calibri" w:hAnsi="Calibri"/>
          <w:b/>
          <w:bCs/>
          <w:color w:val="1C3A2A"/>
          <w:sz w:val="28"/>
          <w:szCs w:val="28"/>
        </w:rPr>
        <w:t xml:space="preserve">References</w:t>
      </w:r>
    </w:p>
    <w:p>
      <w:pPr>
        <w:pStyle w:val="ListParagraph"/>
        <w:numPr>
          <w:ilvl w:val="0"/>
          <w:numId w:val="2"/>
        </w:numPr>
        <w:spacing w:after="100"/>
      </w:pPr>
      <w:r>
        <w:rPr>
          <w:rFonts w:ascii="Calibri" w:cs="Calibri" w:eastAsia="Calibri" w:hAnsi="Calibri"/>
          <w:sz w:val="22"/>
          <w:szCs w:val="22"/>
        </w:rPr>
        <w:t xml:space="preserve">Magni, C. A. (2020). </w:t>
      </w:r>
      <w:r>
        <w:rPr>
          <w:rFonts w:ascii="Calibri" w:cs="Calibri" w:eastAsia="Calibri" w:hAnsi="Calibri"/>
          <w:i/>
          <w:iCs/>
          <w:sz w:val="22"/>
          <w:szCs w:val="22"/>
        </w:rPr>
        <w:t xml:space="preserve">Investment Decisions and the Logic of Valuation: Linking Finance, Accounting, and Engineering</w:t>
      </w:r>
      <w:r>
        <w:rPr>
          <w:rFonts w:ascii="Calibri" w:cs="Calibri" w:eastAsia="Calibri" w:hAnsi="Calibri"/>
          <w:sz w:val="22"/>
          <w:szCs w:val="22"/>
        </w:rPr>
        <w:t xml:space="preserve">. Springer.</w:t>
      </w:r>
    </w:p>
    <w:p>
      <w:pPr>
        <w:pStyle w:val="ListParagraph"/>
        <w:numPr>
          <w:ilvl w:val="0"/>
          <w:numId w:val="2"/>
        </w:numPr>
        <w:spacing w:after="100"/>
      </w:pPr>
      <w:r>
        <w:rPr>
          <w:rFonts w:ascii="Calibri" w:cs="Calibri" w:eastAsia="Calibri" w:hAnsi="Calibri"/>
          <w:sz w:val="22"/>
          <w:szCs w:val="22"/>
        </w:rPr>
        <w:t xml:space="preserve">Penman, S. H. (2013). </w:t>
      </w:r>
      <w:r>
        <w:rPr>
          <w:rFonts w:ascii="Calibri" w:cs="Calibri" w:eastAsia="Calibri" w:hAnsi="Calibri"/>
          <w:i/>
          <w:iCs/>
          <w:sz w:val="22"/>
          <w:szCs w:val="22"/>
        </w:rPr>
        <w:t xml:space="preserve">Financial Statement Analysis and Security Valuation</w:t>
      </w:r>
      <w:r>
        <w:rPr>
          <w:rFonts w:ascii="Calibri" w:cs="Calibri" w:eastAsia="Calibri" w:hAnsi="Calibri"/>
          <w:sz w:val="22"/>
          <w:szCs w:val="22"/>
        </w:rPr>
        <w:t xml:space="preserve"> (5th ed.). McGraw-Hill.</w:t>
      </w:r>
    </w:p>
    <w:p>
      <w:pPr>
        <w:pStyle w:val="ListParagraph"/>
        <w:numPr>
          <w:ilvl w:val="0"/>
          <w:numId w:val="2"/>
        </w:numPr>
        <w:spacing w:after="100"/>
      </w:pPr>
      <w:r>
        <w:rPr>
          <w:rFonts w:ascii="Calibri" w:cs="Calibri" w:eastAsia="Calibri" w:hAnsi="Calibri"/>
          <w:sz w:val="22"/>
          <w:szCs w:val="22"/>
        </w:rPr>
        <w:t xml:space="preserve">Penman, S. H., &amp; Pope, P. F. (2025). </w:t>
      </w:r>
      <w:r>
        <w:rPr>
          <w:rFonts w:ascii="Calibri" w:cs="Calibri" w:eastAsia="Calibri" w:hAnsi="Calibri"/>
          <w:i/>
          <w:iCs/>
          <w:sz w:val="22"/>
          <w:szCs w:val="22"/>
        </w:rPr>
        <w:t xml:space="preserve">Financial Statement Analysis for Value Investing</w:t>
      </w:r>
      <w:r>
        <w:rPr>
          <w:rFonts w:ascii="Calibri" w:cs="Calibri" w:eastAsia="Calibri" w:hAnsi="Calibri"/>
          <w:sz w:val="22"/>
          <w:szCs w:val="22"/>
        </w:rPr>
        <w:t xml:space="preserve">. Columbia University Press.</w:t>
      </w:r>
    </w:p>
    <w:p>
      <w:pPr>
        <w:spacing w:before="400"/>
      </w:pPr>
      <w:r>
        <w:rPr>
          <w:rFonts w:ascii="Calibri" w:cs="Calibri" w:eastAsia="Calibri" w:hAnsi="Calibri"/>
          <w:sz w:val="22"/>
          <w:szCs w:val="22"/>
        </w:rPr>
        <w:t xml:space="preserve"/>
      </w:r>
    </w:p>
    <w:p>
      <w:pPr>
        <w:spacing w:after="120"/>
      </w:pPr>
      <w:r>
        <w:rPr>
          <w:rFonts w:ascii="Calibri" w:cs="Calibri" w:eastAsia="Calibri" w:hAnsi="Calibri"/>
          <w:i/>
          <w:iCs/>
          <w:sz w:val="22"/>
          <w:szCs w:val="22"/>
        </w:rPr>
        <w:t xml:space="preserve">Notes compiled May 7, 2026 — covers pp. 140–148 (introduction, P/B concept, RE definition, valuation model Eq. 5.1, drivers of RE, Box 5.1 ROCE definition).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C3A2A"/>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C3A2A"/>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2C5F4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2026-05-07T18:20:32.052Z</dcterms:created>
  <dcterms:modified xsi:type="dcterms:W3CDTF">2026-05-07T18:20:32.070Z</dcterms:modified>
</cp:coreProperties>
</file>

<file path=docProps/custom.xml><?xml version="1.0" encoding="utf-8"?>
<Properties xmlns="http://schemas.openxmlformats.org/officeDocument/2006/custom-properties" xmlns:vt="http://schemas.openxmlformats.org/officeDocument/2006/docPropsVTypes"/>
</file>