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122"/>
      </w:tblGrid>
      <w:tr>
        <w:tc>
          <w:tcPr>
            <w:tcW w:type="dxa" w:w="9122"/>
            <w:shd w:val="clear" w:color="auto" w:fill="1A5276"/>
          </w:tcPr>
          <w:p>
            <w:pPr>
              <w:spacing w:before="240" w:after="240"/>
              <w:jc w:val="center"/>
            </w:pPr>
            <w:r>
              <w:rPr>
                <w:rFonts w:ascii="Calibri" w:hAnsi="Calibri"/>
                <w:b/>
                <w:color w:val="FFFFFF"/>
                <w:sz w:val="26"/>
              </w:rPr>
              <w:t>MINISTERIO DE CIENCIA, TECNOLOGÍA E INNOVACIÓN</w:t>
            </w:r>
            <w:r>
              <w:br/>
            </w:r>
            <w:r>
              <w:rPr>
                <w:rFonts w:ascii="Calibri" w:hAnsi="Calibri"/>
                <w:b/>
                <w:color w:val="FFD700"/>
                <w:sz w:val="24"/>
              </w:rPr>
              <w:t>CONVOCATORIA "BECAS PARA EL CAMBIO" — REGIÓN PACÍFICO 2026</w:t>
            </w:r>
          </w:p>
        </w:tc>
      </w:tr>
    </w:tbl>
    <w:p/>
    <w:p>
      <w:pPr>
        <w:spacing w:before="400" w:after="200"/>
        <w:jc w:val="center"/>
      </w:pPr>
      <w:r>
        <w:rPr>
          <w:rFonts w:ascii="Calibri" w:hAnsi="Calibri"/>
          <w:b/>
          <w:color w:val="1A5276"/>
          <w:sz w:val="32"/>
        </w:rPr>
        <w:t>PROPUESTA DE INVESTIGACIÓN</w:t>
      </w:r>
    </w:p>
    <w:p>
      <w:pPr>
        <w:spacing w:after="120"/>
        <w:jc w:val="center"/>
      </w:pPr>
      <w:r>
        <w:rPr>
          <w:rFonts w:ascii="Calibri" w:hAnsi="Calibri"/>
          <w:b/>
          <w:color w:val="1F5C8B"/>
          <w:sz w:val="26"/>
        </w:rPr>
        <w:t>"Modelo de Gestión Financiera Pública Basada en Evidencia</w:t>
        <w:br/>
        <w:t>para el Fortalecimiento de la Gobernanza Local</w:t>
        <w:br/>
        <w:t>y la Construcción de Paz Territorial</w:t>
        <w:br/>
        <w:t>en Municipios del Pacífico Colombiano"</w:t>
      </w:r>
    </w:p>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1A5276"/>
            <w:vAlign w:val="center"/>
          </w:tcPr>
          <w:p>
            <w:pPr>
              <w:jc w:val="center"/>
            </w:pPr>
            <w:r>
              <w:rPr>
                <w:rFonts w:ascii="Calibri" w:hAnsi="Calibri"/>
                <w:b/>
                <w:color w:val="FFFFFF"/>
                <w:sz w:val="20"/>
              </w:rPr>
              <w:t>Campo</w:t>
            </w:r>
          </w:p>
        </w:tc>
        <w:tc>
          <w:tcPr>
            <w:tcW w:type="dxa" w:w="4561"/>
            <w:shd w:val="clear" w:color="auto" w:fill="1A5276"/>
            <w:vAlign w:val="center"/>
          </w:tcPr>
          <w:p>
            <w:pPr>
              <w:jc w:val="center"/>
            </w:pPr>
            <w:r>
              <w:rPr>
                <w:rFonts w:ascii="Calibri" w:hAnsi="Calibri"/>
                <w:b/>
                <w:color w:val="FFFFFF"/>
                <w:sz w:val="20"/>
              </w:rPr>
              <w:t>Información</w:t>
            </w:r>
          </w:p>
        </w:tc>
      </w:tr>
      <w:tr>
        <w:tc>
          <w:tcPr>
            <w:tcW w:type="dxa" w:w="4561"/>
            <w:shd w:val="clear" w:color="auto" w:fill="D6E4F0"/>
            <w:vAlign w:val="center"/>
          </w:tcPr>
          <w:p>
            <w:pPr>
              <w:jc w:val="left"/>
            </w:pPr>
            <w:r>
              <w:rPr>
                <w:rFonts w:ascii="Calibri" w:hAnsi="Calibri"/>
                <w:sz w:val="20"/>
              </w:rPr>
              <w:t>Programa solicitado</w:t>
            </w:r>
          </w:p>
        </w:tc>
        <w:tc>
          <w:tcPr>
            <w:tcW w:type="dxa" w:w="4561"/>
            <w:shd w:val="clear" w:color="auto" w:fill="D6E4F0"/>
            <w:vAlign w:val="center"/>
          </w:tcPr>
          <w:p>
            <w:pPr>
              <w:jc w:val="left"/>
            </w:pPr>
            <w:r>
              <w:rPr>
                <w:rFonts w:ascii="Calibri" w:hAnsi="Calibri"/>
                <w:sz w:val="20"/>
              </w:rPr>
              <w:t>Maestría en Gestión Pública — Presencial</w:t>
            </w:r>
          </w:p>
        </w:tc>
      </w:tr>
      <w:tr>
        <w:tc>
          <w:tcPr>
            <w:tcW w:type="dxa" w:w="4561"/>
            <w:shd w:val="clear" w:color="auto" w:fill="FFFFFF"/>
            <w:vAlign w:val="center"/>
          </w:tcPr>
          <w:p>
            <w:pPr>
              <w:jc w:val="left"/>
            </w:pPr>
            <w:r>
              <w:rPr>
                <w:rFonts w:ascii="Calibri" w:hAnsi="Calibri"/>
                <w:sz w:val="20"/>
              </w:rPr>
              <w:t>Universidad</w:t>
            </w:r>
          </w:p>
        </w:tc>
        <w:tc>
          <w:tcPr>
            <w:tcW w:type="dxa" w:w="4561"/>
            <w:shd w:val="clear" w:color="auto" w:fill="FFFFFF"/>
            <w:vAlign w:val="center"/>
          </w:tcPr>
          <w:p>
            <w:pPr>
              <w:jc w:val="left"/>
            </w:pPr>
            <w:r>
              <w:rPr>
                <w:rFonts w:ascii="Calibri" w:hAnsi="Calibri"/>
                <w:sz w:val="20"/>
              </w:rPr>
              <w:t>Universidad Santiago de Cali — USC</w:t>
            </w:r>
          </w:p>
        </w:tc>
      </w:tr>
      <w:tr>
        <w:tc>
          <w:tcPr>
            <w:tcW w:type="dxa" w:w="4561"/>
            <w:shd w:val="clear" w:color="auto" w:fill="D6E4F0"/>
            <w:vAlign w:val="center"/>
          </w:tcPr>
          <w:p>
            <w:pPr>
              <w:jc w:val="left"/>
            </w:pPr>
            <w:r>
              <w:rPr>
                <w:rFonts w:ascii="Calibri" w:hAnsi="Calibri"/>
                <w:sz w:val="20"/>
              </w:rPr>
              <w:t>Modalidad</w:t>
            </w:r>
          </w:p>
        </w:tc>
        <w:tc>
          <w:tcPr>
            <w:tcW w:type="dxa" w:w="4561"/>
            <w:shd w:val="clear" w:color="auto" w:fill="D6E4F0"/>
            <w:vAlign w:val="center"/>
          </w:tcPr>
          <w:p>
            <w:pPr>
              <w:jc w:val="left"/>
            </w:pPr>
            <w:r>
              <w:rPr>
                <w:rFonts w:ascii="Calibri" w:hAnsi="Calibri"/>
                <w:sz w:val="20"/>
              </w:rPr>
              <w:t>Modalidad 1: Maestría</w:t>
            </w:r>
          </w:p>
        </w:tc>
      </w:tr>
      <w:tr>
        <w:tc>
          <w:tcPr>
            <w:tcW w:type="dxa" w:w="4561"/>
            <w:shd w:val="clear" w:color="auto" w:fill="FFFFFF"/>
            <w:vAlign w:val="center"/>
          </w:tcPr>
          <w:p>
            <w:pPr>
              <w:jc w:val="left"/>
            </w:pPr>
            <w:r>
              <w:rPr>
                <w:rFonts w:ascii="Calibri" w:hAnsi="Calibri"/>
                <w:sz w:val="20"/>
              </w:rPr>
              <w:t>Perfil del candidato</w:t>
            </w:r>
          </w:p>
        </w:tc>
        <w:tc>
          <w:tcPr>
            <w:tcW w:type="dxa" w:w="4561"/>
            <w:shd w:val="clear" w:color="auto" w:fill="FFFFFF"/>
            <w:vAlign w:val="center"/>
          </w:tcPr>
          <w:p>
            <w:pPr>
              <w:jc w:val="left"/>
            </w:pPr>
            <w:r>
              <w:rPr>
                <w:rFonts w:ascii="Calibri" w:hAnsi="Calibri"/>
                <w:sz w:val="20"/>
              </w:rPr>
              <w:t>Contador Público | Especialista en Gerencia de Proyectos</w:t>
            </w:r>
          </w:p>
        </w:tc>
      </w:tr>
      <w:tr>
        <w:tc>
          <w:tcPr>
            <w:tcW w:type="dxa" w:w="4561"/>
            <w:shd w:val="clear" w:color="auto" w:fill="D6E4F0"/>
            <w:vAlign w:val="center"/>
          </w:tcPr>
          <w:p>
            <w:pPr>
              <w:jc w:val="left"/>
            </w:pPr>
            <w:r>
              <w:rPr>
                <w:rFonts w:ascii="Calibri" w:hAnsi="Calibri"/>
                <w:sz w:val="20"/>
              </w:rPr>
              <w:t>Misión PIIOM principal</w:t>
            </w:r>
          </w:p>
        </w:tc>
        <w:tc>
          <w:tcPr>
            <w:tcW w:type="dxa" w:w="4561"/>
            <w:shd w:val="clear" w:color="auto" w:fill="D6E4F0"/>
            <w:vAlign w:val="center"/>
          </w:tcPr>
          <w:p>
            <w:pPr>
              <w:jc w:val="left"/>
            </w:pPr>
            <w:r>
              <w:rPr>
                <w:rFonts w:ascii="Calibri" w:hAnsi="Calibri"/>
                <w:sz w:val="20"/>
              </w:rPr>
              <w:t>Ciencia para la Paz</w:t>
            </w:r>
          </w:p>
        </w:tc>
      </w:tr>
      <w:tr>
        <w:tc>
          <w:tcPr>
            <w:tcW w:type="dxa" w:w="4561"/>
            <w:shd w:val="clear" w:color="auto" w:fill="FFFFFF"/>
            <w:vAlign w:val="center"/>
          </w:tcPr>
          <w:p>
            <w:pPr>
              <w:jc w:val="left"/>
            </w:pPr>
            <w:r>
              <w:rPr>
                <w:rFonts w:ascii="Calibri" w:hAnsi="Calibri"/>
                <w:sz w:val="20"/>
              </w:rPr>
              <w:t>Misión PIIOM secundaria</w:t>
            </w:r>
          </w:p>
        </w:tc>
        <w:tc>
          <w:tcPr>
            <w:tcW w:type="dxa" w:w="4561"/>
            <w:shd w:val="clear" w:color="auto" w:fill="FFFFFF"/>
            <w:vAlign w:val="center"/>
          </w:tcPr>
          <w:p>
            <w:pPr>
              <w:jc w:val="left"/>
            </w:pPr>
            <w:r>
              <w:rPr>
                <w:rFonts w:ascii="Calibri" w:hAnsi="Calibri"/>
                <w:sz w:val="20"/>
              </w:rPr>
              <w:t>Bioeconomía y Territorio</w:t>
            </w:r>
          </w:p>
        </w:tc>
      </w:tr>
      <w:tr>
        <w:tc>
          <w:tcPr>
            <w:tcW w:type="dxa" w:w="4561"/>
            <w:shd w:val="clear" w:color="auto" w:fill="D6E4F0"/>
            <w:vAlign w:val="center"/>
          </w:tcPr>
          <w:p>
            <w:pPr>
              <w:jc w:val="left"/>
            </w:pPr>
            <w:r>
              <w:rPr>
                <w:rFonts w:ascii="Calibri" w:hAnsi="Calibri"/>
                <w:sz w:val="20"/>
              </w:rPr>
              <w:t>Fecha límite de cierre</w:t>
            </w:r>
          </w:p>
        </w:tc>
        <w:tc>
          <w:tcPr>
            <w:tcW w:type="dxa" w:w="4561"/>
            <w:shd w:val="clear" w:color="auto" w:fill="D6E4F0"/>
            <w:vAlign w:val="center"/>
          </w:tcPr>
          <w:p>
            <w:pPr>
              <w:jc w:val="left"/>
            </w:pPr>
            <w:r>
              <w:rPr>
                <w:rFonts w:ascii="Calibri" w:hAnsi="Calibri"/>
                <w:sz w:val="20"/>
              </w:rPr>
              <w:t>24 de marzo de 2026 — 4:00 p.m. (hora Colombia)</w:t>
            </w:r>
          </w:p>
        </w:tc>
      </w:tr>
      <w:tr>
        <w:tc>
          <w:tcPr>
            <w:tcW w:type="dxa" w:w="4561"/>
            <w:shd w:val="clear" w:color="auto" w:fill="FFFFFF"/>
            <w:vAlign w:val="center"/>
          </w:tcPr>
          <w:p>
            <w:pPr>
              <w:jc w:val="left"/>
            </w:pPr>
            <w:r>
              <w:rPr>
                <w:rFonts w:ascii="Calibri" w:hAnsi="Calibri"/>
                <w:sz w:val="20"/>
              </w:rPr>
              <w:t>Convocatoria SIGP</w:t>
            </w:r>
          </w:p>
        </w:tc>
        <w:tc>
          <w:tcPr>
            <w:tcW w:type="dxa" w:w="4561"/>
            <w:shd w:val="clear" w:color="auto" w:fill="FFFFFF"/>
            <w:vAlign w:val="center"/>
          </w:tcPr>
          <w:p>
            <w:pPr>
              <w:jc w:val="left"/>
            </w:pPr>
            <w:r>
              <w:rPr>
                <w:rFonts w:ascii="Calibri" w:hAnsi="Calibri"/>
                <w:sz w:val="20"/>
              </w:rPr>
              <w:t>Convocatoria 974 — MINCIENCIAS</w:t>
            </w:r>
          </w:p>
        </w:tc>
      </w:tr>
    </w:tbl>
    <w:p/>
    <w:p>
      <w:r>
        <w:br w:type="page"/>
      </w:r>
    </w:p>
    <w:p>
      <w:pPr>
        <w:spacing w:before="280" w:after="80"/>
        <w:pBdr>
          <w:bottom w:val="single" w:sz="8" w:space="1" w:color="1F5C8B"/>
        </w:pBdr>
      </w:pPr>
      <w:r>
        <w:rPr>
          <w:rFonts w:ascii="Calibri" w:hAnsi="Calibri"/>
          <w:b/>
          <w:color w:val="1F5C8B"/>
          <w:sz w:val="28"/>
        </w:rPr>
        <w:t>1. TÍTULO DEL PROYECTO</w:t>
      </w:r>
    </w:p>
    <w:tbl>
      <w:tblPr>
        <w:tblStyle w:val="TableGrid"/>
        <w:tblW w:type="auto" w:w="0"/>
        <w:tblLook w:firstColumn="1" w:firstRow="1" w:lastColumn="0" w:lastRow="0" w:noHBand="0" w:noVBand="1" w:val="04A0"/>
      </w:tblPr>
      <w:tblGrid>
        <w:gridCol w:w="9122"/>
      </w:tblGrid>
      <w:tr>
        <w:tc>
          <w:tcPr>
            <w:tcW w:type="dxa" w:w="9122"/>
            <w:shd w:val="clear" w:color="auto" w:fill="E8F8F5"/>
          </w:tcPr>
          <w:p>
            <w:pPr>
              <w:spacing w:before="80" w:after="80"/>
              <w:ind w:left="170"/>
              <w:jc w:val="both"/>
            </w:pPr>
            <w:r>
              <w:rPr>
                <w:rFonts w:ascii="Calibri" w:hAnsi="Calibri"/>
                <w:sz w:val="20"/>
              </w:rPr>
              <w:t>⚠  Máximo 250 caracteres — NO modificar el título; está dentro del límite.</w:t>
            </w:r>
          </w:p>
        </w:tc>
      </w:tr>
    </w:tbl>
    <w:p/>
    <w:p>
      <w:pPr>
        <w:spacing w:after="120"/>
        <w:jc w:val="both"/>
      </w:pPr>
      <w:r>
        <w:rPr>
          <w:rFonts w:ascii="Calibri" w:hAnsi="Calibri"/>
          <w:sz w:val="22"/>
        </w:rPr>
        <w:t>Modelo de gestión financiera pública basada en evidencia para el fortalecimiento de la gobernanza local y la construcción de paz territorial en municipios del Pacífico colombiano.</w:t>
      </w:r>
    </w:p>
    <w:p>
      <w:pPr>
        <w:spacing w:before="280" w:after="80"/>
        <w:pBdr>
          <w:bottom w:val="single" w:sz="8" w:space="1" w:color="1F5C8B"/>
        </w:pBdr>
      </w:pPr>
      <w:r>
        <w:rPr>
          <w:rFonts w:ascii="Calibri" w:hAnsi="Calibri"/>
          <w:b/>
          <w:color w:val="1F5C8B"/>
          <w:sz w:val="28"/>
        </w:rPr>
        <w:t>2. RESUMEN EJECUTIVO</w:t>
      </w:r>
    </w:p>
    <w:tbl>
      <w:tblPr>
        <w:tblStyle w:val="TableGrid"/>
        <w:tblW w:type="auto" w:w="0"/>
        <w:tblLook w:firstColumn="1" w:firstRow="1" w:lastColumn="0" w:lastRow="0" w:noHBand="0" w:noVBand="1" w:val="04A0"/>
      </w:tblPr>
      <w:tblGrid>
        <w:gridCol w:w="9122"/>
      </w:tblGrid>
      <w:tr>
        <w:tc>
          <w:tcPr>
            <w:tcW w:type="dxa" w:w="9122"/>
            <w:shd w:val="clear" w:color="auto" w:fill="E8F8F5"/>
          </w:tcPr>
          <w:p>
            <w:pPr>
              <w:spacing w:before="80" w:after="80"/>
              <w:ind w:left="170"/>
              <w:jc w:val="both"/>
            </w:pPr>
            <w:r>
              <w:rPr>
                <w:rFonts w:ascii="Calibri" w:hAnsi="Calibri"/>
                <w:sz w:val="20"/>
              </w:rPr>
              <w:t>⚠  Máximo 500 palabras.</w:t>
            </w:r>
          </w:p>
        </w:tc>
      </w:tr>
    </w:tbl>
    <w:p/>
    <w:p>
      <w:pPr>
        <w:spacing w:after="120"/>
        <w:jc w:val="both"/>
      </w:pPr>
      <w:r>
        <w:rPr>
          <w:rFonts w:ascii="Calibri" w:hAnsi="Calibri"/>
          <w:sz w:val="22"/>
        </w:rPr>
        <w:t xml:space="preserve">La Región Pacífico colombiana presenta una de las mayores brechas de </w:t>
      </w:r>
      <w:r>
        <w:rPr>
          <w:rFonts w:ascii="Calibri" w:hAnsi="Calibri"/>
          <w:b/>
          <w:sz w:val="22"/>
        </w:rPr>
        <w:t>gobernanza y transparencia fiscal del país</w:t>
      </w:r>
      <w:r>
        <w:rPr>
          <w:rFonts w:ascii="Calibri" w:hAnsi="Calibri"/>
          <w:sz w:val="22"/>
        </w:rPr>
        <w:t>. Los municipios de esta región —especialmente en Chocó, Nariño, Cauca y Valle del Cauca— exhiben índices críticos de desempeño fiscal, alta dependencia de transferencias nacionales y debilidad institucional en la ejecución del gasto público. Estas condiciones perpetúan ciclos de pobreza, alimentan conflictos por recursos y erosionan la confianza ciudadana en las instituciones, constituyendo una de las principales barreras estructurales para la paz territorial.</w:t>
      </w:r>
    </w:p>
    <w:p>
      <w:pPr>
        <w:spacing w:after="120"/>
        <w:jc w:val="both"/>
      </w:pPr>
      <w:r>
        <w:rPr>
          <w:rFonts w:ascii="Calibri" w:hAnsi="Calibri"/>
          <w:sz w:val="22"/>
        </w:rPr>
        <w:t xml:space="preserve">El presente proyecto propone el diseño y validación de un </w:t>
      </w:r>
      <w:r>
        <w:rPr>
          <w:rFonts w:ascii="Calibri" w:hAnsi="Calibri"/>
          <w:b/>
          <w:sz w:val="22"/>
        </w:rPr>
        <w:t>Modelo de Gestión Financiera Pública Basada en Evidencia (MGFPBE)</w:t>
      </w:r>
      <w:r>
        <w:rPr>
          <w:rFonts w:ascii="Calibri" w:hAnsi="Calibri"/>
          <w:sz w:val="22"/>
        </w:rPr>
        <w:t xml:space="preserve"> adaptado a las capacidades y necesidades específicas de los municipios del Pacífico colombiano. El modelo integrará herramientas de control interno, presupuesto participativo, indicadores de resultados y rendición de cuentas, articulados con los instrumentos de gerencia de proyectos (PMI, PRINCE2) y adaptados al marco normativo colombiano (Ley 152/94, Decreto 111/96, MIPG).</w:t>
      </w:r>
    </w:p>
    <w:p>
      <w:pPr>
        <w:spacing w:after="120"/>
        <w:jc w:val="both"/>
      </w:pPr>
      <w:r>
        <w:rPr>
          <w:rFonts w:ascii="Calibri" w:hAnsi="Calibri"/>
          <w:sz w:val="22"/>
        </w:rPr>
        <w:t xml:space="preserve">El problema central identificado es la </w:t>
      </w:r>
      <w:r>
        <w:rPr>
          <w:rFonts w:ascii="Calibri" w:hAnsi="Calibri"/>
          <w:b/>
          <w:sz w:val="22"/>
        </w:rPr>
        <w:t>desconexión entre la planificación presupuestal</w:t>
      </w:r>
      <w:r>
        <w:rPr>
          <w:rFonts w:ascii="Calibri" w:hAnsi="Calibri"/>
          <w:sz w:val="22"/>
        </w:rPr>
        <w:t>, la ejecución del gasto y los resultados concretos para la población, lo que genera ineficiencias, corrupción y ausencia de legitimidad institucional. La metodología propuesta es de enfoque mixto: (i) análisis cuantitativo del Índice de Desempeño Fiscal del DNP en 6 municipios seleccionados; (ii) investigación cualitativa con funcionarios, líderes comunitarios y veedores; y (iii) construcción participativa del modelo.</w:t>
      </w:r>
    </w:p>
    <w:p>
      <w:pPr>
        <w:spacing w:after="120"/>
        <w:jc w:val="both"/>
      </w:pPr>
      <w:r>
        <w:rPr>
          <w:rFonts w:ascii="Calibri" w:hAnsi="Calibri"/>
          <w:sz w:val="22"/>
        </w:rPr>
        <w:t xml:space="preserve">Los resultados esperados incluyen: diagnóstico del estado de la gestión financiera, un modelo piloto validado, una caja de herramientas metodológicas replicables, publicación científica y recomendaciones de política pública. Este proyecto contribuye directamente a la Misión </w:t>
      </w:r>
      <w:r>
        <w:rPr>
          <w:rFonts w:ascii="Calibri" w:hAnsi="Calibri"/>
          <w:b/>
          <w:sz w:val="22"/>
        </w:rPr>
        <w:t>Ciencia para la Paz</w:t>
      </w:r>
      <w:r>
        <w:rPr>
          <w:rFonts w:ascii="Calibri" w:hAnsi="Calibri"/>
          <w:sz w:val="22"/>
        </w:rPr>
        <w:t xml:space="preserve"> del PIIOM al abordar la transparencia fiscal como instrumento para reducir conflictos por recursos públicos, y a la Misión </w:t>
      </w:r>
      <w:r>
        <w:rPr>
          <w:rFonts w:ascii="Calibri" w:hAnsi="Calibri"/>
          <w:b/>
          <w:sz w:val="22"/>
        </w:rPr>
        <w:t>Bioeconomía y Territorio</w:t>
      </w:r>
      <w:r>
        <w:rPr>
          <w:rFonts w:ascii="Calibri" w:hAnsi="Calibri"/>
          <w:sz w:val="22"/>
        </w:rPr>
        <w:t xml:space="preserve"> al fortalecer la capacidad de inversión sostenible de los municipios.</w:t>
      </w:r>
    </w:p>
    <w:p>
      <w:pPr>
        <w:spacing w:before="280" w:after="80"/>
        <w:pBdr>
          <w:bottom w:val="single" w:sz="8" w:space="1" w:color="1F5C8B"/>
        </w:pBdr>
      </w:pPr>
      <w:r>
        <w:rPr>
          <w:rFonts w:ascii="Calibri" w:hAnsi="Calibri"/>
          <w:b/>
          <w:color w:val="1F5C8B"/>
          <w:sz w:val="28"/>
        </w:rPr>
        <w:t>3. PALABRAS CLAVE</w:t>
      </w:r>
    </w:p>
    <w:tbl>
      <w:tblPr>
        <w:tblStyle w:val="TableGrid"/>
        <w:tblW w:type="auto" w:w="0"/>
        <w:tblLook w:firstColumn="1" w:firstRow="1" w:lastColumn="0" w:lastRow="0" w:noHBand="0" w:noVBand="1" w:val="04A0"/>
      </w:tblPr>
      <w:tblGrid>
        <w:gridCol w:w="9122"/>
      </w:tblGrid>
      <w:tr>
        <w:tc>
          <w:tcPr>
            <w:tcW w:type="dxa" w:w="9122"/>
            <w:shd w:val="clear" w:color="auto" w:fill="E8F8F5"/>
          </w:tcPr>
          <w:p>
            <w:pPr>
              <w:spacing w:before="80" w:after="80"/>
              <w:ind w:left="170"/>
              <w:jc w:val="both"/>
            </w:pPr>
            <w:r>
              <w:rPr>
                <w:rFonts w:ascii="Calibri" w:hAnsi="Calibri"/>
                <w:sz w:val="20"/>
              </w:rPr>
              <w:t>⚠  Máximo 5 palabras clave.</w:t>
            </w:r>
          </w:p>
        </w:tc>
      </w:tr>
    </w:tbl>
    <w:p/>
    <w:p>
      <w:pPr>
        <w:pStyle w:val="ListBullet"/>
        <w:spacing w:after="60"/>
        <w:ind w:left="567" w:hanging="283"/>
      </w:pPr>
      <w:r>
        <w:rPr>
          <w:rFonts w:ascii="Calibri" w:hAnsi="Calibri"/>
          <w:sz w:val="22"/>
        </w:rPr>
        <w:t>1. Gestión financiera pública</w:t>
      </w:r>
    </w:p>
    <w:p>
      <w:pPr>
        <w:pStyle w:val="ListBullet"/>
        <w:spacing w:after="60"/>
        <w:ind w:left="567" w:hanging="283"/>
      </w:pPr>
      <w:r>
        <w:rPr>
          <w:rFonts w:ascii="Calibri" w:hAnsi="Calibri"/>
          <w:sz w:val="22"/>
        </w:rPr>
        <w:t>2. Gobernanza local</w:t>
      </w:r>
    </w:p>
    <w:p>
      <w:pPr>
        <w:pStyle w:val="ListBullet"/>
        <w:spacing w:after="60"/>
        <w:ind w:left="567" w:hanging="283"/>
      </w:pPr>
      <w:r>
        <w:rPr>
          <w:rFonts w:ascii="Calibri" w:hAnsi="Calibri"/>
          <w:sz w:val="22"/>
        </w:rPr>
        <w:t>3. Paz territorial</w:t>
      </w:r>
    </w:p>
    <w:p>
      <w:pPr>
        <w:pStyle w:val="ListBullet"/>
        <w:spacing w:after="60"/>
        <w:ind w:left="567" w:hanging="283"/>
      </w:pPr>
      <w:r>
        <w:rPr>
          <w:rFonts w:ascii="Calibri" w:hAnsi="Calibri"/>
          <w:sz w:val="22"/>
        </w:rPr>
        <w:t>4. Transparencia fiscal</w:t>
      </w:r>
    </w:p>
    <w:p>
      <w:pPr>
        <w:pStyle w:val="ListBullet"/>
        <w:spacing w:after="60"/>
        <w:ind w:left="567" w:hanging="283"/>
      </w:pPr>
      <w:r>
        <w:rPr>
          <w:rFonts w:ascii="Calibri" w:hAnsi="Calibri"/>
          <w:sz w:val="22"/>
        </w:rPr>
        <w:t>5. Desempeño municipal</w:t>
      </w:r>
    </w:p>
    <w:p>
      <w:pPr>
        <w:spacing w:before="280" w:after="80"/>
        <w:pBdr>
          <w:bottom w:val="single" w:sz="8" w:space="1" w:color="1F5C8B"/>
        </w:pBdr>
      </w:pPr>
      <w:r>
        <w:rPr>
          <w:rFonts w:ascii="Calibri" w:hAnsi="Calibri"/>
          <w:b/>
          <w:color w:val="1F5C8B"/>
          <w:sz w:val="28"/>
        </w:rPr>
        <w:t>4. IDENTIFICACIÓN Y DESCRIPCIÓN DEL PROBLEMA</w:t>
      </w:r>
    </w:p>
    <w:p>
      <w:pPr>
        <w:spacing w:after="120"/>
        <w:jc w:val="both"/>
      </w:pPr>
      <w:r>
        <w:rPr>
          <w:rFonts w:ascii="Calibri" w:hAnsi="Calibri"/>
          <w:sz w:val="22"/>
        </w:rPr>
        <w:t xml:space="preserve">La Región Pacífico colombiana recibe anualmente billones de pesos a través del Sistema General de Participaciones (SGP), regalías y recursos propios. Sin embargo, según el </w:t>
      </w:r>
      <w:r>
        <w:rPr>
          <w:rFonts w:ascii="Calibri" w:hAnsi="Calibri"/>
          <w:b/>
          <w:sz w:val="22"/>
        </w:rPr>
        <w:t>Índice de Desempeño Fiscal del DNP (2023)</w:t>
      </w:r>
      <w:r>
        <w:rPr>
          <w:rFonts w:ascii="Calibri" w:hAnsi="Calibri"/>
          <w:sz w:val="22"/>
        </w:rPr>
        <w:t xml:space="preserve">, más del 60 % de los municipios de Chocó y cerca del 45 % de los de Nariño costero obtienen calificaciones por debajo de 40 puntos sobre 100, ubicándose en categorías "crítico" o "bajo". Esta </w:t>
      </w:r>
      <w:r>
        <w:rPr>
          <w:rFonts w:ascii="Calibri" w:hAnsi="Calibri"/>
          <w:b/>
          <w:sz w:val="22"/>
        </w:rPr>
        <w:t>paradoja</w:t>
      </w:r>
      <w:r>
        <w:rPr>
          <w:rFonts w:ascii="Calibri" w:hAnsi="Calibri"/>
          <w:sz w:val="22"/>
        </w:rPr>
        <w:t xml:space="preserve"> —abundancia de recursos versus resultados precarios— evidencia una falla estructural en la gestión pública local.</w:t>
      </w:r>
    </w:p>
    <w:p>
      <w:pPr>
        <w:spacing w:before="200" w:after="60"/>
      </w:pPr>
      <w:r>
        <w:rPr>
          <w:rFonts w:ascii="Calibri" w:hAnsi="Calibri"/>
          <w:b/>
          <w:color w:val="2E74B5"/>
          <w:sz w:val="22"/>
        </w:rPr>
        <w:t>Factores del problema identificados:</w:t>
      </w:r>
    </w:p>
    <w:p>
      <w:pPr>
        <w:pStyle w:val="ListBullet"/>
        <w:spacing w:after="60"/>
        <w:ind w:left="567" w:hanging="283"/>
      </w:pPr>
      <w:r>
        <w:rPr>
          <w:rFonts w:ascii="Calibri" w:hAnsi="Calibri"/>
          <w:b/>
          <w:sz w:val="22"/>
        </w:rPr>
        <w:t xml:space="preserve">Debilidad en el control interno y la planeación presupuestal: </w:t>
      </w:r>
      <w:r>
        <w:rPr>
          <w:rFonts w:ascii="Calibri" w:hAnsi="Calibri"/>
          <w:sz w:val="22"/>
        </w:rPr>
        <w:t>Las oficinas de presupuesto, tesorería y contabilidad operan desarticuladas, sin sistemas de información integrados ni metodologías de seguimiento.</w:t>
      </w:r>
    </w:p>
    <w:p>
      <w:pPr>
        <w:pStyle w:val="ListBullet"/>
        <w:spacing w:after="60"/>
        <w:ind w:left="567" w:hanging="283"/>
      </w:pPr>
      <w:r>
        <w:rPr>
          <w:rFonts w:ascii="Calibri" w:hAnsi="Calibri"/>
          <w:b/>
          <w:sz w:val="22"/>
        </w:rPr>
        <w:t xml:space="preserve">Desconexión entre el Plan de Desarrollo y el Presupuesto: </w:t>
      </w:r>
      <w:r>
        <w:rPr>
          <w:rFonts w:ascii="Calibri" w:hAnsi="Calibri"/>
          <w:sz w:val="22"/>
        </w:rPr>
        <w:t>Los PDM formulan objetivos que raramente se reflejan en apropiaciones presupuestales anuales, imposibilitando la evaluación de impacto.</w:t>
      </w:r>
    </w:p>
    <w:p>
      <w:pPr>
        <w:pStyle w:val="ListBullet"/>
        <w:spacing w:after="60"/>
        <w:ind w:left="567" w:hanging="283"/>
      </w:pPr>
      <w:r>
        <w:rPr>
          <w:rFonts w:ascii="Calibri" w:hAnsi="Calibri"/>
          <w:b/>
          <w:sz w:val="22"/>
        </w:rPr>
        <w:t xml:space="preserve">Ausencia de gestión por resultados: </w:t>
      </w:r>
      <w:r>
        <w:rPr>
          <w:rFonts w:ascii="Calibri" w:hAnsi="Calibri"/>
          <w:sz w:val="22"/>
        </w:rPr>
        <w:t>La cultura institucional es de gestión por insumos (cuánto se gasta) en lugar de resultados (qué se logra), impidiendo la rendición de cuentas real.</w:t>
      </w:r>
    </w:p>
    <w:p>
      <w:pPr>
        <w:pStyle w:val="ListBullet"/>
        <w:spacing w:after="60"/>
        <w:ind w:left="567" w:hanging="283"/>
      </w:pPr>
      <w:r>
        <w:rPr>
          <w:rFonts w:ascii="Calibri" w:hAnsi="Calibri"/>
          <w:b/>
          <w:sz w:val="22"/>
        </w:rPr>
        <w:t xml:space="preserve">Impacto en la paz territorial: </w:t>
      </w:r>
      <w:r>
        <w:rPr>
          <w:rFonts w:ascii="Calibri" w:hAnsi="Calibri"/>
          <w:sz w:val="22"/>
        </w:rPr>
        <w:t>La debilidad institucional y la percepción de corrupción están directamente correlacionadas con la persistencia del conflicto armado y las economías ilegales en el Pacífico (CNMH; PNUD Colombia, 2022).</w:t>
      </w:r>
    </w:p>
    <w:p>
      <w:pPr>
        <w:pStyle w:val="ListBullet"/>
        <w:spacing w:after="60"/>
        <w:ind w:left="567" w:hanging="283"/>
      </w:pPr>
      <w:r>
        <w:rPr>
          <w:rFonts w:ascii="Calibri" w:hAnsi="Calibri"/>
          <w:b/>
          <w:sz w:val="22"/>
        </w:rPr>
        <w:t xml:space="preserve">Escasez de profesionales con formación en gestión pública territorial: </w:t>
      </w:r>
      <w:r>
        <w:rPr>
          <w:rFonts w:ascii="Calibri" w:hAnsi="Calibri"/>
          <w:sz w:val="22"/>
        </w:rPr>
        <w:t>La región carece de masa crítica de funcionarios con formación de alto nivel, perpetuando las debilidades institucionales descritas.</w:t>
      </w:r>
    </w:p>
    <w:p>
      <w:pPr>
        <w:spacing w:before="280" w:after="80"/>
        <w:pBdr>
          <w:bottom w:val="single" w:sz="8" w:space="1" w:color="1F5C8B"/>
        </w:pBdr>
      </w:pPr>
      <w:r>
        <w:rPr>
          <w:rFonts w:ascii="Calibri" w:hAnsi="Calibri"/>
          <w:b/>
          <w:color w:val="1F5C8B"/>
          <w:sz w:val="28"/>
        </w:rPr>
        <w:t>5. JUSTIFICACIÓN</w:t>
      </w:r>
    </w:p>
    <w:tbl>
      <w:tblPr>
        <w:tblStyle w:val="TableGrid"/>
        <w:tblW w:type="auto" w:w="0"/>
        <w:tblLook w:firstColumn="1" w:firstRow="1" w:lastColumn="0" w:lastRow="0" w:noHBand="0" w:noVBand="1" w:val="04A0"/>
      </w:tblPr>
      <w:tblGrid>
        <w:gridCol w:w="9122"/>
      </w:tblGrid>
      <w:tr>
        <w:tc>
          <w:tcPr>
            <w:tcW w:type="dxa" w:w="9122"/>
            <w:shd w:val="clear" w:color="auto" w:fill="E8F8F5"/>
          </w:tcPr>
          <w:p>
            <w:pPr>
              <w:spacing w:before="80" w:after="80"/>
              <w:ind w:left="170"/>
              <w:jc w:val="both"/>
            </w:pPr>
            <w:r>
              <w:rPr>
                <w:rFonts w:ascii="Calibri" w:hAnsi="Calibri"/>
                <w:sz w:val="20"/>
              </w:rPr>
              <w:t>⚠  Entre 500 y 1.000 palabras.</w:t>
            </w:r>
          </w:p>
        </w:tc>
      </w:tr>
    </w:tbl>
    <w:p/>
    <w:p>
      <w:pPr>
        <w:spacing w:before="200" w:after="60"/>
      </w:pPr>
      <w:r>
        <w:rPr>
          <w:rFonts w:ascii="Calibri" w:hAnsi="Calibri"/>
          <w:b/>
          <w:color w:val="2E74B5"/>
          <w:sz w:val="22"/>
        </w:rPr>
        <w:t>a) Dimensión territorial</w:t>
      </w:r>
    </w:p>
    <w:p>
      <w:pPr>
        <w:spacing w:after="120"/>
        <w:jc w:val="both"/>
      </w:pPr>
      <w:r>
        <w:rPr>
          <w:rFonts w:ascii="Calibri" w:hAnsi="Calibri"/>
          <w:sz w:val="22"/>
        </w:rPr>
        <w:t xml:space="preserve">El Pacífico colombiano concentra algunos de los peores indicadores socioeconómicos del país pese a la riqueza natural y a los cuantiosos recursos públicos que recibe. Según el DANE (2022), la incidencia de pobreza multidimensional en Chocó alcanza el </w:t>
      </w:r>
      <w:r>
        <w:rPr>
          <w:rFonts w:ascii="Calibri" w:hAnsi="Calibri"/>
          <w:b/>
          <w:sz w:val="22"/>
        </w:rPr>
        <w:t>62,7 %</w:t>
      </w:r>
      <w:r>
        <w:rPr>
          <w:rFonts w:ascii="Calibri" w:hAnsi="Calibri"/>
          <w:sz w:val="22"/>
        </w:rPr>
        <w:t xml:space="preserve"> y en Nariño el </w:t>
      </w:r>
      <w:r>
        <w:rPr>
          <w:rFonts w:ascii="Calibri" w:hAnsi="Calibri"/>
          <w:b/>
          <w:sz w:val="22"/>
        </w:rPr>
        <w:t>38,4 %</w:t>
      </w:r>
      <w:r>
        <w:rPr>
          <w:rFonts w:ascii="Calibri" w:hAnsi="Calibri"/>
          <w:sz w:val="22"/>
        </w:rPr>
        <w:t xml:space="preserve">, ambas muy por encima del promedio nacional del </w:t>
      </w:r>
      <w:r>
        <w:rPr>
          <w:rFonts w:ascii="Calibri" w:hAnsi="Calibri"/>
          <w:b/>
          <w:sz w:val="22"/>
        </w:rPr>
        <w:t>16,0 %</w:t>
      </w:r>
      <w:r>
        <w:rPr>
          <w:rFonts w:ascii="Calibri" w:hAnsi="Calibri"/>
          <w:sz w:val="22"/>
        </w:rPr>
        <w:t>. Esta situación no es resultado de la escasez de recursos, sino de la incapacidad institucional para convertirlos en bienestar. Una investigación que mejore la gestión financiera pública tiene un potencial transformador directo sobre las condiciones de vida de millones de colombianos de la región.</w:t>
      </w:r>
    </w:p>
    <w:p>
      <w:pPr>
        <w:spacing w:before="200" w:after="60"/>
      </w:pPr>
      <w:r>
        <w:rPr>
          <w:rFonts w:ascii="Calibri" w:hAnsi="Calibri"/>
          <w:b/>
          <w:color w:val="2E74B5"/>
          <w:sz w:val="22"/>
        </w:rPr>
        <w:t>b) Dimensión normativa</w:t>
      </w:r>
    </w:p>
    <w:p>
      <w:pPr>
        <w:spacing w:after="120"/>
        <w:jc w:val="both"/>
      </w:pPr>
      <w:r>
        <w:rPr>
          <w:rFonts w:ascii="Calibri" w:hAnsi="Calibri"/>
          <w:sz w:val="22"/>
        </w:rPr>
        <w:t xml:space="preserve">Colombia cuenta con un marco normativo avanzado: Estatuto Orgánico del Presupuesto (Decreto 111/96), Sistema Integrado de Gestión (MIPG — Decreto 1499/17), Marco Fiscal de Mediano Plazo y lineamientos del DNP para seguimiento de Planes de Desarrollo. Sin embargo, la </w:t>
      </w:r>
      <w:r>
        <w:rPr>
          <w:rFonts w:ascii="Calibri" w:hAnsi="Calibri"/>
          <w:b/>
          <w:sz w:val="22"/>
        </w:rPr>
        <w:t>brecha entre este marco y su aplicación efectiva</w:t>
      </w:r>
      <w:r>
        <w:rPr>
          <w:rFonts w:ascii="Calibri" w:hAnsi="Calibri"/>
          <w:sz w:val="22"/>
        </w:rPr>
        <w:t xml:space="preserve"> en municipios de categorías 5 y 6 del Pacífico es enorme. La investigación busca entender y reducir esa brecha mediante soluciones adaptadas a las realidades locales.</w:t>
      </w:r>
    </w:p>
    <w:p>
      <w:pPr>
        <w:spacing w:before="200" w:after="60"/>
      </w:pPr>
      <w:r>
        <w:rPr>
          <w:rFonts w:ascii="Calibri" w:hAnsi="Calibri"/>
          <w:b/>
          <w:color w:val="2E74B5"/>
          <w:sz w:val="22"/>
        </w:rPr>
        <w:t>c) Dimensión científica</w:t>
      </w:r>
    </w:p>
    <w:p>
      <w:pPr>
        <w:spacing w:after="120"/>
        <w:jc w:val="both"/>
      </w:pPr>
      <w:r>
        <w:rPr>
          <w:rFonts w:ascii="Calibri" w:hAnsi="Calibri"/>
          <w:sz w:val="22"/>
        </w:rPr>
        <w:t xml:space="preserve">Existe producción académica internacional sobre Public Financial Management (Andrews, 2013; De Renzio, 2011; Banco Mundial, 2020), pero la literatura sobre gestión financiera pública subnacional en contextos de conflicto en América Latina es escasa. La articulación entre gerencia de proyectos, contabilidad gubernamental y construcción de paz territorial desde una perspectiva endógena al Pacífico colombiano constituye una </w:t>
      </w:r>
      <w:r>
        <w:rPr>
          <w:rFonts w:ascii="Calibri" w:hAnsi="Calibri"/>
          <w:b/>
          <w:sz w:val="22"/>
        </w:rPr>
        <w:t>brecha de conocimiento</w:t>
      </w:r>
      <w:r>
        <w:rPr>
          <w:rFonts w:ascii="Calibri" w:hAnsi="Calibri"/>
          <w:sz w:val="22"/>
        </w:rPr>
        <w:t xml:space="preserve"> que esta investigación contribuirá a cerrar, con potencial de publicación en revistas indexadas Scopus.</w:t>
      </w:r>
    </w:p>
    <w:p>
      <w:pPr>
        <w:spacing w:before="200" w:after="60"/>
      </w:pPr>
      <w:r>
        <w:rPr>
          <w:rFonts w:ascii="Calibri" w:hAnsi="Calibri"/>
          <w:b/>
          <w:color w:val="2E74B5"/>
          <w:sz w:val="22"/>
        </w:rPr>
        <w:t>d) Dimensión de política pública</w:t>
      </w:r>
    </w:p>
    <w:p>
      <w:pPr>
        <w:spacing w:after="120"/>
        <w:jc w:val="both"/>
      </w:pPr>
      <w:r>
        <w:rPr>
          <w:rFonts w:ascii="Calibri" w:hAnsi="Calibri"/>
          <w:sz w:val="22"/>
        </w:rPr>
        <w:t xml:space="preserve">Los resultados son directamente aplicables al diseño de políticas del DNP, la Contraloría General, el Ministerio del Interior y los gobiernos departamentales del Pacífico. El modelo puede adoptarse en el marco del </w:t>
      </w:r>
      <w:r>
        <w:rPr>
          <w:rFonts w:ascii="Calibri" w:hAnsi="Calibri"/>
          <w:b/>
          <w:sz w:val="22"/>
        </w:rPr>
        <w:t>OCAD Paz</w:t>
      </w:r>
      <w:r>
        <w:rPr>
          <w:rFonts w:ascii="Calibri" w:hAnsi="Calibri"/>
          <w:sz w:val="22"/>
        </w:rPr>
        <w:t>, los Programas de Desarrollo con Enfoque Territorial (</w:t>
      </w:r>
      <w:r>
        <w:rPr>
          <w:rFonts w:ascii="Calibri" w:hAnsi="Calibri"/>
          <w:b/>
          <w:sz w:val="22"/>
        </w:rPr>
        <w:t>PDET</w:t>
      </w:r>
      <w:r>
        <w:rPr>
          <w:rFonts w:ascii="Calibri" w:hAnsi="Calibri"/>
          <w:sz w:val="22"/>
        </w:rPr>
        <w:t xml:space="preserve">) y los </w:t>
      </w:r>
      <w:r>
        <w:rPr>
          <w:rFonts w:ascii="Calibri" w:hAnsi="Calibri"/>
          <w:b/>
          <w:sz w:val="22"/>
        </w:rPr>
        <w:t>Contratos Plan</w:t>
      </w:r>
      <w:r>
        <w:rPr>
          <w:rFonts w:ascii="Calibri" w:hAnsi="Calibri"/>
          <w:sz w:val="22"/>
        </w:rPr>
        <w:t xml:space="preserve"> suscritos con municipios. La investigación contribuye al indicador del PIIOM "Programas de CTeI orientados a la reducción de brechas territoriales" de las bases del Plan Nacional de Desarrollo 2022-2026.</w:t>
      </w:r>
    </w:p>
    <w:p>
      <w:pPr>
        <w:spacing w:before="200" w:after="60"/>
      </w:pPr>
      <w:r>
        <w:rPr>
          <w:rFonts w:ascii="Calibri" w:hAnsi="Calibri"/>
          <w:b/>
          <w:color w:val="2E74B5"/>
          <w:sz w:val="22"/>
        </w:rPr>
        <w:t>e) Pertinencia del perfil investigador</w:t>
      </w:r>
    </w:p>
    <w:p>
      <w:pPr>
        <w:spacing w:after="120"/>
        <w:jc w:val="both"/>
      </w:pPr>
      <w:r>
        <w:rPr>
          <w:rFonts w:ascii="Calibri" w:hAnsi="Calibri"/>
          <w:sz w:val="22"/>
        </w:rPr>
        <w:t>El candidato cuenta con formación en Contaduría Pública —que provee bases en contabilidad gubernamental, control interno, auditoría y análisis financiero— y especialización en Gerencia de Proyectos —que aporta metodologías de planificación, seguimiento, evaluación y gestión del ciclo de proyecto. Esta combinación es ideal para la investigación propuesta. La Maestría en Gestión Pública de la USC complementará este perfil con visión de política pública, gobernanza y administración del Estado.</w:t>
      </w:r>
    </w:p>
    <w:p>
      <w:pPr>
        <w:spacing w:before="280" w:after="80"/>
        <w:pBdr>
          <w:bottom w:val="single" w:sz="8" w:space="1" w:color="1F5C8B"/>
        </w:pBdr>
      </w:pPr>
      <w:r>
        <w:rPr>
          <w:rFonts w:ascii="Calibri" w:hAnsi="Calibri"/>
          <w:b/>
          <w:color w:val="1F5C8B"/>
          <w:sz w:val="28"/>
        </w:rPr>
        <w:t>6. ARTICULACIÓN CON LAS MISIONES PIIOM</w:t>
      </w:r>
    </w:p>
    <w:p>
      <w:pPr>
        <w:spacing w:before="200" w:after="60"/>
      </w:pPr>
      <w:r>
        <w:rPr>
          <w:rFonts w:ascii="Calibri" w:hAnsi="Calibri"/>
          <w:b/>
          <w:color w:val="2E74B5"/>
          <w:sz w:val="22"/>
        </w:rPr>
        <w:t>Misión Principal: Ciencia para la Paz</w:t>
      </w:r>
    </w:p>
    <w:p>
      <w:pPr>
        <w:spacing w:after="120"/>
        <w:jc w:val="both"/>
      </w:pPr>
      <w:r>
        <w:rPr>
          <w:rFonts w:ascii="Calibri" w:hAnsi="Calibri"/>
          <w:sz w:val="22"/>
        </w:rPr>
        <w:t xml:space="preserve">Esta misión busca "poner fin a todas las formas de violencia en Colombia y comprender las diversas causas de violencia como base para construir soluciones tecnológicas y sociales que fomenten y fortalezcan la convivencia pacífica en condiciones de equidad y justicia social" (Resolución 1452 de 2024, MINCIENCIAS). La investigación propuesta se articula directamente con esta misión al reconocer que la </w:t>
      </w:r>
      <w:r>
        <w:rPr>
          <w:rFonts w:ascii="Calibri" w:hAnsi="Calibri"/>
          <w:b/>
          <w:sz w:val="22"/>
        </w:rPr>
        <w:t>debilidad en la gestión financiera pública y la corrupción son causas estructurales de violencia</w:t>
      </w:r>
      <w:r>
        <w:rPr>
          <w:rFonts w:ascii="Calibri" w:hAnsi="Calibri"/>
          <w:sz w:val="22"/>
        </w:rPr>
        <w:t xml:space="preserve"> y desconfianza institucional en el Pacífico. Un modelo que fortalezca la transparencia, la rendición de cuentas y la inversión pública efectiva contribuye a reducir los vacíos de gobernanza que alimentan los conflictos armados y las economías ilegales.</w:t>
      </w:r>
    </w:p>
    <w:p>
      <w:pPr>
        <w:spacing w:before="200" w:after="60"/>
      </w:pPr>
      <w:r>
        <w:rPr>
          <w:rFonts w:ascii="Calibri" w:hAnsi="Calibri"/>
          <w:b/>
          <w:color w:val="2E74B5"/>
          <w:sz w:val="22"/>
        </w:rPr>
        <w:t>Misión Secundaria: Bioeconomía y Territorio</w:t>
      </w:r>
    </w:p>
    <w:p>
      <w:pPr>
        <w:spacing w:after="120"/>
        <w:jc w:val="both"/>
      </w:pPr>
      <w:r>
        <w:rPr>
          <w:rFonts w:ascii="Calibri" w:hAnsi="Calibri"/>
          <w:sz w:val="22"/>
        </w:rPr>
        <w:t xml:space="preserve">Esta misión orienta el "desarrollo territorial sostenible mediante el conocimiento, conservación y aprovechamiento de la biodiversidad y sus servicios ecosistémicos." La articulación se da en tanto que la mejora de la capacidad de gestión financiera de los municipios del Pacífico es </w:t>
      </w:r>
      <w:r>
        <w:rPr>
          <w:rFonts w:ascii="Calibri" w:hAnsi="Calibri"/>
          <w:b/>
          <w:sz w:val="22"/>
        </w:rPr>
        <w:t>condición necesaria</w:t>
      </w:r>
      <w:r>
        <w:rPr>
          <w:rFonts w:ascii="Calibri" w:hAnsi="Calibri"/>
          <w:sz w:val="22"/>
        </w:rPr>
        <w:t xml:space="preserve"> para que estos puedan invertir eficazmente en el aprovechamiento sostenible de su biodiversidad, financiar proyectos de bioeconomía y apalancar recursos de cooperación internacional.</w:t>
      </w:r>
    </w:p>
    <w:p>
      <w:pPr>
        <w:spacing w:before="200" w:after="60"/>
      </w:pPr>
      <w:r>
        <w:rPr>
          <w:rFonts w:ascii="Calibri" w:hAnsi="Calibri"/>
          <w:b/>
          <w:color w:val="2E74B5"/>
          <w:sz w:val="22"/>
        </w:rPr>
        <w:t>Articulación con el Programa de Maestría</w:t>
      </w:r>
    </w:p>
    <w:p>
      <w:pPr>
        <w:spacing w:after="120"/>
        <w:jc w:val="both"/>
      </w:pPr>
      <w:r>
        <w:rPr>
          <w:rFonts w:ascii="Calibri" w:hAnsi="Calibri"/>
          <w:sz w:val="22"/>
        </w:rPr>
        <w:t>La Maestría en Gestión Pública de la USC provee el marco conceptual y metodológico para abordar la investigación desde las ciencias administrativas y políticas, con énfasis en gobierno, instituciones públicas y desarrollo territorial, garantizando la integración de la propuesta en el proceso formativo de alto nivel exigido por la convocatoria.</w:t>
      </w:r>
    </w:p>
    <w:p>
      <w:pPr>
        <w:spacing w:before="280" w:after="80"/>
        <w:pBdr>
          <w:bottom w:val="single" w:sz="8" w:space="1" w:color="1F5C8B"/>
        </w:pBdr>
      </w:pPr>
      <w:r>
        <w:rPr>
          <w:rFonts w:ascii="Calibri" w:hAnsi="Calibri"/>
          <w:b/>
          <w:color w:val="1F5C8B"/>
          <w:sz w:val="28"/>
        </w:rPr>
        <w:t>7. ÁREA OCDE</w:t>
      </w:r>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1A5276"/>
            <w:vAlign w:val="center"/>
          </w:tcPr>
          <w:p>
            <w:pPr>
              <w:jc w:val="center"/>
            </w:pPr>
            <w:r>
              <w:rPr>
                <w:rFonts w:ascii="Calibri" w:hAnsi="Calibri"/>
                <w:b/>
                <w:color w:val="FFFFFF"/>
                <w:sz w:val="20"/>
              </w:rPr>
              <w:t>Campo</w:t>
            </w:r>
          </w:p>
        </w:tc>
        <w:tc>
          <w:tcPr>
            <w:tcW w:type="dxa" w:w="4561"/>
            <w:shd w:val="clear" w:color="auto" w:fill="1A5276"/>
            <w:vAlign w:val="center"/>
          </w:tcPr>
          <w:p>
            <w:pPr>
              <w:jc w:val="center"/>
            </w:pPr>
            <w:r>
              <w:rPr>
                <w:rFonts w:ascii="Calibri" w:hAnsi="Calibri"/>
                <w:b/>
                <w:color w:val="FFFFFF"/>
                <w:sz w:val="20"/>
              </w:rPr>
              <w:t>Clasificación</w:t>
            </w:r>
          </w:p>
        </w:tc>
      </w:tr>
      <w:tr>
        <w:tc>
          <w:tcPr>
            <w:tcW w:type="dxa" w:w="4561"/>
            <w:shd w:val="clear" w:color="auto" w:fill="D6E4F0"/>
            <w:vAlign w:val="center"/>
          </w:tcPr>
          <w:p>
            <w:pPr>
              <w:jc w:val="left"/>
            </w:pPr>
            <w:r>
              <w:rPr>
                <w:rFonts w:ascii="Calibri" w:hAnsi="Calibri"/>
                <w:sz w:val="20"/>
              </w:rPr>
              <w:t>Gran Área</w:t>
            </w:r>
          </w:p>
        </w:tc>
        <w:tc>
          <w:tcPr>
            <w:tcW w:type="dxa" w:w="4561"/>
            <w:shd w:val="clear" w:color="auto" w:fill="D6E4F0"/>
            <w:vAlign w:val="center"/>
          </w:tcPr>
          <w:p>
            <w:pPr>
              <w:jc w:val="left"/>
            </w:pPr>
            <w:r>
              <w:rPr>
                <w:rFonts w:ascii="Calibri" w:hAnsi="Calibri"/>
                <w:sz w:val="20"/>
              </w:rPr>
              <w:t>Ciencias Sociales</w:t>
            </w:r>
          </w:p>
        </w:tc>
      </w:tr>
      <w:tr>
        <w:tc>
          <w:tcPr>
            <w:tcW w:type="dxa" w:w="4561"/>
            <w:shd w:val="clear" w:color="auto" w:fill="FFFFFF"/>
            <w:vAlign w:val="center"/>
          </w:tcPr>
          <w:p>
            <w:pPr>
              <w:jc w:val="left"/>
            </w:pPr>
            <w:r>
              <w:rPr>
                <w:rFonts w:ascii="Calibri" w:hAnsi="Calibri"/>
                <w:sz w:val="20"/>
              </w:rPr>
              <w:t>Área</w:t>
            </w:r>
          </w:p>
        </w:tc>
        <w:tc>
          <w:tcPr>
            <w:tcW w:type="dxa" w:w="4561"/>
            <w:shd w:val="clear" w:color="auto" w:fill="FFFFFF"/>
            <w:vAlign w:val="center"/>
          </w:tcPr>
          <w:p>
            <w:pPr>
              <w:jc w:val="left"/>
            </w:pPr>
            <w:r>
              <w:rPr>
                <w:rFonts w:ascii="Calibri" w:hAnsi="Calibri"/>
                <w:sz w:val="20"/>
              </w:rPr>
              <w:t>Ciencias Económicas y Empresariales</w:t>
            </w:r>
          </w:p>
        </w:tc>
      </w:tr>
      <w:tr>
        <w:tc>
          <w:tcPr>
            <w:tcW w:type="dxa" w:w="4561"/>
            <w:shd w:val="clear" w:color="auto" w:fill="D6E4F0"/>
            <w:vAlign w:val="center"/>
          </w:tcPr>
          <w:p>
            <w:pPr>
              <w:jc w:val="left"/>
            </w:pPr>
            <w:r>
              <w:rPr>
                <w:rFonts w:ascii="Calibri" w:hAnsi="Calibri"/>
                <w:sz w:val="20"/>
              </w:rPr>
              <w:t>Disciplina</w:t>
            </w:r>
          </w:p>
        </w:tc>
        <w:tc>
          <w:tcPr>
            <w:tcW w:type="dxa" w:w="4561"/>
            <w:shd w:val="clear" w:color="auto" w:fill="D6E4F0"/>
            <w:vAlign w:val="center"/>
          </w:tcPr>
          <w:p>
            <w:pPr>
              <w:jc w:val="left"/>
            </w:pPr>
            <w:r>
              <w:rPr>
                <w:rFonts w:ascii="Calibri" w:hAnsi="Calibri"/>
                <w:sz w:val="20"/>
              </w:rPr>
              <w:t>Administración Pública / Gestión y Organización</w:t>
            </w:r>
          </w:p>
        </w:tc>
      </w:tr>
    </w:tbl>
    <w:p/>
    <w:p>
      <w:pPr>
        <w:spacing w:before="280" w:after="80"/>
        <w:pBdr>
          <w:bottom w:val="single" w:sz="8" w:space="1" w:color="1F5C8B"/>
        </w:pBdr>
      </w:pPr>
      <w:r>
        <w:rPr>
          <w:rFonts w:ascii="Calibri" w:hAnsi="Calibri"/>
          <w:b/>
          <w:color w:val="1F5C8B"/>
          <w:sz w:val="28"/>
        </w:rPr>
        <w:t>8. MARCO TEÓRICO</w:t>
      </w:r>
    </w:p>
    <w:p>
      <w:pPr>
        <w:spacing w:before="200" w:after="60"/>
      </w:pPr>
      <w:r>
        <w:rPr>
          <w:rFonts w:ascii="Calibri" w:hAnsi="Calibri"/>
          <w:b/>
          <w:color w:val="2E74B5"/>
          <w:sz w:val="22"/>
        </w:rPr>
        <w:t>1. Gestión Financiera Pública (GFP) y New Public Management</w:t>
      </w:r>
    </w:p>
    <w:p>
      <w:pPr>
        <w:spacing w:after="120"/>
        <w:jc w:val="both"/>
      </w:pPr>
      <w:r>
        <w:rPr>
          <w:rFonts w:ascii="Calibri" w:hAnsi="Calibri"/>
          <w:sz w:val="22"/>
        </w:rPr>
        <w:t>La literatura sobre GFP (Diamond, 2013; World Bank — PEFA Framework) establece que sistemas sólidos de presupuesto, contabilidad, tesorería, deuda y control interno son la base de una gobernanza efectiva. El enfoque de "</w:t>
      </w:r>
      <w:r>
        <w:rPr>
          <w:rFonts w:ascii="Calibri" w:hAnsi="Calibri"/>
          <w:b/>
          <w:sz w:val="22"/>
        </w:rPr>
        <w:t>gestión por resultados</w:t>
      </w:r>
      <w:r>
        <w:rPr>
          <w:rFonts w:ascii="Calibri" w:hAnsi="Calibri"/>
          <w:sz w:val="22"/>
        </w:rPr>
        <w:t>" (Managing for Development Results — MfDR) del BID y el Banco Mundial propone que la asignación y ejecución del gasto público debe orientarse por evidencia sobre impactos, no solo por insumos o procesos.</w:t>
      </w:r>
    </w:p>
    <w:p>
      <w:pPr>
        <w:spacing w:before="200" w:after="60"/>
      </w:pPr>
      <w:r>
        <w:rPr>
          <w:rFonts w:ascii="Calibri" w:hAnsi="Calibri"/>
          <w:b/>
          <w:color w:val="2E74B5"/>
          <w:sz w:val="22"/>
        </w:rPr>
        <w:t>2. Paz Liberal vs. Paz Territorial</w:t>
      </w:r>
    </w:p>
    <w:p>
      <w:pPr>
        <w:spacing w:after="120"/>
        <w:jc w:val="both"/>
      </w:pPr>
      <w:r>
        <w:rPr>
          <w:rFonts w:ascii="Calibri" w:hAnsi="Calibri"/>
          <w:sz w:val="22"/>
        </w:rPr>
        <w:t xml:space="preserve">Las teorías sobre construcción de paz en contextos posconflicto (Mac Ginty, 2008; Paffenholz, 2015; Lederach, 1997) distinguen entre modelos externos de paz liberal —impuestos desde arriba— y enfoques endógenos de </w:t>
      </w:r>
      <w:r>
        <w:rPr>
          <w:rFonts w:ascii="Calibri" w:hAnsi="Calibri"/>
          <w:b/>
          <w:sz w:val="22"/>
        </w:rPr>
        <w:t>paz territorial</w:t>
      </w:r>
      <w:r>
        <w:rPr>
          <w:rFonts w:ascii="Calibri" w:hAnsi="Calibri"/>
          <w:sz w:val="22"/>
        </w:rPr>
        <w:t xml:space="preserve"> que parten de las capacidades y necesidades locales. Esta investigación adopta el enfoque de paz territorial, reconociendo que la gobernanza financiera efectiva debe surgir de procesos participativos con comunidades del Pacífico, no de reformas tecnocráticas impuestas.</w:t>
      </w:r>
    </w:p>
    <w:p>
      <w:pPr>
        <w:spacing w:before="200" w:after="60"/>
      </w:pPr>
      <w:r>
        <w:rPr>
          <w:rFonts w:ascii="Calibri" w:hAnsi="Calibri"/>
          <w:b/>
          <w:color w:val="2E74B5"/>
          <w:sz w:val="22"/>
        </w:rPr>
        <w:t>3. Gerencia de Proyectos en el Sector Público</w:t>
      </w:r>
    </w:p>
    <w:p>
      <w:pPr>
        <w:spacing w:after="120"/>
        <w:jc w:val="both"/>
      </w:pPr>
      <w:r>
        <w:rPr>
          <w:rFonts w:ascii="Calibri" w:hAnsi="Calibri"/>
          <w:sz w:val="22"/>
        </w:rPr>
        <w:t>Los estándares internacionales del PMI (</w:t>
      </w:r>
      <w:r>
        <w:rPr>
          <w:rFonts w:ascii="Calibri" w:hAnsi="Calibri"/>
          <w:b/>
          <w:sz w:val="22"/>
        </w:rPr>
        <w:t>PMBOK 7a ed.</w:t>
      </w:r>
      <w:r>
        <w:rPr>
          <w:rFonts w:ascii="Calibri" w:hAnsi="Calibri"/>
          <w:sz w:val="22"/>
        </w:rPr>
        <w:t>), PRINCE2 y los marcos del BID para gestión de proyectos de desarrollo proveen herramientas metodológicas para estructurar, ejecutar y evaluar intervenciones en el sector público. Adaptados al contexto colombiano (</w:t>
      </w:r>
      <w:r>
        <w:rPr>
          <w:rFonts w:ascii="Calibri" w:hAnsi="Calibri"/>
          <w:b/>
          <w:sz w:val="22"/>
        </w:rPr>
        <w:t>MIPG</w:t>
      </w:r>
      <w:r>
        <w:rPr>
          <w:rFonts w:ascii="Calibri" w:hAnsi="Calibri"/>
          <w:sz w:val="22"/>
        </w:rPr>
        <w:t xml:space="preserve"> — Modelo Integrado de Planeación y Gestión), estos instrumentos ofrecen un lenguaje técnico común que facilita la interoperabilidad institucional y el aprendizaje organizacional en entidades territoriales.</w:t>
      </w:r>
    </w:p>
    <w:p>
      <w:pPr>
        <w:spacing w:after="120"/>
        <w:jc w:val="both"/>
      </w:pPr>
      <w:r>
        <w:rPr>
          <w:rFonts w:ascii="Calibri" w:hAnsi="Calibri"/>
          <w:sz w:val="22"/>
        </w:rPr>
        <w:t xml:space="preserve">La brecha identificada en la literatura es la </w:t>
      </w:r>
      <w:r>
        <w:rPr>
          <w:rFonts w:ascii="Calibri" w:hAnsi="Calibri"/>
          <w:b/>
          <w:sz w:val="22"/>
        </w:rPr>
        <w:t>escasa integración entre estos tres enfoques</w:t>
      </w:r>
      <w:r>
        <w:rPr>
          <w:rFonts w:ascii="Calibri" w:hAnsi="Calibri"/>
          <w:sz w:val="22"/>
        </w:rPr>
        <w:t xml:space="preserve"> en contextos municipales del Pacífico colombiano, especialmente desde una perspectiva que articule la formación contable con la gerencia pública y la construcción de paz.</w:t>
      </w:r>
    </w:p>
    <w:p>
      <w:pPr>
        <w:spacing w:before="280" w:after="80"/>
        <w:pBdr>
          <w:bottom w:val="single" w:sz="8" w:space="1" w:color="1F5C8B"/>
        </w:pBdr>
      </w:pPr>
      <w:r>
        <w:rPr>
          <w:rFonts w:ascii="Calibri" w:hAnsi="Calibri"/>
          <w:b/>
          <w:color w:val="1F5C8B"/>
          <w:sz w:val="28"/>
        </w:rPr>
        <w:t>9. OBJETIVOS</w:t>
      </w:r>
    </w:p>
    <w:p>
      <w:pPr>
        <w:spacing w:before="200" w:after="60"/>
      </w:pPr>
      <w:r>
        <w:rPr>
          <w:rFonts w:ascii="Calibri" w:hAnsi="Calibri"/>
          <w:b/>
          <w:color w:val="2E74B5"/>
          <w:sz w:val="22"/>
        </w:rPr>
        <w:t>Objetivo General</w:t>
      </w:r>
    </w:p>
    <w:p>
      <w:pPr>
        <w:spacing w:after="120"/>
        <w:jc w:val="both"/>
      </w:pPr>
      <w:r>
        <w:rPr>
          <w:rFonts w:ascii="Calibri" w:hAnsi="Calibri"/>
          <w:sz w:val="22"/>
        </w:rPr>
        <w:t>Diseñar y validar un Modelo de Gestión Financiera Pública Basada en Evidencia (MGFPBE) para municipios del Pacífico colombiano que contribuya al fortalecimiento de la gobernanza local, la transparencia fiscal y la construcción de paz territorial.</w:t>
      </w:r>
    </w:p>
    <w:p>
      <w:pPr>
        <w:spacing w:before="200" w:after="60"/>
      </w:pPr>
      <w:r>
        <w:rPr>
          <w:rFonts w:ascii="Calibri" w:hAnsi="Calibri"/>
          <w:b/>
          <w:color w:val="2E74B5"/>
          <w:sz w:val="22"/>
        </w:rPr>
        <w:t>Objetivos Específicos</w:t>
      </w:r>
    </w:p>
    <w:p>
      <w:pPr>
        <w:pStyle w:val="ListBullet"/>
        <w:spacing w:after="60"/>
        <w:ind w:left="567" w:hanging="283"/>
      </w:pPr>
      <w:r>
        <w:rPr>
          <w:rFonts w:ascii="Calibri" w:hAnsi="Calibri"/>
          <w:b/>
          <w:sz w:val="22"/>
        </w:rPr>
        <w:t xml:space="preserve">OE1 — Diagnosticar: </w:t>
      </w:r>
      <w:r>
        <w:rPr>
          <w:rFonts w:ascii="Calibri" w:hAnsi="Calibri"/>
          <w:sz w:val="22"/>
        </w:rPr>
        <w:t>el estado actual de la gestión financiera pública en una muestra de 6 municipios del Pacífico (2 Chocó, 2 Nariño costero, 1 Cauca, 1 Valle del Cauca — Buenaventura), mediante análisis del Índice de Desempeño Fiscal del DNP e investigación cualitativa con actores clave.</w:t>
      </w:r>
    </w:p>
    <w:p>
      <w:pPr>
        <w:pStyle w:val="ListBullet"/>
        <w:spacing w:after="60"/>
        <w:ind w:left="567" w:hanging="283"/>
      </w:pPr>
      <w:r>
        <w:rPr>
          <w:rFonts w:ascii="Calibri" w:hAnsi="Calibri"/>
          <w:b/>
          <w:sz w:val="22"/>
        </w:rPr>
        <w:t xml:space="preserve">OE2 — Identificar: </w:t>
      </w:r>
      <w:r>
        <w:rPr>
          <w:rFonts w:ascii="Calibri" w:hAnsi="Calibri"/>
          <w:sz w:val="22"/>
        </w:rPr>
        <w:t>los factores críticos de éxito y las barreras institucionales, humanas y normativas que limitan una gestión financiera efectiva en los municipios seleccionados.</w:t>
      </w:r>
    </w:p>
    <w:p>
      <w:pPr>
        <w:pStyle w:val="ListBullet"/>
        <w:spacing w:after="60"/>
        <w:ind w:left="567" w:hanging="283"/>
      </w:pPr>
      <w:r>
        <w:rPr>
          <w:rFonts w:ascii="Calibri" w:hAnsi="Calibri"/>
          <w:b/>
          <w:sz w:val="22"/>
        </w:rPr>
        <w:t xml:space="preserve">OE3 — Diseñar: </w:t>
      </w:r>
      <w:r>
        <w:rPr>
          <w:rFonts w:ascii="Calibri" w:hAnsi="Calibri"/>
          <w:sz w:val="22"/>
        </w:rPr>
        <w:t>el Modelo MGFPBE integrando herramientas de control interno, presupuesto participativo, gestión por resultados y rendición de cuentas, adaptadas a las capacidades municipales del Pacífico.</w:t>
      </w:r>
    </w:p>
    <w:p>
      <w:pPr>
        <w:pStyle w:val="ListBullet"/>
        <w:spacing w:after="60"/>
        <w:ind w:left="567" w:hanging="283"/>
      </w:pPr>
      <w:r>
        <w:rPr>
          <w:rFonts w:ascii="Calibri" w:hAnsi="Calibri"/>
          <w:b/>
          <w:sz w:val="22"/>
        </w:rPr>
        <w:t xml:space="preserve">OE4 — Validar: </w:t>
      </w:r>
      <w:r>
        <w:rPr>
          <w:rFonts w:ascii="Calibri" w:hAnsi="Calibri"/>
          <w:sz w:val="22"/>
        </w:rPr>
        <w:t>el modelo mediante consulta participativa con funcionarios públicos, líderes comunitarios, veedurías ciudadanas y expertos en gestión pública territorial.</w:t>
      </w:r>
    </w:p>
    <w:p>
      <w:pPr>
        <w:pStyle w:val="ListBullet"/>
        <w:spacing w:after="60"/>
        <w:ind w:left="567" w:hanging="283"/>
      </w:pPr>
      <w:r>
        <w:rPr>
          <w:rFonts w:ascii="Calibri" w:hAnsi="Calibri"/>
          <w:b/>
          <w:sz w:val="22"/>
        </w:rPr>
        <w:t xml:space="preserve">OE5 — Formular: </w:t>
      </w:r>
      <w:r>
        <w:rPr>
          <w:rFonts w:ascii="Calibri" w:hAnsi="Calibri"/>
          <w:sz w:val="22"/>
        </w:rPr>
        <w:t>recomendaciones de política pública para el Gobierno Nacional, los departamentos y los municipios del Pacífico, orientadas a fortalecer las capacidades de gestión financiera como instrumento de paz territorial.</w:t>
      </w:r>
    </w:p>
    <w:p>
      <w:pPr>
        <w:spacing w:before="280" w:after="80"/>
        <w:pBdr>
          <w:bottom w:val="single" w:sz="8" w:space="1" w:color="1F5C8B"/>
        </w:pBdr>
      </w:pPr>
      <w:r>
        <w:rPr>
          <w:rFonts w:ascii="Calibri" w:hAnsi="Calibri"/>
          <w:b/>
          <w:color w:val="1F5C8B"/>
          <w:sz w:val="28"/>
        </w:rPr>
        <w:t>10. RESULTADOS ESPERADOS Y PRODUCTOS I+D+i</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1A5276"/>
            <w:vAlign w:val="center"/>
          </w:tcPr>
          <w:p>
            <w:pPr>
              <w:jc w:val="center"/>
            </w:pPr>
            <w:r>
              <w:rPr>
                <w:rFonts w:ascii="Calibri" w:hAnsi="Calibri"/>
                <w:b/>
                <w:color w:val="FFFFFF"/>
                <w:sz w:val="20"/>
              </w:rPr>
              <w:t>Tipo de Producto</w:t>
            </w:r>
          </w:p>
        </w:tc>
        <w:tc>
          <w:tcPr>
            <w:tcW w:type="dxa" w:w="3041"/>
            <w:shd w:val="clear" w:color="auto" w:fill="1A5276"/>
            <w:vAlign w:val="center"/>
          </w:tcPr>
          <w:p>
            <w:pPr>
              <w:jc w:val="center"/>
            </w:pPr>
            <w:r>
              <w:rPr>
                <w:rFonts w:ascii="Calibri" w:hAnsi="Calibri"/>
                <w:b/>
                <w:color w:val="FFFFFF"/>
                <w:sz w:val="20"/>
              </w:rPr>
              <w:t>Producto Específico</w:t>
            </w:r>
          </w:p>
        </w:tc>
        <w:tc>
          <w:tcPr>
            <w:tcW w:type="dxa" w:w="3041"/>
            <w:shd w:val="clear" w:color="auto" w:fill="1A5276"/>
            <w:vAlign w:val="center"/>
          </w:tcPr>
          <w:p>
            <w:pPr>
              <w:jc w:val="center"/>
            </w:pPr>
            <w:r>
              <w:rPr>
                <w:rFonts w:ascii="Calibri" w:hAnsi="Calibri"/>
                <w:b/>
                <w:color w:val="FFFFFF"/>
                <w:sz w:val="20"/>
              </w:rPr>
              <w:t>Indicador de Verificación</w:t>
            </w:r>
          </w:p>
        </w:tc>
      </w:tr>
      <w:tr>
        <w:tc>
          <w:tcPr>
            <w:tcW w:type="dxa" w:w="3041"/>
            <w:shd w:val="clear" w:color="auto" w:fill="D6E4F0"/>
            <w:vAlign w:val="center"/>
          </w:tcPr>
          <w:p>
            <w:pPr>
              <w:jc w:val="left"/>
            </w:pPr>
            <w:r>
              <w:rPr>
                <w:rFonts w:ascii="Calibri" w:hAnsi="Calibri"/>
                <w:sz w:val="20"/>
              </w:rPr>
              <w:t>Generación de nuevo conocimiento</w:t>
            </w:r>
          </w:p>
        </w:tc>
        <w:tc>
          <w:tcPr>
            <w:tcW w:type="dxa" w:w="3041"/>
            <w:shd w:val="clear" w:color="auto" w:fill="D6E4F0"/>
            <w:vAlign w:val="center"/>
          </w:tcPr>
          <w:p>
            <w:pPr>
              <w:jc w:val="left"/>
            </w:pPr>
            <w:r>
              <w:rPr>
                <w:rFonts w:ascii="Calibri" w:hAnsi="Calibri"/>
                <w:sz w:val="20"/>
              </w:rPr>
              <w:t>Artículo científico en revista indexada (Scopus o WoS)</w:t>
            </w:r>
          </w:p>
        </w:tc>
        <w:tc>
          <w:tcPr>
            <w:tcW w:type="dxa" w:w="3041"/>
            <w:shd w:val="clear" w:color="auto" w:fill="D6E4F0"/>
            <w:vAlign w:val="center"/>
          </w:tcPr>
          <w:p>
            <w:pPr>
              <w:jc w:val="left"/>
            </w:pPr>
            <w:r>
              <w:rPr>
                <w:rFonts w:ascii="Calibri" w:hAnsi="Calibri"/>
                <w:sz w:val="20"/>
              </w:rPr>
              <w:t>Constancia de envío / aceptación</w:t>
            </w:r>
          </w:p>
        </w:tc>
      </w:tr>
      <w:tr>
        <w:tc>
          <w:tcPr>
            <w:tcW w:type="dxa" w:w="3041"/>
            <w:shd w:val="clear" w:color="auto" w:fill="FFFFFF"/>
            <w:vAlign w:val="center"/>
          </w:tcPr>
          <w:p>
            <w:pPr>
              <w:jc w:val="left"/>
            </w:pPr>
            <w:r>
              <w:rPr>
                <w:rFonts w:ascii="Calibri" w:hAnsi="Calibri"/>
                <w:sz w:val="20"/>
              </w:rPr>
              <w:t>Generación de nuevo conocimiento</w:t>
            </w:r>
          </w:p>
        </w:tc>
        <w:tc>
          <w:tcPr>
            <w:tcW w:type="dxa" w:w="3041"/>
            <w:shd w:val="clear" w:color="auto" w:fill="FFFFFF"/>
            <w:vAlign w:val="center"/>
          </w:tcPr>
          <w:p>
            <w:pPr>
              <w:jc w:val="left"/>
            </w:pPr>
            <w:r>
              <w:rPr>
                <w:rFonts w:ascii="Calibri" w:hAnsi="Calibri"/>
                <w:sz w:val="20"/>
              </w:rPr>
              <w:t>Tesis de Maestría aprobada</w:t>
            </w:r>
          </w:p>
        </w:tc>
        <w:tc>
          <w:tcPr>
            <w:tcW w:type="dxa" w:w="3041"/>
            <w:shd w:val="clear" w:color="auto" w:fill="FFFFFF"/>
            <w:vAlign w:val="center"/>
          </w:tcPr>
          <w:p>
            <w:pPr>
              <w:jc w:val="left"/>
            </w:pPr>
            <w:r>
              <w:rPr>
                <w:rFonts w:ascii="Calibri" w:hAnsi="Calibri"/>
                <w:sz w:val="20"/>
              </w:rPr>
              <w:t>Acta de grado</w:t>
            </w:r>
          </w:p>
        </w:tc>
      </w:tr>
      <w:tr>
        <w:tc>
          <w:tcPr>
            <w:tcW w:type="dxa" w:w="3041"/>
            <w:shd w:val="clear" w:color="auto" w:fill="D6E4F0"/>
            <w:vAlign w:val="center"/>
          </w:tcPr>
          <w:p>
            <w:pPr>
              <w:jc w:val="left"/>
            </w:pPr>
            <w:r>
              <w:rPr>
                <w:rFonts w:ascii="Calibri" w:hAnsi="Calibri"/>
                <w:sz w:val="20"/>
              </w:rPr>
              <w:t>Desarrollo tecnológico e innovación</w:t>
            </w:r>
          </w:p>
        </w:tc>
        <w:tc>
          <w:tcPr>
            <w:tcW w:type="dxa" w:w="3041"/>
            <w:shd w:val="clear" w:color="auto" w:fill="D6E4F0"/>
            <w:vAlign w:val="center"/>
          </w:tcPr>
          <w:p>
            <w:pPr>
              <w:jc w:val="left"/>
            </w:pPr>
            <w:r>
              <w:rPr>
                <w:rFonts w:ascii="Calibri" w:hAnsi="Calibri"/>
                <w:sz w:val="20"/>
              </w:rPr>
              <w:t>Modelo MGFPBE documentado con caja de herramientas (guías, formatos, indicadores)</w:t>
            </w:r>
          </w:p>
        </w:tc>
        <w:tc>
          <w:tcPr>
            <w:tcW w:type="dxa" w:w="3041"/>
            <w:shd w:val="clear" w:color="auto" w:fill="D6E4F0"/>
            <w:vAlign w:val="center"/>
          </w:tcPr>
          <w:p>
            <w:pPr>
              <w:jc w:val="left"/>
            </w:pPr>
            <w:r>
              <w:rPr>
                <w:rFonts w:ascii="Calibri" w:hAnsi="Calibri"/>
                <w:sz w:val="20"/>
              </w:rPr>
              <w:t>Documento técnico publicado</w:t>
            </w:r>
          </w:p>
        </w:tc>
      </w:tr>
      <w:tr>
        <w:tc>
          <w:tcPr>
            <w:tcW w:type="dxa" w:w="3041"/>
            <w:shd w:val="clear" w:color="auto" w:fill="FFFFFF"/>
            <w:vAlign w:val="center"/>
          </w:tcPr>
          <w:p>
            <w:pPr>
              <w:jc w:val="left"/>
            </w:pPr>
            <w:r>
              <w:rPr>
                <w:rFonts w:ascii="Calibri" w:hAnsi="Calibri"/>
                <w:sz w:val="20"/>
              </w:rPr>
              <w:t>Desarrollo tecnológico e innovación</w:t>
            </w:r>
          </w:p>
        </w:tc>
        <w:tc>
          <w:tcPr>
            <w:tcW w:type="dxa" w:w="3041"/>
            <w:shd w:val="clear" w:color="auto" w:fill="FFFFFF"/>
            <w:vAlign w:val="center"/>
          </w:tcPr>
          <w:p>
            <w:pPr>
              <w:jc w:val="left"/>
            </w:pPr>
            <w:r>
              <w:rPr>
                <w:rFonts w:ascii="Calibri" w:hAnsi="Calibri"/>
                <w:sz w:val="20"/>
              </w:rPr>
              <w:t>Prototipo de tablero de indicadores de desempeño fiscal para municipios</w:t>
            </w:r>
          </w:p>
        </w:tc>
        <w:tc>
          <w:tcPr>
            <w:tcW w:type="dxa" w:w="3041"/>
            <w:shd w:val="clear" w:color="auto" w:fill="FFFFFF"/>
            <w:vAlign w:val="center"/>
          </w:tcPr>
          <w:p>
            <w:pPr>
              <w:jc w:val="left"/>
            </w:pPr>
            <w:r>
              <w:rPr>
                <w:rFonts w:ascii="Calibri" w:hAnsi="Calibri"/>
                <w:sz w:val="20"/>
              </w:rPr>
              <w:t>Herramienta digital funcional</w:t>
            </w:r>
          </w:p>
        </w:tc>
      </w:tr>
      <w:tr>
        <w:tc>
          <w:tcPr>
            <w:tcW w:type="dxa" w:w="3041"/>
            <w:shd w:val="clear" w:color="auto" w:fill="D6E4F0"/>
            <w:vAlign w:val="center"/>
          </w:tcPr>
          <w:p>
            <w:pPr>
              <w:jc w:val="left"/>
            </w:pPr>
            <w:r>
              <w:rPr>
                <w:rFonts w:ascii="Calibri" w:hAnsi="Calibri"/>
                <w:sz w:val="20"/>
              </w:rPr>
              <w:t>Apropiación social del conocimiento</w:t>
            </w:r>
          </w:p>
        </w:tc>
        <w:tc>
          <w:tcPr>
            <w:tcW w:type="dxa" w:w="3041"/>
            <w:shd w:val="clear" w:color="auto" w:fill="D6E4F0"/>
            <w:vAlign w:val="center"/>
          </w:tcPr>
          <w:p>
            <w:pPr>
              <w:jc w:val="left"/>
            </w:pPr>
            <w:r>
              <w:rPr>
                <w:rFonts w:ascii="Calibri" w:hAnsi="Calibri"/>
                <w:sz w:val="20"/>
              </w:rPr>
              <w:t>Ponencia en congreso nacional o internacional de gestión pública</w:t>
            </w:r>
          </w:p>
        </w:tc>
        <w:tc>
          <w:tcPr>
            <w:tcW w:type="dxa" w:w="3041"/>
            <w:shd w:val="clear" w:color="auto" w:fill="D6E4F0"/>
            <w:vAlign w:val="center"/>
          </w:tcPr>
          <w:p>
            <w:pPr>
              <w:jc w:val="left"/>
            </w:pPr>
            <w:r>
              <w:rPr>
                <w:rFonts w:ascii="Calibri" w:hAnsi="Calibri"/>
                <w:sz w:val="20"/>
              </w:rPr>
              <w:t>Memoria del evento</w:t>
            </w:r>
          </w:p>
        </w:tc>
      </w:tr>
      <w:tr>
        <w:tc>
          <w:tcPr>
            <w:tcW w:type="dxa" w:w="3041"/>
            <w:shd w:val="clear" w:color="auto" w:fill="FFFFFF"/>
            <w:vAlign w:val="center"/>
          </w:tcPr>
          <w:p>
            <w:pPr>
              <w:jc w:val="left"/>
            </w:pPr>
            <w:r>
              <w:rPr>
                <w:rFonts w:ascii="Calibri" w:hAnsi="Calibri"/>
                <w:sz w:val="20"/>
              </w:rPr>
              <w:t>Apropiación social del conocimiento</w:t>
            </w:r>
          </w:p>
        </w:tc>
        <w:tc>
          <w:tcPr>
            <w:tcW w:type="dxa" w:w="3041"/>
            <w:shd w:val="clear" w:color="auto" w:fill="FFFFFF"/>
            <w:vAlign w:val="center"/>
          </w:tcPr>
          <w:p>
            <w:pPr>
              <w:jc w:val="left"/>
            </w:pPr>
            <w:r>
              <w:rPr>
                <w:rFonts w:ascii="Calibri" w:hAnsi="Calibri"/>
                <w:sz w:val="20"/>
              </w:rPr>
              <w:t>Documento de recomendaciones de política pública para territorios del Pacífico</w:t>
            </w:r>
          </w:p>
        </w:tc>
        <w:tc>
          <w:tcPr>
            <w:tcW w:type="dxa" w:w="3041"/>
            <w:shd w:val="clear" w:color="auto" w:fill="FFFFFF"/>
            <w:vAlign w:val="center"/>
          </w:tcPr>
          <w:p>
            <w:pPr>
              <w:jc w:val="left"/>
            </w:pPr>
            <w:r>
              <w:rPr>
                <w:rFonts w:ascii="Calibri" w:hAnsi="Calibri"/>
                <w:sz w:val="20"/>
              </w:rPr>
              <w:t>Documento de política publicado</w:t>
            </w:r>
          </w:p>
        </w:tc>
      </w:tr>
      <w:tr>
        <w:tc>
          <w:tcPr>
            <w:tcW w:type="dxa" w:w="3041"/>
            <w:shd w:val="clear" w:color="auto" w:fill="D6E4F0"/>
            <w:vAlign w:val="center"/>
          </w:tcPr>
          <w:p>
            <w:pPr>
              <w:jc w:val="left"/>
            </w:pPr>
            <w:r>
              <w:rPr>
                <w:rFonts w:ascii="Calibri" w:hAnsi="Calibri"/>
                <w:sz w:val="20"/>
              </w:rPr>
              <w:t>Formación de recurso humano para CTeI</w:t>
            </w:r>
          </w:p>
        </w:tc>
        <w:tc>
          <w:tcPr>
            <w:tcW w:type="dxa" w:w="3041"/>
            <w:shd w:val="clear" w:color="auto" w:fill="D6E4F0"/>
            <w:vAlign w:val="center"/>
          </w:tcPr>
          <w:p>
            <w:pPr>
              <w:jc w:val="left"/>
            </w:pPr>
            <w:r>
              <w:rPr>
                <w:rFonts w:ascii="Calibri" w:hAnsi="Calibri"/>
                <w:sz w:val="20"/>
              </w:rPr>
              <w:t>Talleres de transferencia metodológica con funcionarios de ≥ 3 municipios</w:t>
            </w:r>
          </w:p>
        </w:tc>
        <w:tc>
          <w:tcPr>
            <w:tcW w:type="dxa" w:w="3041"/>
            <w:shd w:val="clear" w:color="auto" w:fill="D6E4F0"/>
            <w:vAlign w:val="center"/>
          </w:tcPr>
          <w:p>
            <w:pPr>
              <w:jc w:val="left"/>
            </w:pPr>
            <w:r>
              <w:rPr>
                <w:rFonts w:ascii="Calibri" w:hAnsi="Calibri"/>
                <w:sz w:val="20"/>
              </w:rPr>
              <w:t>Memorias + lista de asistencia</w:t>
            </w:r>
          </w:p>
        </w:tc>
      </w:tr>
    </w:tbl>
    <w:p/>
    <w:p>
      <w:pPr>
        <w:spacing w:before="280" w:after="80"/>
        <w:pBdr>
          <w:bottom w:val="single" w:sz="8" w:space="1" w:color="1F5C8B"/>
        </w:pBdr>
      </w:pPr>
      <w:r>
        <w:rPr>
          <w:rFonts w:ascii="Calibri" w:hAnsi="Calibri"/>
          <w:b/>
          <w:color w:val="1F5C8B"/>
          <w:sz w:val="28"/>
        </w:rPr>
        <w:t>11. GENERACIÓN DE SOLUCIONES PARA DESAFÍOS SOCIOTERRITORIALES</w:t>
      </w:r>
    </w:p>
    <w:p>
      <w:pPr>
        <w:pStyle w:val="ListBullet"/>
        <w:spacing w:after="60"/>
        <w:ind w:left="567" w:hanging="283"/>
      </w:pPr>
      <w:r>
        <w:rPr>
          <w:rFonts w:ascii="Calibri" w:hAnsi="Calibri"/>
          <w:b/>
          <w:sz w:val="22"/>
        </w:rPr>
        <w:t xml:space="preserve">Solución 1 — Modelo MGFPBE: </w:t>
      </w:r>
      <w:r>
        <w:rPr>
          <w:rFonts w:ascii="Calibri" w:hAnsi="Calibri"/>
          <w:sz w:val="22"/>
        </w:rPr>
        <w:t>Un modelo estandarizado pero flexible que cualquier municipio del Pacífico pueda adoptar progresivamente. Contempla niveles escalonados: básico (controles esenciales), intermedio (sistemas de seguimiento) y avanzado (evaluación de impacto).</w:t>
      </w:r>
    </w:p>
    <w:p>
      <w:pPr>
        <w:pStyle w:val="ListBullet"/>
        <w:spacing w:after="60"/>
        <w:ind w:left="567" w:hanging="283"/>
      </w:pPr>
      <w:r>
        <w:rPr>
          <w:rFonts w:ascii="Calibri" w:hAnsi="Calibri"/>
          <w:b/>
          <w:sz w:val="22"/>
        </w:rPr>
        <w:t xml:space="preserve">Solución 2 — Caja de Herramientas Metodológicas: </w:t>
      </w:r>
      <w:r>
        <w:rPr>
          <w:rFonts w:ascii="Calibri" w:hAnsi="Calibri"/>
          <w:sz w:val="22"/>
        </w:rPr>
        <w:t>Formatos, guías y listas de verificación en lenguaje accesible para funcionarios sin formación especializada, construidas con y para los actores del territorio.</w:t>
      </w:r>
    </w:p>
    <w:p>
      <w:pPr>
        <w:pStyle w:val="ListBullet"/>
        <w:spacing w:after="60"/>
        <w:ind w:left="567" w:hanging="283"/>
      </w:pPr>
      <w:r>
        <w:rPr>
          <w:rFonts w:ascii="Calibri" w:hAnsi="Calibri"/>
          <w:b/>
          <w:sz w:val="22"/>
        </w:rPr>
        <w:t xml:space="preserve">Solución 3 — Recomendaciones de Política: </w:t>
      </w:r>
      <w:r>
        <w:rPr>
          <w:rFonts w:ascii="Calibri" w:hAnsi="Calibri"/>
          <w:sz w:val="22"/>
        </w:rPr>
        <w:t>Propuestas concretas para el DNP, la CGR, los departamentos y los municipios, articuladas con los PDET, el OCAD Paz y los Contratos Plan vigentes en la región.</w:t>
      </w:r>
    </w:p>
    <w:p>
      <w:pPr>
        <w:pStyle w:val="ListBullet"/>
        <w:spacing w:after="60"/>
        <w:ind w:left="567" w:hanging="283"/>
      </w:pPr>
      <w:r>
        <w:rPr>
          <w:rFonts w:ascii="Calibri" w:hAnsi="Calibri"/>
          <w:b/>
          <w:sz w:val="22"/>
        </w:rPr>
        <w:t xml:space="preserve">Solución 4 — Transferencia de conocimiento: </w:t>
      </w:r>
      <w:r>
        <w:rPr>
          <w:rFonts w:ascii="Calibri" w:hAnsi="Calibri"/>
          <w:sz w:val="22"/>
        </w:rPr>
        <w:t>Talleres con funcionarios municipales para apropiar el modelo, generando capacidades locales que persistan más allá del proyecto de investigación.</w:t>
      </w:r>
    </w:p>
    <w:p/>
    <w:p>
      <w:pPr>
        <w:spacing w:after="120"/>
        <w:jc w:val="both"/>
      </w:pPr>
      <w:r>
        <w:rPr>
          <w:rFonts w:ascii="Calibri" w:hAnsi="Calibri"/>
          <w:sz w:val="22"/>
        </w:rPr>
        <w:t xml:space="preserve">El impacto esperado a mediano plazo es la </w:t>
      </w:r>
      <w:r>
        <w:rPr>
          <w:rFonts w:ascii="Calibri" w:hAnsi="Calibri"/>
          <w:b/>
          <w:sz w:val="22"/>
        </w:rPr>
        <w:t>mejora medible del Índice de Desempeño Fiscal</w:t>
      </w:r>
      <w:r>
        <w:rPr>
          <w:rFonts w:ascii="Calibri" w:hAnsi="Calibri"/>
          <w:sz w:val="22"/>
        </w:rPr>
        <w:t xml:space="preserve"> del DNP en los municipios participantes, y a largo plazo, la contribución a la reducción de las brechas de gobernanza que alimentan la violencia en el Pacífico colombiano.</w:t>
      </w:r>
    </w:p>
    <w:p>
      <w:pPr>
        <w:spacing w:before="280" w:after="80"/>
        <w:pBdr>
          <w:bottom w:val="single" w:sz="8" w:space="1" w:color="1F5C8B"/>
        </w:pBdr>
      </w:pPr>
      <w:r>
        <w:rPr>
          <w:rFonts w:ascii="Calibri" w:hAnsi="Calibri"/>
          <w:b/>
          <w:color w:val="1F5C8B"/>
          <w:sz w:val="28"/>
        </w:rPr>
        <w:t>12. BIBLIOGRAFÍA</w:t>
      </w:r>
    </w:p>
    <w:tbl>
      <w:tblPr>
        <w:tblStyle w:val="TableGrid"/>
        <w:tblW w:type="auto" w:w="0"/>
        <w:tblLook w:firstColumn="1" w:firstRow="1" w:lastColumn="0" w:lastRow="0" w:noHBand="0" w:noVBand="1" w:val="04A0"/>
      </w:tblPr>
      <w:tblGrid>
        <w:gridCol w:w="9122"/>
      </w:tblGrid>
      <w:tr>
        <w:tc>
          <w:tcPr>
            <w:tcW w:type="dxa" w:w="9122"/>
            <w:shd w:val="clear" w:color="auto" w:fill="EBF5FB"/>
          </w:tcPr>
          <w:p>
            <w:pPr>
              <w:spacing w:before="80" w:after="80"/>
              <w:ind w:left="170"/>
              <w:jc w:val="both"/>
            </w:pPr>
            <w:r>
              <w:rPr>
                <w:rFonts w:ascii="Calibri" w:hAnsi="Calibri"/>
                <w:sz w:val="20"/>
              </w:rPr>
              <w:t>Formato APA 7.a edición — fuentes reconocidas por la comunidad científica.</w:t>
            </w:r>
          </w:p>
        </w:tc>
      </w:tr>
    </w:tbl>
    <w:p/>
    <w:p>
      <w:pPr>
        <w:pStyle w:val="ListNumber"/>
        <w:spacing w:after="80"/>
        <w:ind w:left="567" w:hanging="283"/>
      </w:pPr>
      <w:r>
        <w:rPr>
          <w:rFonts w:ascii="Calibri" w:hAnsi="Calibri"/>
          <w:sz w:val="20"/>
        </w:rPr>
        <w:t>Andrews, M. (2013). The limits of institutional reform in development: Changing rules for realistic solutions. Cambridge University Press.</w:t>
      </w:r>
    </w:p>
    <w:p>
      <w:pPr>
        <w:pStyle w:val="ListNumber"/>
        <w:spacing w:after="80"/>
        <w:ind w:left="567" w:hanging="283"/>
      </w:pPr>
      <w:r>
        <w:rPr>
          <w:rFonts w:ascii="Calibri" w:hAnsi="Calibri"/>
          <w:sz w:val="20"/>
        </w:rPr>
        <w:t>Banco Mundial. (2020). Public Financial Management in Fragile and Conflict-Affected States. World Bank Group.</w:t>
      </w:r>
    </w:p>
    <w:p>
      <w:pPr>
        <w:pStyle w:val="ListNumber"/>
        <w:spacing w:after="80"/>
        <w:ind w:left="567" w:hanging="283"/>
      </w:pPr>
      <w:r>
        <w:rPr>
          <w:rFonts w:ascii="Calibri" w:hAnsi="Calibri"/>
          <w:sz w:val="20"/>
        </w:rPr>
        <w:t>Contraloría General de la República — CGR. (2023). Informe de auditoría sobre ejecución presupuestal en entidades territoriales del Pacífico. CGR.</w:t>
      </w:r>
    </w:p>
    <w:p>
      <w:pPr>
        <w:pStyle w:val="ListNumber"/>
        <w:spacing w:after="80"/>
        <w:ind w:left="567" w:hanging="283"/>
      </w:pPr>
      <w:r>
        <w:rPr>
          <w:rFonts w:ascii="Calibri" w:hAnsi="Calibri"/>
          <w:sz w:val="20"/>
        </w:rPr>
        <w:t>De Renzio, P. (2011). Taking stock: What do PEFA assessments tell us about PFM systems across countries? ODI Working Paper 329. Overseas Development Institute.</w:t>
      </w:r>
    </w:p>
    <w:p>
      <w:pPr>
        <w:pStyle w:val="ListNumber"/>
        <w:spacing w:after="80"/>
        <w:ind w:left="567" w:hanging="283"/>
      </w:pPr>
      <w:r>
        <w:rPr>
          <w:rFonts w:ascii="Calibri" w:hAnsi="Calibri"/>
          <w:sz w:val="20"/>
        </w:rPr>
        <w:t>Departamento Nacional de Planeación — DNP. (2023). Índice de Desempeño Fiscal de los municipios y departamentos de Colombia 2022. DNP.</w:t>
      </w:r>
    </w:p>
    <w:p>
      <w:pPr>
        <w:pStyle w:val="ListNumber"/>
        <w:spacing w:after="80"/>
        <w:ind w:left="567" w:hanging="283"/>
      </w:pPr>
      <w:r>
        <w:rPr>
          <w:rFonts w:ascii="Calibri" w:hAnsi="Calibri"/>
          <w:sz w:val="20"/>
        </w:rPr>
        <w:t>Diamond, J. (2013). From Program to Performance Budgeting: The Challenge for Emerging Market Economies. International Monetary Fund.</w:t>
      </w:r>
    </w:p>
    <w:p>
      <w:pPr>
        <w:pStyle w:val="ListNumber"/>
        <w:spacing w:after="80"/>
        <w:ind w:left="567" w:hanging="283"/>
      </w:pPr>
      <w:r>
        <w:rPr>
          <w:rFonts w:ascii="Calibri" w:hAnsi="Calibri"/>
          <w:sz w:val="20"/>
        </w:rPr>
        <w:t>Lederach, J. P. (1997). Building peace: Sustainable reconciliation in divided societies. United States Institute of Peace Press.</w:t>
      </w:r>
    </w:p>
    <w:p>
      <w:pPr>
        <w:pStyle w:val="ListNumber"/>
        <w:spacing w:after="80"/>
        <w:ind w:left="567" w:hanging="283"/>
      </w:pPr>
      <w:r>
        <w:rPr>
          <w:rFonts w:ascii="Calibri" w:hAnsi="Calibri"/>
          <w:sz w:val="20"/>
        </w:rPr>
        <w:t>Mac Ginty, R. (2008). Indigenous peace-making versus the liberal peace. Cooperation and Conflict, 43(2), 139–163.</w:t>
      </w:r>
    </w:p>
    <w:p>
      <w:pPr>
        <w:pStyle w:val="ListNumber"/>
        <w:spacing w:after="80"/>
        <w:ind w:left="567" w:hanging="283"/>
      </w:pPr>
      <w:r>
        <w:rPr>
          <w:rFonts w:ascii="Calibri" w:hAnsi="Calibri"/>
          <w:sz w:val="20"/>
        </w:rPr>
        <w:t>Ministerio de Ciencia, Tecnología e Innovación — MINCIENCIAS. (2024). Política de Investigación e Innovación Orientada por Misiones (PIIOM): Ciencia para la Paz. Resolución 1452 de 2024.</w:t>
      </w:r>
    </w:p>
    <w:p>
      <w:pPr>
        <w:pStyle w:val="ListNumber"/>
        <w:spacing w:after="80"/>
        <w:ind w:left="567" w:hanging="283"/>
      </w:pPr>
      <w:r>
        <w:rPr>
          <w:rFonts w:ascii="Calibri" w:hAnsi="Calibri"/>
          <w:sz w:val="20"/>
        </w:rPr>
        <w:t>Paffenholz, T. (2015). Unpacking the local turn in peacebuilding. Third World Quarterly, 36(5), 857–874.</w:t>
      </w:r>
    </w:p>
    <w:p>
      <w:pPr>
        <w:pStyle w:val="ListNumber"/>
        <w:spacing w:after="80"/>
        <w:ind w:left="567" w:hanging="283"/>
      </w:pPr>
      <w:r>
        <w:rPr>
          <w:rFonts w:ascii="Calibri" w:hAnsi="Calibri"/>
          <w:sz w:val="20"/>
        </w:rPr>
        <w:t>PNUD Colombia. (2022). Informe de Desarrollo Humano para el Pacífico colombiano. Programa de las Naciones Unidas para el Desarrollo.</w:t>
      </w:r>
    </w:p>
    <w:p>
      <w:pPr>
        <w:pStyle w:val="ListNumber"/>
        <w:spacing w:after="80"/>
        <w:ind w:left="567" w:hanging="283"/>
      </w:pPr>
      <w:r>
        <w:rPr>
          <w:rFonts w:ascii="Calibri" w:hAnsi="Calibri"/>
          <w:sz w:val="20"/>
        </w:rPr>
        <w:t>Project Management Institute — PMI. (2021). A Guide to the Project Management Body of Knowledge (PMBOK® Guide) (7th ed.). PMI.</w:t>
      </w:r>
    </w:p>
    <w:p>
      <w:pPr>
        <w:pStyle w:val="ListNumber"/>
        <w:spacing w:after="80"/>
        <w:ind w:left="567" w:hanging="283"/>
      </w:pPr>
      <w:r>
        <w:rPr>
          <w:rFonts w:ascii="Calibri" w:hAnsi="Calibri"/>
          <w:sz w:val="20"/>
        </w:rPr>
        <w:t>Secretaría de Transparencia — Presidencia de la República. (2022). Política pública integral anticorrupción: Avances en territorios priorizados. Presidencia de Colombia.</w:t>
      </w:r>
    </w:p>
    <w:p>
      <w:r>
        <w:br w:type="page"/>
      </w:r>
    </w:p>
    <w:p>
      <w:pPr>
        <w:spacing w:before="280" w:after="80"/>
        <w:pBdr>
          <w:bottom w:val="single" w:sz="8" w:space="1" w:color="922B21"/>
        </w:pBdr>
      </w:pPr>
      <w:r>
        <w:rPr>
          <w:rFonts w:ascii="Calibri" w:hAnsi="Calibri"/>
          <w:b/>
          <w:color w:val="922B21"/>
          <w:sz w:val="28"/>
        </w:rPr>
        <w:t>13. NOTAS ESTRATÉGICAS PARA MAXIMIZAR EL PUNTAJE</w:t>
      </w:r>
    </w:p>
    <w:tbl>
      <w:tblPr>
        <w:tblStyle w:val="TableGrid"/>
        <w:tblW w:type="auto" w:w="0"/>
        <w:tblLook w:firstColumn="1" w:firstRow="1" w:lastColumn="0" w:lastRow="0" w:noHBand="0" w:noVBand="1" w:val="04A0"/>
      </w:tblPr>
      <w:tblGrid>
        <w:gridCol w:w="9122"/>
      </w:tblGrid>
      <w:tr>
        <w:tc>
          <w:tcPr>
            <w:tcW w:type="dxa" w:w="9122"/>
            <w:shd w:val="clear" w:color="auto" w:fill="FDEDEC"/>
          </w:tcPr>
          <w:p>
            <w:pPr>
              <w:spacing w:before="80" w:after="80"/>
              <w:ind w:left="170"/>
              <w:jc w:val="both"/>
            </w:pPr>
            <w:r>
              <w:rPr>
                <w:rFonts w:ascii="Calibri" w:hAnsi="Calibri"/>
                <w:sz w:val="20"/>
              </w:rPr>
              <w:t>IMPORTANTE: Esta sección es de uso interno del candidato. NO debe incluirse en la propuesta final cargada al SIGP. Sirve como guía de verificación antes del envío.</w:t>
            </w:r>
          </w:p>
        </w:tc>
      </w:tr>
    </w:tbl>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922B21"/>
            <w:vAlign w:val="center"/>
          </w:tcPr>
          <w:p>
            <w:pPr>
              <w:jc w:val="center"/>
            </w:pPr>
            <w:r>
              <w:rPr>
                <w:rFonts w:ascii="Calibri" w:hAnsi="Calibri"/>
                <w:b/>
                <w:color w:val="FFFFFF"/>
                <w:sz w:val="20"/>
              </w:rPr>
              <w:t>Criterio</w:t>
            </w:r>
          </w:p>
        </w:tc>
        <w:tc>
          <w:tcPr>
            <w:tcW w:type="dxa" w:w="3041"/>
            <w:shd w:val="clear" w:color="auto" w:fill="922B21"/>
            <w:vAlign w:val="center"/>
          </w:tcPr>
          <w:p>
            <w:pPr>
              <w:jc w:val="center"/>
            </w:pPr>
            <w:r>
              <w:rPr>
                <w:rFonts w:ascii="Calibri" w:hAnsi="Calibri"/>
                <w:b/>
                <w:color w:val="FFFFFF"/>
                <w:sz w:val="20"/>
              </w:rPr>
              <w:t>Pts.</w:t>
            </w:r>
          </w:p>
        </w:tc>
        <w:tc>
          <w:tcPr>
            <w:tcW w:type="dxa" w:w="3041"/>
            <w:shd w:val="clear" w:color="auto" w:fill="922B21"/>
            <w:vAlign w:val="center"/>
          </w:tcPr>
          <w:p>
            <w:pPr>
              <w:jc w:val="center"/>
            </w:pPr>
            <w:r>
              <w:rPr>
                <w:rFonts w:ascii="Calibri" w:hAnsi="Calibri"/>
                <w:b/>
                <w:color w:val="FFFFFF"/>
                <w:sz w:val="20"/>
              </w:rPr>
              <w:t>Estrategia</w:t>
            </w:r>
          </w:p>
        </w:tc>
      </w:tr>
      <w:tr>
        <w:tc>
          <w:tcPr>
            <w:tcW w:type="dxa" w:w="3041"/>
            <w:shd w:val="clear" w:color="auto" w:fill="FADBD8"/>
            <w:vAlign w:val="center"/>
          </w:tcPr>
          <w:p>
            <w:pPr>
              <w:jc w:val="left"/>
            </w:pPr>
            <w:r>
              <w:rPr>
                <w:rFonts w:ascii="Calibri" w:hAnsi="Calibri"/>
                <w:sz w:val="20"/>
              </w:rPr>
              <w:t>1. Aporte técnico y científico</w:t>
            </w:r>
          </w:p>
        </w:tc>
        <w:tc>
          <w:tcPr>
            <w:tcW w:type="dxa" w:w="3041"/>
            <w:shd w:val="clear" w:color="auto" w:fill="FADBD8"/>
            <w:vAlign w:val="center"/>
          </w:tcPr>
          <w:p>
            <w:pPr>
              <w:jc w:val="left"/>
            </w:pPr>
            <w:r>
              <w:rPr>
                <w:rFonts w:ascii="Calibri" w:hAnsi="Calibri"/>
                <w:sz w:val="20"/>
              </w:rPr>
              <w:t>35</w:t>
            </w:r>
          </w:p>
        </w:tc>
        <w:tc>
          <w:tcPr>
            <w:tcW w:type="dxa" w:w="3041"/>
            <w:shd w:val="clear" w:color="auto" w:fill="FADBD8"/>
            <w:vAlign w:val="center"/>
          </w:tcPr>
          <w:p>
            <w:pPr>
              <w:jc w:val="left"/>
            </w:pPr>
            <w:r>
              <w:rPr>
                <w:rFonts w:ascii="Calibri" w:hAnsi="Calibri"/>
                <w:sz w:val="20"/>
              </w:rPr>
              <w:t>Articulación explícita con misión "Ciencia para la Paz" (primaria) y "Bioeconomía y Territorio" (secundaria). Coherencia total entre problema, marco teórico, objetivos y programa de maestría.</w:t>
            </w:r>
          </w:p>
        </w:tc>
      </w:tr>
      <w:tr>
        <w:tc>
          <w:tcPr>
            <w:tcW w:type="dxa" w:w="3041"/>
            <w:shd w:val="clear" w:color="auto" w:fill="FFFFFF"/>
            <w:vAlign w:val="center"/>
          </w:tcPr>
          <w:p>
            <w:pPr>
              <w:jc w:val="left"/>
            </w:pPr>
            <w:r>
              <w:rPr>
                <w:rFonts w:ascii="Calibri" w:hAnsi="Calibri"/>
                <w:sz w:val="20"/>
              </w:rPr>
              <w:t>2. Soluciones socioterritoriales</w:t>
            </w:r>
          </w:p>
        </w:tc>
        <w:tc>
          <w:tcPr>
            <w:tcW w:type="dxa" w:w="3041"/>
            <w:shd w:val="clear" w:color="auto" w:fill="FFFFFF"/>
            <w:vAlign w:val="center"/>
          </w:tcPr>
          <w:p>
            <w:pPr>
              <w:jc w:val="left"/>
            </w:pPr>
            <w:r>
              <w:rPr>
                <w:rFonts w:ascii="Calibri" w:hAnsi="Calibri"/>
                <w:sz w:val="20"/>
              </w:rPr>
              <w:t>35</w:t>
            </w:r>
          </w:p>
        </w:tc>
        <w:tc>
          <w:tcPr>
            <w:tcW w:type="dxa" w:w="3041"/>
            <w:shd w:val="clear" w:color="auto" w:fill="FFFFFF"/>
            <w:vAlign w:val="center"/>
          </w:tcPr>
          <w:p>
            <w:pPr>
              <w:jc w:val="left"/>
            </w:pPr>
            <w:r>
              <w:rPr>
                <w:rFonts w:ascii="Calibri" w:hAnsi="Calibri"/>
                <w:sz w:val="20"/>
              </w:rPr>
              <w:t>Impactos directos y cuantificables (IDFiscal DNP) en municipios específicos del Pacífico. Productos con aplicación real a política pública (PDET, OCAD Paz).</w:t>
            </w:r>
          </w:p>
        </w:tc>
      </w:tr>
      <w:tr>
        <w:tc>
          <w:tcPr>
            <w:tcW w:type="dxa" w:w="3041"/>
            <w:shd w:val="clear" w:color="auto" w:fill="FADBD8"/>
            <w:vAlign w:val="center"/>
          </w:tcPr>
          <w:p>
            <w:pPr>
              <w:jc w:val="left"/>
            </w:pPr>
            <w:r>
              <w:rPr>
                <w:rFonts w:ascii="Calibri" w:hAnsi="Calibri"/>
                <w:sz w:val="20"/>
              </w:rPr>
              <w:t>3. Promedio académico</w:t>
            </w:r>
          </w:p>
        </w:tc>
        <w:tc>
          <w:tcPr>
            <w:tcW w:type="dxa" w:w="3041"/>
            <w:shd w:val="clear" w:color="auto" w:fill="FADBD8"/>
            <w:vAlign w:val="center"/>
          </w:tcPr>
          <w:p>
            <w:pPr>
              <w:jc w:val="left"/>
            </w:pPr>
            <w:r>
              <w:rPr>
                <w:rFonts w:ascii="Calibri" w:hAnsi="Calibri"/>
                <w:sz w:val="20"/>
              </w:rPr>
              <w:t>10</w:t>
            </w:r>
          </w:p>
        </w:tc>
        <w:tc>
          <w:tcPr>
            <w:tcW w:type="dxa" w:w="3041"/>
            <w:shd w:val="clear" w:color="auto" w:fill="FADBD8"/>
            <w:vAlign w:val="center"/>
          </w:tcPr>
          <w:p>
            <w:pPr>
              <w:jc w:val="left"/>
            </w:pPr>
            <w:r>
              <w:rPr>
                <w:rFonts w:ascii="Calibri" w:hAnsi="Calibri"/>
                <w:sz w:val="20"/>
              </w:rPr>
              <w:t>Adjuntar certificado de notas. Promedio ≥ 4.5 = 10 pts. Promedio 4.0–4.4 = 6 pts. Promedio 3.6–3.9 = 4 pts.</w:t>
            </w:r>
          </w:p>
        </w:tc>
      </w:tr>
      <w:tr>
        <w:tc>
          <w:tcPr>
            <w:tcW w:type="dxa" w:w="3041"/>
            <w:shd w:val="clear" w:color="auto" w:fill="FFFFFF"/>
            <w:vAlign w:val="center"/>
          </w:tcPr>
          <w:p>
            <w:pPr>
              <w:jc w:val="left"/>
            </w:pPr>
            <w:r>
              <w:rPr>
                <w:rFonts w:ascii="Calibri" w:hAnsi="Calibri"/>
                <w:sz w:val="20"/>
              </w:rPr>
              <w:t>4. Experiencia del candidato</w:t>
            </w:r>
          </w:p>
        </w:tc>
        <w:tc>
          <w:tcPr>
            <w:tcW w:type="dxa" w:w="3041"/>
            <w:shd w:val="clear" w:color="auto" w:fill="FFFFFF"/>
            <w:vAlign w:val="center"/>
          </w:tcPr>
          <w:p>
            <w:pPr>
              <w:jc w:val="left"/>
            </w:pPr>
            <w:r>
              <w:rPr>
                <w:rFonts w:ascii="Calibri" w:hAnsi="Calibri"/>
                <w:sz w:val="20"/>
              </w:rPr>
              <w:t>15</w:t>
            </w:r>
          </w:p>
        </w:tc>
        <w:tc>
          <w:tcPr>
            <w:tcW w:type="dxa" w:w="3041"/>
            <w:shd w:val="clear" w:color="auto" w:fill="FFFFFF"/>
            <w:vAlign w:val="center"/>
          </w:tcPr>
          <w:p>
            <w:pPr>
              <w:jc w:val="left"/>
            </w:pPr>
            <w:r>
              <w:rPr>
                <w:rFonts w:ascii="Calibri" w:hAnsi="Calibri"/>
                <w:sz w:val="20"/>
              </w:rPr>
              <w:t>Contador público + especialista en gerencia de proyectos. Experiencia &gt;5 años = 10 pts. Si es docente en inst. pública: +5 pts adicionales.</w:t>
            </w:r>
          </w:p>
        </w:tc>
      </w:tr>
      <w:tr>
        <w:tc>
          <w:tcPr>
            <w:tcW w:type="dxa" w:w="3041"/>
            <w:shd w:val="clear" w:color="auto" w:fill="FADBD8"/>
            <w:vAlign w:val="center"/>
          </w:tcPr>
          <w:p>
            <w:pPr>
              <w:jc w:val="left"/>
            </w:pPr>
            <w:r>
              <w:rPr>
                <w:rFonts w:ascii="Calibri" w:hAnsi="Calibri"/>
                <w:sz w:val="20"/>
              </w:rPr>
              <w:t>5. Enfoque diferencial</w:t>
            </w:r>
          </w:p>
        </w:tc>
        <w:tc>
          <w:tcPr>
            <w:tcW w:type="dxa" w:w="3041"/>
            <w:shd w:val="clear" w:color="auto" w:fill="FADBD8"/>
            <w:vAlign w:val="center"/>
          </w:tcPr>
          <w:p>
            <w:pPr>
              <w:jc w:val="left"/>
            </w:pPr>
            <w:r>
              <w:rPr>
                <w:rFonts w:ascii="Calibri" w:hAnsi="Calibri"/>
                <w:sz w:val="20"/>
              </w:rPr>
              <w:t>5</w:t>
            </w:r>
          </w:p>
        </w:tc>
        <w:tc>
          <w:tcPr>
            <w:tcW w:type="dxa" w:w="3041"/>
            <w:shd w:val="clear" w:color="auto" w:fill="FADBD8"/>
            <w:vAlign w:val="center"/>
          </w:tcPr>
          <w:p>
            <w:pPr>
              <w:jc w:val="left"/>
            </w:pPr>
            <w:r>
              <w:rPr>
                <w:rFonts w:ascii="Calibri" w:hAnsi="Calibri"/>
                <w:sz w:val="20"/>
              </w:rPr>
              <w:t>Si aplica alguna categoría (comunidad étnica, víctima del conflicto, discapacidad), adjuntar certificación correspondiente para obtener 5 pts.</w:t>
            </w:r>
          </w:p>
        </w:tc>
      </w:tr>
      <w:tr>
        <w:tc>
          <w:tcPr>
            <w:tcW w:type="dxa" w:w="3041"/>
            <w:shd w:val="clear" w:color="auto" w:fill="FFFFFF"/>
            <w:vAlign w:val="center"/>
          </w:tcPr>
          <w:p>
            <w:pPr>
              <w:jc w:val="left"/>
            </w:pPr>
            <w:r>
              <w:rPr>
                <w:rFonts w:ascii="Calibri" w:hAnsi="Calibri"/>
                <w:sz w:val="20"/>
              </w:rPr>
              <w:t>TOTAL ESTIMADO</w:t>
            </w:r>
          </w:p>
        </w:tc>
        <w:tc>
          <w:tcPr>
            <w:tcW w:type="dxa" w:w="3041"/>
            <w:shd w:val="clear" w:color="auto" w:fill="FFFFFF"/>
            <w:vAlign w:val="center"/>
          </w:tcPr>
          <w:p>
            <w:pPr>
              <w:jc w:val="left"/>
            </w:pPr>
            <w:r>
              <w:rPr>
                <w:rFonts w:ascii="Calibri" w:hAnsi="Calibri"/>
                <w:sz w:val="20"/>
              </w:rPr>
              <w:t>85–100</w:t>
            </w:r>
          </w:p>
        </w:tc>
        <w:tc>
          <w:tcPr>
            <w:tcW w:type="dxa" w:w="3041"/>
            <w:shd w:val="clear" w:color="auto" w:fill="FFFFFF"/>
            <w:vAlign w:val="center"/>
          </w:tcPr>
          <w:p>
            <w:pPr>
              <w:jc w:val="left"/>
            </w:pPr>
            <w:r>
              <w:rPr>
                <w:rFonts w:ascii="Calibri" w:hAnsi="Calibri"/>
                <w:sz w:val="20"/>
              </w:rPr>
              <w:t>Depende del promedio académico y experiencia documentada.</w:t>
            </w:r>
          </w:p>
        </w:tc>
      </w:tr>
    </w:tbl>
    <w:p/>
    <w:p>
      <w:pPr>
        <w:spacing w:before="200" w:after="60"/>
      </w:pPr>
      <w:r>
        <w:rPr>
          <w:rFonts w:ascii="Calibri" w:hAnsi="Calibri"/>
          <w:b/>
          <w:color w:val="2E74B5"/>
          <w:sz w:val="22"/>
        </w:rPr>
        <w:t>Lista de verificación de documentos (Numeral 7 — Términos de Referencia):</w:t>
      </w:r>
    </w:p>
    <w:p>
      <w:pPr>
        <w:pStyle w:val="ListBullet"/>
        <w:spacing w:after="60"/>
        <w:ind w:left="567" w:hanging="283"/>
      </w:pPr>
      <w:r>
        <w:rPr>
          <w:rFonts w:ascii="Calibri" w:hAnsi="Calibri"/>
          <w:sz w:val="22"/>
        </w:rPr>
        <w:t>☐  Cédula de ciudadanía (ambas caras) — lugar de nacimiento en municipio del Pacífico</w:t>
      </w:r>
    </w:p>
    <w:p>
      <w:pPr>
        <w:pStyle w:val="ListBullet"/>
        <w:spacing w:after="60"/>
        <w:ind w:left="567" w:hanging="283"/>
      </w:pPr>
      <w:r>
        <w:rPr>
          <w:rFonts w:ascii="Calibri" w:hAnsi="Calibri"/>
          <w:sz w:val="22"/>
        </w:rPr>
        <w:t>☐  Anexo 1: Carta de compromiso firmada</w:t>
      </w:r>
    </w:p>
    <w:p>
      <w:pPr>
        <w:pStyle w:val="ListBullet"/>
        <w:spacing w:after="60"/>
        <w:ind w:left="567" w:hanging="283"/>
      </w:pPr>
      <w:r>
        <w:rPr>
          <w:rFonts w:ascii="Calibri" w:hAnsi="Calibri"/>
          <w:sz w:val="22"/>
        </w:rPr>
        <w:t>☐  Anexo 2: Esta propuesta de investigación en PDF</w:t>
      </w:r>
    </w:p>
    <w:p>
      <w:pPr>
        <w:pStyle w:val="ListBullet"/>
        <w:spacing w:after="60"/>
        <w:ind w:left="567" w:hanging="283"/>
      </w:pPr>
      <w:r>
        <w:rPr>
          <w:rFonts w:ascii="Calibri" w:hAnsi="Calibri"/>
          <w:sz w:val="22"/>
        </w:rPr>
        <w:t>☐  Anexo 3: Hoja de vida + certificaciones laborales en un solo PDF</w:t>
      </w:r>
    </w:p>
    <w:p>
      <w:pPr>
        <w:pStyle w:val="ListBullet"/>
        <w:spacing w:after="60"/>
        <w:ind w:left="567" w:hanging="283"/>
      </w:pPr>
      <w:r>
        <w:rPr>
          <w:rFonts w:ascii="Calibri" w:hAnsi="Calibri"/>
          <w:sz w:val="22"/>
        </w:rPr>
        <w:t>☐  Diploma y/o acta de grado del pregrado (Contaduría Pública)</w:t>
      </w:r>
    </w:p>
    <w:p>
      <w:pPr>
        <w:pStyle w:val="ListBullet"/>
        <w:spacing w:after="60"/>
        <w:ind w:left="567" w:hanging="283"/>
      </w:pPr>
      <w:r>
        <w:rPr>
          <w:rFonts w:ascii="Calibri" w:hAnsi="Calibri"/>
          <w:sz w:val="22"/>
        </w:rPr>
        <w:t>☐  Certificado de notas del pregrado (promedio mínimo 3.0)</w:t>
      </w:r>
    </w:p>
    <w:p>
      <w:pPr>
        <w:pStyle w:val="ListBullet"/>
        <w:spacing w:after="60"/>
        <w:ind w:left="567" w:hanging="283"/>
      </w:pPr>
      <w:r>
        <w:rPr>
          <w:rFonts w:ascii="Calibri" w:hAnsi="Calibri"/>
          <w:sz w:val="22"/>
        </w:rPr>
        <w:t>☐  Certificado laboral de docencia (si aplica — expedido desde 1 enero 2026)</w:t>
      </w:r>
    </w:p>
    <w:p>
      <w:pPr>
        <w:pStyle w:val="ListBullet"/>
        <w:spacing w:after="60"/>
        <w:ind w:left="567" w:hanging="283"/>
      </w:pPr>
      <w:r>
        <w:rPr>
          <w:rFonts w:ascii="Calibri" w:hAnsi="Calibri"/>
          <w:sz w:val="22"/>
        </w:rPr>
        <w:t>☐  Documentación enfoque diferencial (si aplica)</w:t>
      </w:r>
    </w:p>
    <w:tbl>
      <w:tblPr>
        <w:tblStyle w:val="TableGrid"/>
        <w:tblW w:type="auto" w:w="0"/>
        <w:tblLook w:firstColumn="1" w:firstRow="1" w:lastColumn="0" w:lastRow="0" w:noHBand="0" w:noVBand="1" w:val="04A0"/>
      </w:tblPr>
      <w:tblGrid>
        <w:gridCol w:w="9122"/>
      </w:tblGrid>
      <w:tr>
        <w:tc>
          <w:tcPr>
            <w:tcW w:type="dxa" w:w="9122"/>
            <w:shd w:val="clear" w:color="auto" w:fill="E8F8F5"/>
          </w:tcPr>
          <w:p>
            <w:pPr>
              <w:spacing w:before="80" w:after="80"/>
              <w:ind w:left="170"/>
              <w:jc w:val="both"/>
            </w:pPr>
            <w:r>
              <w:rPr>
                <w:rFonts w:ascii="Calibri" w:hAnsi="Calibri"/>
                <w:sz w:val="20"/>
              </w:rPr>
              <w:t>⏰  FECHA LÍMITE: 24 de marzo de 2026 a las 4:00 p.m. (hora Colombia)</w:t>
              <w:br/>
              <w:t>🌐  Inscripción exclusivamente en: https://plataformasigp.minciencias.gov.co:7003</w:t>
              <w:br/>
              <w:t>📧  Soporte técnico SIGP: https://minciencias.gov.co/ciudadano/canal-pqrds</w:t>
              <w:br/>
              <w:t xml:space="preserve">   (Asunto: "Falla carga SIGP – BECAS PARA EL CAMBIO REGIÓN PACÍFICO")</w:t>
            </w:r>
          </w:p>
        </w:tc>
      </w:tr>
    </w:tbl>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