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Arimo" w:cs="Arimo" w:eastAsia="Arimo" w:hAnsi="Arimo"/>
          <w:sz w:val="42"/>
          <w:szCs w:val="42"/>
        </w:rPr>
      </w:pPr>
      <w:bookmarkStart w:colFirst="0" w:colLast="0" w:name="_brazvo69iy4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="315" w:lineRule="auto"/>
        <w:jc w:val="center"/>
        <w:rPr>
          <w:rFonts w:ascii="Arimo" w:cs="Arimo" w:eastAsia="Arimo" w:hAnsi="Arimo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line="315" w:lineRule="auto"/>
        <w:jc w:val="center"/>
        <w:rPr>
          <w:rFonts w:ascii="Rubik" w:cs="Rubik" w:eastAsia="Rubik" w:hAnsi="Rubik"/>
          <w:sz w:val="48"/>
          <w:szCs w:val="48"/>
        </w:rPr>
      </w:pPr>
      <w:r w:rsidDel="00000000" w:rsidR="00000000" w:rsidRPr="00000000">
        <w:rPr>
          <w:rFonts w:ascii="Rubik" w:cs="Rubik" w:eastAsia="Rubik" w:hAnsi="Rubik"/>
          <w:sz w:val="48"/>
          <w:szCs w:val="48"/>
          <w:rtl w:val="0"/>
        </w:rPr>
        <w:t xml:space="preserve">Análisis Librería PGE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ind w:left="0" w:firstLine="0"/>
        <w:jc w:val="left"/>
        <w:rPr>
          <w:rFonts w:ascii="Rubik" w:cs="Rubik" w:eastAsia="Rubik" w:hAnsi="Rubik"/>
          <w:sz w:val="46"/>
          <w:szCs w:val="46"/>
        </w:rPr>
      </w:pPr>
      <w:bookmarkStart w:colFirst="0" w:colLast="0" w:name="_ctsmuxs4xd9" w:id="1"/>
      <w:bookmarkEnd w:id="1"/>
      <w:r w:rsidDel="00000000" w:rsidR="00000000" w:rsidRPr="00000000">
        <w:rPr>
          <w:rFonts w:ascii="Rubik" w:cs="Rubik" w:eastAsia="Rubik" w:hAnsi="Rubik"/>
          <w:sz w:val="46"/>
          <w:szCs w:val="46"/>
          <w:rtl w:val="0"/>
        </w:rPr>
        <w:t xml:space="preserve">Objetivo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Evaluar la factibilidad de extraer el código "</w:t>
      </w:r>
      <w:r w:rsidDel="00000000" w:rsidR="00000000" w:rsidRPr="00000000">
        <w:rPr>
          <w:i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" involucrado en el consumo de servicios a través de la PDI y convertirlo en librería. De esta forma, puede ser utilizado tanto por el Conector o por cualquier otro sistema que quiera utilizar los servicios de la PDI sin utilizar el Conector.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ind w:left="0" w:firstLine="0"/>
        <w:jc w:val="left"/>
        <w:rPr/>
      </w:pPr>
      <w:bookmarkStart w:colFirst="0" w:colLast="0" w:name="_4pomttqjqh0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 grandes rasgos, el código que realiza la invocación a un servicio de la PGE se puede dividir en los siguientes pasos: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Determinar los roles de seguridad a utilizar, en base al mensaje recibido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Obtener los datos de los certificados de seguridad, asociados a la configuración del Conector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Obtención del token SAML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Invocación al Servicio, que involucra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Insertar token SAML en el mensaje recibido del Cliente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Agregar headers de WS-* (por ejemplo WS-Addressing)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Invocar al endpoint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En base a los pasos mencionados, resulta necesario analizar cómo puede abstraerse la lógica, de manera que pueda ser utilizada como librería.</w:t>
      </w:r>
    </w:p>
    <w:p w:rsidR="00000000" w:rsidDel="00000000" w:rsidP="00000000" w:rsidRDefault="00000000" w:rsidRPr="00000000" w14:paraId="00000017">
      <w:pPr>
        <w:pStyle w:val="Heading1"/>
        <w:ind w:left="0" w:firstLine="0"/>
        <w:jc w:val="left"/>
        <w:rPr/>
      </w:pPr>
      <w:bookmarkStart w:colFirst="0" w:colLast="0" w:name="_2p0dflys053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left="0" w:firstLine="0"/>
        <w:jc w:val="left"/>
        <w:rPr/>
      </w:pPr>
      <w:bookmarkStart w:colFirst="0" w:colLast="0" w:name="_jge331i2qfyc" w:id="4"/>
      <w:bookmarkEnd w:id="4"/>
      <w:r w:rsidDel="00000000" w:rsidR="00000000" w:rsidRPr="00000000">
        <w:rPr>
          <w:rtl w:val="0"/>
        </w:rPr>
        <w:t xml:space="preserve">Librería PGE-Client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Vale destacar que en una versión previa del Conector, se encontraba disponible la librería </w:t>
      </w:r>
      <w:r w:rsidDel="00000000" w:rsidR="00000000" w:rsidRPr="00000000">
        <w:rPr>
          <w:i w:val="1"/>
          <w:rtl w:val="0"/>
        </w:rPr>
        <w:t xml:space="preserve">pge-client.jar</w:t>
      </w:r>
      <w:r w:rsidDel="00000000" w:rsidR="00000000" w:rsidRPr="00000000">
        <w:rPr>
          <w:rtl w:val="0"/>
        </w:rPr>
        <w:t xml:space="preserve">, la cual contaba con lógica necesaria para obtener un token SAML. Dicha librería dejó de utilizarse en la versión actual, y la forma de obtener el token SAML fue actualizada, pasando de usar </w:t>
      </w:r>
      <w:r w:rsidDel="00000000" w:rsidR="00000000" w:rsidRPr="00000000">
        <w:rPr>
          <w:i w:val="1"/>
          <w:rtl w:val="0"/>
        </w:rPr>
        <w:t xml:space="preserve">PicketLink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i w:val="1"/>
          <w:rtl w:val="0"/>
        </w:rPr>
        <w:t xml:space="preserve">OpenSAML</w:t>
      </w:r>
      <w:r w:rsidDel="00000000" w:rsidR="00000000" w:rsidRPr="00000000">
        <w:rPr>
          <w:rtl w:val="0"/>
        </w:rPr>
        <w:t xml:space="preserve"> cómo implementacion del standard.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ind w:left="0" w:firstLine="0"/>
        <w:jc w:val="left"/>
        <w:rPr/>
      </w:pPr>
      <w:bookmarkStart w:colFirst="0" w:colLast="0" w:name="_wup3rqrfmouf" w:id="5"/>
      <w:bookmarkEnd w:id="5"/>
      <w:r w:rsidDel="00000000" w:rsidR="00000000" w:rsidRPr="00000000">
        <w:rPr>
          <w:rtl w:val="0"/>
        </w:rPr>
        <w:t xml:space="preserve">Propuesta de creación de Librería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Se propone analizar las clases que participan del procesamiento del mensaje, extraer aquellas que sea de interés que se sean independientes del Conector, y armar una librería a partir de ellas.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Esta nueva librería definirá un punto de entrada, el cual servirá de método principal, solicitando los siguientes datos: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 SOAP a enviar a la PDI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Información necesaria para la obtención del token SAML (rol, keystores, truststores, contraseñas, etc)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Url lógica del servicio a invocar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Analizando el código actual del Conector, resulta de interés considerar las clases que se mencionan a continuación: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WsInvokeService</w:t>
      </w:r>
      <w:r w:rsidDel="00000000" w:rsidR="00000000" w:rsidRPr="00000000">
        <w:rPr>
          <w:rtl w:val="0"/>
        </w:rPr>
        <w:t xml:space="preserve"> - Obtención del token SAML e inyección del mismo en el mensaje </w:t>
      </w:r>
      <w:r w:rsidDel="00000000" w:rsidR="00000000" w:rsidRPr="00000000">
        <w:rPr>
          <w:i w:val="1"/>
          <w:rtl w:val="0"/>
        </w:rPr>
        <w:t xml:space="preserve">SOAP</w:t>
      </w:r>
      <w:r w:rsidDel="00000000" w:rsidR="00000000" w:rsidRPr="00000000">
        <w:rPr>
          <w:rtl w:val="0"/>
        </w:rPr>
        <w:t xml:space="preserve"> a enviar. También se encarga de agregar los headers de </w:t>
      </w:r>
      <w:r w:rsidDel="00000000" w:rsidR="00000000" w:rsidRPr="00000000">
        <w:rPr>
          <w:i w:val="1"/>
          <w:rtl w:val="0"/>
        </w:rPr>
        <w:t xml:space="preserve">WS-Addressing</w:t>
      </w:r>
    </w:p>
    <w:p w:rsidR="00000000" w:rsidDel="00000000" w:rsidP="00000000" w:rsidRDefault="00000000" w:rsidRPr="00000000" w14:paraId="00000028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ConectorRestTemplate</w:t>
      </w:r>
      <w:r w:rsidDel="00000000" w:rsidR="00000000" w:rsidRPr="00000000">
        <w:rPr>
          <w:rtl w:val="0"/>
        </w:rPr>
        <w:t xml:space="preserve"> - Invocación del servicio, habiendo utilizado </w:t>
      </w:r>
      <w:r w:rsidDel="00000000" w:rsidR="00000000" w:rsidRPr="00000000">
        <w:rPr>
          <w:i w:val="1"/>
          <w:rtl w:val="0"/>
        </w:rPr>
        <w:t xml:space="preserve">WsInvokeService</w:t>
      </w:r>
      <w:r w:rsidDel="00000000" w:rsidR="00000000" w:rsidRPr="00000000">
        <w:rPr>
          <w:rtl w:val="0"/>
        </w:rPr>
        <w:t xml:space="preserve"> previamente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left="0" w:firstLine="0"/>
        <w:jc w:val="left"/>
        <w:rPr/>
      </w:pPr>
      <w:bookmarkStart w:colFirst="0" w:colLast="0" w:name="_7b9pn9v09tgn" w:id="6"/>
      <w:bookmarkEnd w:id="6"/>
      <w:r w:rsidDel="00000000" w:rsidR="00000000" w:rsidRPr="00000000">
        <w:rPr>
          <w:rtl w:val="0"/>
        </w:rPr>
        <w:t xml:space="preserve">Desafíos encontrados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Sin haber realizado un análisis detallado del requerimiento, ya se pueden observar algunos desafíos: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uso de </w:t>
      </w:r>
      <w:r w:rsidDel="00000000" w:rsidR="00000000" w:rsidRPr="00000000">
        <w:rPr>
          <w:i w:val="1"/>
          <w:rtl w:val="0"/>
        </w:rPr>
        <w:t xml:space="preserve">WsInvokeService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i w:val="1"/>
          <w:rtl w:val="0"/>
        </w:rPr>
        <w:t xml:space="preserve">ConectorRestTemplate</w:t>
      </w:r>
      <w:r w:rsidDel="00000000" w:rsidR="00000000" w:rsidRPr="00000000">
        <w:rPr>
          <w:rtl w:val="0"/>
        </w:rPr>
        <w:t xml:space="preserve"> son utilizados de forma independiente. O sea, en el </w:t>
      </w:r>
      <w:r w:rsidDel="00000000" w:rsidR="00000000" w:rsidRPr="00000000">
        <w:rPr>
          <w:i w:val="1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expuesto por </w:t>
      </w:r>
      <w:r w:rsidDel="00000000" w:rsidR="00000000" w:rsidRPr="00000000">
        <w:rPr>
          <w:i w:val="1"/>
          <w:rtl w:val="0"/>
        </w:rPr>
        <w:t xml:space="preserve">spring-files-config.xml</w:t>
      </w:r>
      <w:r w:rsidDel="00000000" w:rsidR="00000000" w:rsidRPr="00000000">
        <w:rPr>
          <w:rtl w:val="0"/>
        </w:rPr>
        <w:t xml:space="preserve">, primero se ejecuta </w:t>
      </w:r>
      <w:r w:rsidDel="00000000" w:rsidR="00000000" w:rsidRPr="00000000">
        <w:rPr>
          <w:i w:val="1"/>
          <w:rtl w:val="0"/>
        </w:rPr>
        <w:t xml:space="preserve">WsInvokeService</w:t>
      </w:r>
      <w:r w:rsidDel="00000000" w:rsidR="00000000" w:rsidRPr="00000000">
        <w:rPr>
          <w:rtl w:val="0"/>
        </w:rPr>
        <w:t xml:space="preserve">, y más adelante </w:t>
      </w:r>
      <w:r w:rsidDel="00000000" w:rsidR="00000000" w:rsidRPr="00000000">
        <w:rPr>
          <w:i w:val="1"/>
          <w:rtl w:val="0"/>
        </w:rPr>
        <w:t xml:space="preserve">ConectorRestTemplate</w:t>
      </w:r>
      <w:r w:rsidDel="00000000" w:rsidR="00000000" w:rsidRPr="00000000">
        <w:rPr>
          <w:rtl w:val="0"/>
        </w:rPr>
        <w:t xml:space="preserve">. En caso de extraer dichos servicios en una librería, el </w:t>
      </w:r>
      <w:r w:rsidDel="00000000" w:rsidR="00000000" w:rsidRPr="00000000">
        <w:rPr>
          <w:i w:val="1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 también debería ser actualizado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clases recién mencionadas hacen uso de librerías de </w:t>
      </w:r>
      <w:r w:rsidDel="00000000" w:rsidR="00000000" w:rsidRPr="00000000">
        <w:rPr>
          <w:i w:val="1"/>
          <w:rtl w:val="0"/>
        </w:rPr>
        <w:t xml:space="preserve">Spring</w:t>
      </w:r>
      <w:r w:rsidDel="00000000" w:rsidR="00000000" w:rsidRPr="00000000">
        <w:rPr>
          <w:rtl w:val="0"/>
        </w:rPr>
        <w:t xml:space="preserve"> (por ejemplo </w:t>
      </w:r>
      <w:r w:rsidDel="00000000" w:rsidR="00000000" w:rsidRPr="00000000">
        <w:rPr>
          <w:i w:val="1"/>
          <w:rtl w:val="0"/>
        </w:rPr>
        <w:t xml:space="preserve">RestTemplate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MessageBuilder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, etc). Por lo tanto, es necesario analizar si conviene mantener su uso, y hacer que la librería funcione sin un servidor de aplicaciones, o de lo contrario quitar las depencia a </w:t>
      </w:r>
      <w:r w:rsidDel="00000000" w:rsidR="00000000" w:rsidRPr="00000000">
        <w:rPr>
          <w:i w:val="1"/>
          <w:rtl w:val="0"/>
        </w:rPr>
        <w:t xml:space="preserve">Spring</w:t>
      </w:r>
      <w:r w:rsidDel="00000000" w:rsidR="00000000" w:rsidRPr="00000000">
        <w:rPr>
          <w:rtl w:val="0"/>
        </w:rPr>
        <w:t xml:space="preserve"> y actualizar el código necesario para ello.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Pasos concretos a realizar: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- Revisar pge-client.jar y los fuentes proporcionados por Andrés, y confirmar que dichos fuentes solamente obtienen el token SAML, y no realizan la invocación al servicio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 En caso de confirmar lo anterior, analizar la forma de migrar el código actual del Conector a una librería Java, teniendo en cuenta: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- Intentar de respetar interfaz original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- Intentar que sea standalone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 También analizar la posibilidad de que la librería soporte SAML 2.0 (o sea soporta 1.1 y 2.0)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 futuro, se puede retomar la idea de también migrar la lógica de invocación de servicios.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spacing w:after="220" w:line="315" w:lineRule="auto"/>
      <w:jc w:val="right"/>
      <w:rPr/>
    </w:pPr>
    <w:r w:rsidDel="00000000" w:rsidR="00000000" w:rsidRPr="00000000">
      <w:rPr>
        <w:rFonts w:ascii="Lato" w:cs="Lato" w:eastAsia="Lato" w:hAnsi="Lato"/>
        <w:sz w:val="18"/>
        <w:szCs w:val="18"/>
      </w:rPr>
      <w:drawing>
        <wp:inline distB="114300" distT="114300" distL="114300" distR="114300">
          <wp:extent cx="1713461" cy="1385888"/>
          <wp:effectExtent b="0" l="0" r="0" t="0"/>
          <wp:docPr descr="Logo Kreitech-02.jpg" id="2" name="image1.jpg"/>
          <a:graphic>
            <a:graphicData uri="http://schemas.openxmlformats.org/drawingml/2006/picture">
              <pic:pic>
                <pic:nvPicPr>
                  <pic:cNvPr descr="Logo Kreitech-02.jpg" id="0" name="image1.jpg"/>
                  <pic:cNvPicPr preferRelativeResize="0"/>
                </pic:nvPicPr>
                <pic:blipFill>
                  <a:blip r:embed="rId1"/>
                  <a:srcRect b="22654" l="21481" r="20962" t="15090"/>
                  <a:stretch>
                    <a:fillRect/>
                  </a:stretch>
                </pic:blipFill>
                <pic:spPr>
                  <a:xfrm>
                    <a:off x="0" y="0"/>
                    <a:ext cx="1713461" cy="13858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457200</wp:posOffset>
          </wp:positionV>
          <wp:extent cx="1914525" cy="609600"/>
          <wp:effectExtent b="0" l="0" r="0" t="0"/>
          <wp:wrapSquare wrapText="bothSides" distB="0" distT="0" distL="114300" distR="114300"/>
          <wp:docPr descr="LogoAgesicNuevo" id="4" name="image2.jpg"/>
          <a:graphic>
            <a:graphicData uri="http://schemas.openxmlformats.org/drawingml/2006/picture">
              <pic:pic>
                <pic:nvPicPr>
                  <pic:cNvPr descr="LogoAgesicNuevo" id="0" name="image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14525" cy="609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spacing w:after="220" w:line="315" w:lineRule="auto"/>
      <w:jc w:val="right"/>
      <w:rPr/>
    </w:pPr>
    <w:r w:rsidDel="00000000" w:rsidR="00000000" w:rsidRPr="00000000">
      <w:rPr>
        <w:rFonts w:ascii="Lato" w:cs="Lato" w:eastAsia="Lato" w:hAnsi="Lato"/>
        <w:sz w:val="18"/>
        <w:szCs w:val="18"/>
      </w:rPr>
      <w:drawing>
        <wp:inline distB="114300" distT="114300" distL="114300" distR="114300">
          <wp:extent cx="1713461" cy="1385888"/>
          <wp:effectExtent b="0" l="0" r="0" t="0"/>
          <wp:docPr descr="Logo Kreitech-02.jpg" id="1" name="image1.jpg"/>
          <a:graphic>
            <a:graphicData uri="http://schemas.openxmlformats.org/drawingml/2006/picture">
              <pic:pic>
                <pic:nvPicPr>
                  <pic:cNvPr descr="Logo Kreitech-02.jpg" id="0" name="image1.jpg"/>
                  <pic:cNvPicPr preferRelativeResize="0"/>
                </pic:nvPicPr>
                <pic:blipFill>
                  <a:blip r:embed="rId1"/>
                  <a:srcRect b="22654" l="21481" r="20962" t="15090"/>
                  <a:stretch>
                    <a:fillRect/>
                  </a:stretch>
                </pic:blipFill>
                <pic:spPr>
                  <a:xfrm>
                    <a:off x="0" y="0"/>
                    <a:ext cx="1713461" cy="13858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-142874</wp:posOffset>
          </wp:positionH>
          <wp:positionV relativeFrom="paragraph">
            <wp:posOffset>333375</wp:posOffset>
          </wp:positionV>
          <wp:extent cx="1914525" cy="609600"/>
          <wp:effectExtent b="0" l="0" r="0" t="0"/>
          <wp:wrapSquare wrapText="bothSides" distB="0" distT="0" distL="114300" distR="114300"/>
          <wp:docPr descr="LogoAgesicNuevo" id="3" name="image2.jpg"/>
          <a:graphic>
            <a:graphicData uri="http://schemas.openxmlformats.org/drawingml/2006/picture">
              <pic:pic>
                <pic:nvPicPr>
                  <pic:cNvPr descr="LogoAgesicNuevo" id="0" name="image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14525" cy="609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" w:cs="Rubik" w:eastAsia="Rubik" w:hAnsi="Rubik"/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firstLine="0"/>
    </w:pPr>
    <w:rPr>
      <w:rFonts w:ascii="Rubik" w:cs="Rubik" w:eastAsia="Rubik" w:hAnsi="Rubik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15" w:lineRule="auto"/>
      <w:jc w:val="center"/>
    </w:pPr>
    <w:rPr>
      <w:rFonts w:ascii="Rubik" w:cs="Rubik" w:eastAsia="Rubik" w:hAnsi="Rubik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2" Type="http://schemas.openxmlformats.org/officeDocument/2006/relationships/font" Target="fonts/Rubik-boldItalic.ttf"/><Relationship Id="rId9" Type="http://schemas.openxmlformats.org/officeDocument/2006/relationships/font" Target="fonts/Rubik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