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3B71" w:rsidRPr="00EF3B71" w:rsidRDefault="00EF3B71" w:rsidP="00EF3B71">
      <w:pPr>
        <w:spacing w:line="301" w:lineRule="atLeast"/>
        <w:jc w:val="center"/>
        <w:outlineLvl w:val="0"/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</w:pPr>
      <w:bookmarkStart w:id="0" w:name="OLE_LINK1"/>
      <w:bookmarkStart w:id="1" w:name="OLE_LINK2"/>
      <w:r w:rsidRPr="00EF3B71"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  <w:t xml:space="preserve">玻利维亚 20-25TPD </w:t>
      </w:r>
      <w:proofErr w:type="gramStart"/>
      <w:r w:rsidRPr="00EF3B71"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  <w:t>涂料级</w:t>
      </w:r>
      <w:proofErr w:type="gramEnd"/>
      <w:r w:rsidRPr="00EF3B71"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  <w:t>PCC 生产线全套设备</w:t>
      </w:r>
      <w:r w:rsidRPr="00EF3B71">
        <w:rPr>
          <w:rFonts w:asciiTheme="majorEastAsia" w:eastAsiaTheme="majorEastAsia" w:hAnsiTheme="majorEastAsia" w:cs="Arial" w:hint="eastAsia"/>
          <w:b/>
          <w:color w:val="000000"/>
          <w:kern w:val="36"/>
          <w:sz w:val="30"/>
          <w:szCs w:val="30"/>
        </w:rPr>
        <w:t>报</w:t>
      </w:r>
      <w:r w:rsidRPr="00EF3B71">
        <w:rPr>
          <w:rFonts w:asciiTheme="majorEastAsia" w:eastAsiaTheme="majorEastAsia" w:hAnsiTheme="majorEastAsia" w:cs="Arial"/>
          <w:b/>
          <w:color w:val="000000"/>
          <w:kern w:val="36"/>
          <w:sz w:val="30"/>
          <w:szCs w:val="30"/>
        </w:rPr>
        <w:t>价表</w:t>
      </w:r>
    </w:p>
    <w:bookmarkEnd w:id="0"/>
    <w:bookmarkEnd w:id="1"/>
    <w:p w:rsidR="00EF3B71" w:rsidRPr="00EF3B7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</w:rPr>
      </w:pPr>
      <w:r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一、</w:t>
      </w:r>
      <w:proofErr w:type="spellStart"/>
      <w:r w:rsidRPr="00EF3B71">
        <w:rPr>
          <w:rFonts w:asciiTheme="minorEastAsia" w:hAnsiTheme="minorEastAsia" w:cs="Arial"/>
          <w:b/>
          <w:color w:val="000000"/>
          <w:sz w:val="24"/>
          <w:szCs w:val="24"/>
        </w:rPr>
        <w:t>说明</w:t>
      </w:r>
      <w:proofErr w:type="spellEnd"/>
      <w:r w:rsidRPr="00EF3B71">
        <w:rPr>
          <w:rFonts w:asciiTheme="minorEastAsia" w:hAnsiTheme="minorEastAsia" w:cs="Arial"/>
          <w:b/>
          <w:color w:val="000000"/>
          <w:sz w:val="24"/>
          <w:szCs w:val="24"/>
        </w:rPr>
        <w:t>：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产能：日产 20</w:t>
      </w:r>
      <w:r>
        <w:rPr>
          <w:rFonts w:asciiTheme="minorEastAsia" w:hAnsiTheme="minorEastAsia" w:cs="Arial" w:hint="eastAsia"/>
          <w:color w:val="000000"/>
          <w:sz w:val="24"/>
          <w:szCs w:val="24"/>
          <w:lang w:eastAsia="zh-CN"/>
        </w:rPr>
        <w:t>～</w:t>
      </w: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25 吨 PCC（涂料专用、D50=1</w:t>
      </w:r>
      <w:r>
        <w:rPr>
          <w:rFonts w:asciiTheme="minorEastAsia" w:hAnsiTheme="minorEastAsia" w:cs="Arial" w:hint="eastAsia"/>
          <w:color w:val="000000"/>
          <w:sz w:val="24"/>
          <w:szCs w:val="24"/>
          <w:lang w:eastAsia="zh-CN"/>
        </w:rPr>
        <w:t>～</w:t>
      </w: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3</w:t>
      </w:r>
      <w:r w:rsidRPr="00EF3B71">
        <w:rPr>
          <w:rFonts w:asciiTheme="minorEastAsia" w:hAnsiTheme="minorEastAsia" w:cs="Arial"/>
          <w:color w:val="000000"/>
          <w:sz w:val="24"/>
          <w:szCs w:val="24"/>
        </w:rPr>
        <w:t>μ</w:t>
      </w: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m、ISO 白度＞95、无包覆工序）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原料条件：客户自备达标粒径石灰石，</w:t>
      </w:r>
      <w:r w:rsidRPr="00400AD2"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  <w:t>不含破碎工段设备</w:t>
      </w:r>
      <w:r w:rsidR="00400AD2"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  <w:t>。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工况适配：海拔 2560</w:t>
      </w:r>
      <w:r w:rsidR="00E44A92">
        <w:rPr>
          <w:rFonts w:asciiTheme="minorEastAsia" w:hAnsiTheme="minorEastAsia" w:cs="Arial" w:hint="eastAsia"/>
          <w:color w:val="000000"/>
          <w:sz w:val="24"/>
          <w:szCs w:val="24"/>
          <w:lang w:eastAsia="zh-CN"/>
        </w:rPr>
        <w:t>～</w:t>
      </w: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2640m 高原定制风机增压、中等抗震结构加强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工艺全段：煅烧→消化精制→</w:t>
      </w:r>
      <w:proofErr w:type="gramStart"/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碳化→</w:t>
      </w:r>
      <w:proofErr w:type="gramEnd"/>
      <w:r w:rsidRPr="00EF3B71">
        <w:rPr>
          <w:rFonts w:asciiTheme="minorEastAsia" w:hAnsiTheme="minorEastAsia" w:cs="Arial"/>
          <w:color w:val="000000"/>
          <w:sz w:val="24"/>
          <w:szCs w:val="24"/>
          <w:lang w:eastAsia="zh-CN"/>
        </w:rPr>
        <w:t>脱水→干燥→粉磨分级→30kg 袋装包装</w:t>
      </w:r>
    </w:p>
    <w:p w:rsidR="00EF3B71" w:rsidRPr="00EF3B71" w:rsidRDefault="00EF3B71" w:rsidP="00EF3B71">
      <w:pPr>
        <w:numPr>
          <w:ilvl w:val="0"/>
          <w:numId w:val="1"/>
        </w:numPr>
        <w:spacing w:line="301" w:lineRule="atLeast"/>
        <w:ind w:left="0" w:firstLine="567"/>
        <w:rPr>
          <w:rFonts w:asciiTheme="minorEastAsia" w:hAnsiTheme="minorEastAsia" w:cs="Arial"/>
          <w:b/>
          <w:color w:val="000000"/>
          <w:sz w:val="24"/>
          <w:szCs w:val="24"/>
        </w:rPr>
      </w:pPr>
      <w:proofErr w:type="spellStart"/>
      <w:r w:rsidRPr="00EF3B71">
        <w:rPr>
          <w:rFonts w:asciiTheme="minorEastAsia" w:hAnsiTheme="minorEastAsia" w:cs="Arial"/>
          <w:color w:val="000000"/>
          <w:sz w:val="24"/>
          <w:szCs w:val="24"/>
        </w:rPr>
        <w:t>报价币种</w:t>
      </w:r>
      <w:proofErr w:type="spellEnd"/>
      <w:r w:rsidRPr="00EF3B71">
        <w:rPr>
          <w:rFonts w:asciiTheme="minorEastAsia" w:hAnsiTheme="minorEastAsia" w:cs="Arial"/>
          <w:color w:val="000000"/>
          <w:sz w:val="24"/>
          <w:szCs w:val="24"/>
        </w:rPr>
        <w:t>：</w:t>
      </w:r>
      <w:r>
        <w:rPr>
          <w:rFonts w:asciiTheme="minorEastAsia" w:hAnsiTheme="minorEastAsia" w:cs="Arial" w:hint="eastAsia"/>
          <w:color w:val="000000"/>
          <w:sz w:val="24"/>
          <w:szCs w:val="24"/>
          <w:lang w:eastAsia="zh-CN"/>
        </w:rPr>
        <w:t>人民币</w:t>
      </w:r>
      <w:r w:rsidRPr="00EF3B71">
        <w:rPr>
          <w:rFonts w:asciiTheme="minorEastAsia" w:hAnsiTheme="minorEastAsia" w:cs="Arial"/>
          <w:color w:val="000000"/>
          <w:sz w:val="24"/>
          <w:szCs w:val="24"/>
        </w:rPr>
        <w:t xml:space="preserve">（FOB </w:t>
      </w:r>
      <w:proofErr w:type="spellStart"/>
      <w:r w:rsidRPr="00EF3B71">
        <w:rPr>
          <w:rFonts w:asciiTheme="minorEastAsia" w:hAnsiTheme="minorEastAsia" w:cs="Arial"/>
          <w:color w:val="000000"/>
          <w:sz w:val="24"/>
          <w:szCs w:val="24"/>
        </w:rPr>
        <w:t>中国港口</w:t>
      </w:r>
      <w:proofErr w:type="spellEnd"/>
      <w:r w:rsidRPr="00EF3B71">
        <w:rPr>
          <w:rFonts w:asciiTheme="minorEastAsia" w:hAnsiTheme="minorEastAsia" w:cs="Arial"/>
          <w:color w:val="000000"/>
          <w:sz w:val="24"/>
          <w:szCs w:val="24"/>
        </w:rPr>
        <w:t>），</w:t>
      </w:r>
      <w:proofErr w:type="spellStart"/>
      <w:r w:rsidRPr="00EF3B71">
        <w:rPr>
          <w:rFonts w:asciiTheme="minorEastAsia" w:hAnsiTheme="minorEastAsia" w:cs="Arial"/>
          <w:color w:val="000000"/>
          <w:sz w:val="24"/>
          <w:szCs w:val="24"/>
        </w:rPr>
        <w:t>含设备本体、标准电控、高原适配改造、出厂</w:t>
      </w:r>
      <w:proofErr w:type="spellEnd"/>
      <w:r w:rsidRPr="00EF3B71">
        <w:rPr>
          <w:rFonts w:asciiTheme="minorEastAsia" w:hAnsiTheme="minorEastAsia" w:cs="Arial"/>
          <w:color w:val="000000"/>
          <w:sz w:val="24"/>
          <w:szCs w:val="24"/>
        </w:rPr>
        <w:t xml:space="preserve"> 1 </w:t>
      </w:r>
      <w:proofErr w:type="spellStart"/>
      <w:r w:rsidRPr="00EF3B71">
        <w:rPr>
          <w:rFonts w:asciiTheme="minorEastAsia" w:hAnsiTheme="minorEastAsia" w:cs="Arial"/>
          <w:color w:val="000000"/>
          <w:sz w:val="24"/>
          <w:szCs w:val="24"/>
        </w:rPr>
        <w:t>年质保；</w:t>
      </w:r>
      <w:r w:rsidRPr="00EF3B71">
        <w:rPr>
          <w:rFonts w:asciiTheme="minorEastAsia" w:hAnsiTheme="minorEastAsia" w:cs="Arial"/>
          <w:b/>
          <w:color w:val="000000"/>
          <w:sz w:val="24"/>
          <w:szCs w:val="24"/>
        </w:rPr>
        <w:t>不含海运费、当地土建、安装调试差旅费、当地辅材、海关税费</w:t>
      </w:r>
      <w:proofErr w:type="spellEnd"/>
      <w:r w:rsidR="00400AD2">
        <w:rPr>
          <w:rFonts w:asciiTheme="minorEastAsia" w:hAnsiTheme="minorEastAsia" w:cs="Arial"/>
          <w:b/>
          <w:color w:val="000000"/>
          <w:sz w:val="24"/>
          <w:szCs w:val="24"/>
        </w:rPr>
        <w:t>。</w:t>
      </w:r>
    </w:p>
    <w:p w:rsidR="00924DF1" w:rsidRDefault="00EF3B71" w:rsidP="00EF3B71">
      <w:pPr>
        <w:spacing w:line="301" w:lineRule="atLeast"/>
        <w:outlineLvl w:val="1"/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</w:pPr>
      <w:r w:rsidRPr="00EF3B71"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二、报价总表</w:t>
      </w:r>
      <w:r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：</w:t>
      </w:r>
    </w:p>
    <w:tbl>
      <w:tblPr>
        <w:tblW w:w="7207" w:type="dxa"/>
        <w:jc w:val="center"/>
        <w:tblInd w:w="1101" w:type="dxa"/>
        <w:tblLook w:val="04A0"/>
      </w:tblPr>
      <w:tblGrid>
        <w:gridCol w:w="4536"/>
        <w:gridCol w:w="2671"/>
      </w:tblGrid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工段名称</w:t>
            </w:r>
          </w:p>
        </w:tc>
        <w:tc>
          <w:tcPr>
            <w:tcW w:w="267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 含税人民币总价（元）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煅烧工段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1,305,200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消化精制工段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577,150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碳化工段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871,155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脱水工段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289,935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干燥工段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676,285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超细粉磨分级工段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839,925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成品包装工段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246,475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自控公用 + 抗震钢结构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762,275</w:t>
            </w:r>
          </w:p>
        </w:tc>
      </w:tr>
      <w:tr w:rsidR="00EF3B71" w:rsidRPr="00EF3B71" w:rsidTr="00E44A92">
        <w:trPr>
          <w:trHeight w:val="312"/>
          <w:jc w:val="center"/>
        </w:trPr>
        <w:tc>
          <w:tcPr>
            <w:tcW w:w="4536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合计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：人民币</w:t>
            </w:r>
            <w:proofErr w:type="gramStart"/>
            <w:r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伍佰伍拾陆万捌仟肆佰</w:t>
            </w:r>
            <w:proofErr w:type="gramEnd"/>
            <w:r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元整</w:t>
            </w:r>
          </w:p>
        </w:tc>
        <w:tc>
          <w:tcPr>
            <w:tcW w:w="267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F3B71" w:rsidRPr="00EF3B71" w:rsidRDefault="00EF3B71" w:rsidP="00EF3B71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F3B71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5568400</w:t>
            </w:r>
          </w:p>
        </w:tc>
      </w:tr>
    </w:tbl>
    <w:p w:rsidR="00EF3B71" w:rsidRDefault="00EF3B71" w:rsidP="00EF3B71">
      <w:pPr>
        <w:spacing w:line="301" w:lineRule="atLeast"/>
        <w:outlineLvl w:val="1"/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</w:pPr>
    </w:p>
    <w:p w:rsidR="00EF3B71" w:rsidRDefault="00EF3B71" w:rsidP="00EF3B71">
      <w:pPr>
        <w:spacing w:line="301" w:lineRule="atLeast"/>
        <w:outlineLvl w:val="1"/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</w:pPr>
      <w:r>
        <w:rPr>
          <w:rFonts w:asciiTheme="minorEastAsia" w:hAnsiTheme="minorEastAsia" w:cs="Arial" w:hint="eastAsia"/>
          <w:b/>
          <w:color w:val="000000"/>
          <w:sz w:val="24"/>
          <w:szCs w:val="24"/>
          <w:lang w:eastAsia="zh-CN"/>
        </w:rPr>
        <w:t>三、报价清单：</w:t>
      </w:r>
    </w:p>
    <w:tbl>
      <w:tblPr>
        <w:tblW w:w="0" w:type="auto"/>
        <w:tblInd w:w="95" w:type="dxa"/>
        <w:tblLayout w:type="fixed"/>
        <w:tblLook w:val="04A0"/>
      </w:tblPr>
      <w:tblGrid>
        <w:gridCol w:w="1147"/>
        <w:gridCol w:w="2977"/>
        <w:gridCol w:w="3827"/>
        <w:gridCol w:w="709"/>
        <w:gridCol w:w="851"/>
        <w:gridCol w:w="1275"/>
        <w:gridCol w:w="1276"/>
        <w:gridCol w:w="1907"/>
      </w:tblGrid>
      <w:tr w:rsidR="00E44A92" w:rsidRPr="00E44A92" w:rsidTr="00E44A92">
        <w:trPr>
          <w:trHeight w:val="631"/>
        </w:trPr>
        <w:tc>
          <w:tcPr>
            <w:tcW w:w="1396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sz w:val="28"/>
                <w:szCs w:val="28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  <w:lang w:eastAsia="zh-CN" w:bidi="ar-SA"/>
              </w:rPr>
              <w:t xml:space="preserve">玻利维亚 20-25TPD </w:t>
            </w:r>
            <w:proofErr w:type="gramStart"/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  <w:lang w:eastAsia="zh-CN" w:bidi="ar-SA"/>
              </w:rPr>
              <w:t>涂料级</w:t>
            </w:r>
            <w:proofErr w:type="gramEnd"/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sz w:val="28"/>
                <w:szCs w:val="28"/>
                <w:lang w:eastAsia="zh-CN" w:bidi="ar-SA"/>
              </w:rPr>
              <w:t xml:space="preserve"> PCC 生产线设备清单报价表</w:t>
            </w:r>
          </w:p>
        </w:tc>
      </w:tr>
      <w:tr w:rsidR="00E44A92" w:rsidRPr="00E44A92" w:rsidTr="00AF5094">
        <w:trPr>
          <w:trHeight w:val="526"/>
        </w:trPr>
        <w:tc>
          <w:tcPr>
            <w:tcW w:w="1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序号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设备名称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规格参数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单位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数量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单价 (元)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总价 (元)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备注</w:t>
            </w: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1：石灰石煅烧系统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652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立式混料石灰竖窑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日产生石灰 28 吨，高原风机扩容、抗震底座，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窑气</w:t>
            </w:r>
            <w:proofErr w:type="gramEnd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 CO</w:t>
            </w:r>
            <w:r w:rsidRPr="00E44A92">
              <w:rPr>
                <w:rFonts w:ascii="Times New Roman" w:eastAsia="宋体" w:hAnsi="Times New Roman" w:cs="Times New Roman"/>
                <w:color w:val="000000"/>
                <w:lang w:eastAsia="zh-CN" w:bidi="ar-SA"/>
              </w:rPr>
              <w:t>₂</w:t>
            </w: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浓度 28%-33%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870000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870000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原料斗 + 变频定量给料机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不锈钢料仓，煤石自动配比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62500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62500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精准配比控制煅烧品质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0E31F4" w:rsidP="000E31F4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上料小车斜桥卷扬</w:t>
            </w:r>
            <w:r w:rsidR="00E44A92"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耐磨防腐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0E31F4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53000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53000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石灰石入窑输送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窑气净化</w:t>
            </w:r>
            <w:proofErr w:type="gramEnd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洗涤塔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除尘、降温、脱硫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112000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112000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净化 CO</w:t>
            </w:r>
            <w:r w:rsidRPr="00E44A92">
              <w:rPr>
                <w:rFonts w:ascii="Times New Roman" w:eastAsia="宋体" w:hAnsi="Times New Roman" w:cs="Times New Roman"/>
                <w:color w:val="000000"/>
                <w:lang w:eastAsia="zh-CN" w:bidi="ar-SA"/>
              </w:rPr>
              <w:t>₂</w:t>
            </w: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供给碳化工段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高原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定制窑气增压风机</w:t>
            </w:r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功率放大 30%，耐负压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75000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150000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适配高海拔稀薄空气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生石灰冷却出料机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出料温度＜60℃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57700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57700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煅烧工段合计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1,305,200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2：生石灰消化 + 石灰乳精制系统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卧式连续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消化器</w:t>
            </w:r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稳定制备高纯石灰乳（温控自动水灰比）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312340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312340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8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不锈钢陈化搅拌罐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50m³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个</w:t>
            </w:r>
            <w:proofErr w:type="gram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183330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183330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提升白度与粒径</w:t>
            </w: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均匀性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高频除渣振动筛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325 目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46180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46180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去除硅铁铝杂质，保障纯度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防腐渣浆泵 + 全套输送管路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35300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35300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精制乳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输送至碳化工</w:t>
            </w:r>
            <w:proofErr w:type="gramEnd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段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消化精制工段合计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577,150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3：碳化反应系统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不锈钢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碳化塔</w:t>
            </w:r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8E5A32" w:rsidP="008E5A3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φ2.2×12m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217280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651840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8E5A3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精准控制 D50=1</w:t>
            </w:r>
            <w:r w:rsidRPr="00E44A92">
              <w:rPr>
                <w:rFonts w:ascii="宋体" w:eastAsia="宋体" w:hAnsi="宋体" w:cs="宋体"/>
                <w:color w:val="000000"/>
                <w:lang w:eastAsia="zh-CN" w:bidi="ar-SA"/>
              </w:rPr>
              <w:t>～3μm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塔内变频循环搅拌系统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50925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152775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浆料无沉淀，粒径分布窄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碳化中间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储浆罐</w:t>
            </w:r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30m³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个</w:t>
            </w:r>
            <w:proofErr w:type="gram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66540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66540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缓存成品浆料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碳化工段合计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871,155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4：浆料脱水固液分离系统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板框压滤机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100㎡，滤饼水分≤32%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261415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261415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滤饼螺旋打散给料机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28520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28520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防止滤饼结块堵塞干燥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脱水工段合计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289,935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5：干燥系统（成品水分＜0.5%）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旋转闪蒸干燥主机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（配套燃煤炉）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468510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468510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满足残余水分指</w:t>
            </w: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标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17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热风炉 + 尾气除尘换热系统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142590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142590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适配玻利维亚半干旱气候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高原加大功率干燥引风机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65185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65185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高海拔风压专项设计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干燥工段合计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676,285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6：粉磨分级系统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19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HGM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环辊磨主机</w:t>
            </w:r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涂料级</w:t>
            </w:r>
            <w:proofErr w:type="gramEnd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 1-3μm 钙粉专用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516040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516040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20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高精度变频气流分级机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200305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200305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严控粒径区间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防爆脉冲布袋收集除尘器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粉尘回收率 99.9%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123580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123580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粉磨分级工段合计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 xml:space="preserve"> 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839,925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7： 全自动成品包装系统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敞口袋定量包装缝包一体机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30kg/包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168390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168390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 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抗震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成品料仓</w:t>
            </w:r>
            <w:proofErr w:type="gramEnd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 + 输送皮带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50m³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78085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78085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连续缓存包装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包装工段合计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246,475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E44A92">
        <w:trPr>
          <w:trHeight w:val="421"/>
        </w:trPr>
        <w:tc>
          <w:tcPr>
            <w:tcW w:w="7951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工段 8：公用配套 + PLC 自控 + 抗震钢结构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190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 xml:space="preserve">全线 PLC </w:t>
            </w:r>
            <w:proofErr w:type="gramStart"/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中控柜</w:t>
            </w:r>
            <w:proofErr w:type="gramEnd"/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（中西双语界面）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217275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217275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煅烧 - 包装全流程联动自控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全套电缆、桥架、在线监测仪</w:t>
            </w: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表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133000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133000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含高原专用电机</w:t>
            </w: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配件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lastRenderedPageBreak/>
              <w:t>26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循环水、空压机、储罐阀门管路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181000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181000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全线供水供气配套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设备抗震底座、操作平台钢结构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项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231000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231000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color w:val="000000"/>
                <w:lang w:eastAsia="zh-CN" w:bidi="ar-SA"/>
              </w:rPr>
              <w:t>按中等地震等级加强设计</w:t>
            </w:r>
          </w:p>
        </w:tc>
      </w:tr>
      <w:tr w:rsidR="00E44A92" w:rsidRPr="00E44A92" w:rsidTr="00AF5094">
        <w:trPr>
          <w:trHeight w:val="421"/>
        </w:trPr>
        <w:tc>
          <w:tcPr>
            <w:tcW w:w="1147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公用电控配套合计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—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jc w:val="right"/>
              <w:rPr>
                <w:rFonts w:ascii="宋体" w:eastAsia="宋体" w:hAnsi="宋体" w:cs="宋体"/>
                <w:b/>
                <w:bCs/>
                <w:color w:val="000000"/>
                <w:lang w:eastAsia="zh-CN" w:bidi="ar-SA"/>
              </w:rPr>
            </w:pPr>
            <w:r w:rsidRPr="00E44A92">
              <w:rPr>
                <w:rFonts w:ascii="宋体" w:eastAsia="宋体" w:hAnsi="宋体" w:cs="宋体" w:hint="eastAsia"/>
                <w:b/>
                <w:bCs/>
                <w:color w:val="000000"/>
                <w:lang w:eastAsia="zh-CN" w:bidi="ar-SA"/>
              </w:rPr>
              <w:t>762,275</w:t>
            </w:r>
          </w:p>
        </w:tc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E44A92" w:rsidRPr="00E44A92" w:rsidRDefault="00E44A92" w:rsidP="00E44A92">
            <w:pPr>
              <w:spacing w:after="0" w:line="240" w:lineRule="auto"/>
              <w:rPr>
                <w:rFonts w:ascii="宋体" w:eastAsia="宋体" w:hAnsi="宋体" w:cs="宋体"/>
                <w:color w:val="000000"/>
                <w:lang w:eastAsia="zh-CN" w:bidi="ar-SA"/>
              </w:rPr>
            </w:pPr>
          </w:p>
        </w:tc>
      </w:tr>
    </w:tbl>
    <w:p w:rsidR="00EF3B71" w:rsidRPr="00EF3B71" w:rsidRDefault="00EF3B71" w:rsidP="00EF3B71">
      <w:pPr>
        <w:spacing w:line="301" w:lineRule="atLeast"/>
        <w:outlineLvl w:val="1"/>
        <w:rPr>
          <w:rFonts w:asciiTheme="minorEastAsia" w:hAnsiTheme="minorEastAsia" w:cs="Arial"/>
          <w:b/>
          <w:color w:val="000000"/>
          <w:sz w:val="24"/>
          <w:szCs w:val="24"/>
          <w:lang w:eastAsia="zh-CN"/>
        </w:rPr>
      </w:pPr>
    </w:p>
    <w:sectPr w:rsidR="00EF3B71" w:rsidRPr="00EF3B71" w:rsidSect="00E44A92">
      <w:footerReference w:type="default" r:id="rId7"/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7DAA" w:rsidRDefault="00457DAA" w:rsidP="00E44A92">
      <w:pPr>
        <w:spacing w:after="0" w:line="240" w:lineRule="auto"/>
      </w:pPr>
      <w:r>
        <w:separator/>
      </w:r>
    </w:p>
  </w:endnote>
  <w:endnote w:type="continuationSeparator" w:id="0">
    <w:p w:rsidR="00457DAA" w:rsidRDefault="00457DAA" w:rsidP="00E44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304126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E44A92" w:rsidRDefault="00E44A92">
            <w:pPr>
              <w:pStyle w:val="af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00AD2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00AD2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E44A92" w:rsidRDefault="00E44A92">
    <w:pPr>
      <w:pStyle w:val="af2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7DAA" w:rsidRDefault="00457DAA" w:rsidP="00E44A92">
      <w:pPr>
        <w:spacing w:after="0" w:line="240" w:lineRule="auto"/>
      </w:pPr>
      <w:r>
        <w:separator/>
      </w:r>
    </w:p>
  </w:footnote>
  <w:footnote w:type="continuationSeparator" w:id="0">
    <w:p w:rsidR="00457DAA" w:rsidRDefault="00457DAA" w:rsidP="00E44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684F4F"/>
    <w:multiLevelType w:val="multilevel"/>
    <w:tmpl w:val="3FA0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3B71"/>
    <w:rsid w:val="00091BE6"/>
    <w:rsid w:val="000E31F4"/>
    <w:rsid w:val="00104C06"/>
    <w:rsid w:val="00400AD2"/>
    <w:rsid w:val="00457DAA"/>
    <w:rsid w:val="008E5A32"/>
    <w:rsid w:val="00AC0868"/>
    <w:rsid w:val="00AF5094"/>
    <w:rsid w:val="00D45184"/>
    <w:rsid w:val="00D85775"/>
    <w:rsid w:val="00E44A92"/>
    <w:rsid w:val="00EF0FBF"/>
    <w:rsid w:val="00EF3B71"/>
    <w:rsid w:val="00F66E8F"/>
    <w:rsid w:val="00FB7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3B71"/>
  </w:style>
  <w:style w:type="paragraph" w:styleId="1">
    <w:name w:val="heading 1"/>
    <w:basedOn w:val="a"/>
    <w:next w:val="a"/>
    <w:link w:val="1Char"/>
    <w:uiPriority w:val="9"/>
    <w:qFormat/>
    <w:rsid w:val="00EF3B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F3B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3B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3B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3B7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3B7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3B7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3B7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3B7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EF3B7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EF3B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3">
    <w:name w:val="Strong"/>
    <w:basedOn w:val="a0"/>
    <w:uiPriority w:val="22"/>
    <w:qFormat/>
    <w:rsid w:val="00EF3B71"/>
    <w:rPr>
      <w:b/>
      <w:bCs/>
    </w:rPr>
  </w:style>
  <w:style w:type="character" w:customStyle="1" w:styleId="3Char">
    <w:name w:val="标题 3 Char"/>
    <w:basedOn w:val="a0"/>
    <w:link w:val="3"/>
    <w:uiPriority w:val="9"/>
    <w:rsid w:val="00EF3B7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标题 4 Char"/>
    <w:basedOn w:val="a0"/>
    <w:link w:val="4"/>
    <w:uiPriority w:val="9"/>
    <w:rsid w:val="00EF3B7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0"/>
    <w:link w:val="5"/>
    <w:uiPriority w:val="9"/>
    <w:rsid w:val="00EF3B7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0"/>
    <w:link w:val="6"/>
    <w:uiPriority w:val="9"/>
    <w:rsid w:val="00EF3B7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0"/>
    <w:link w:val="7"/>
    <w:uiPriority w:val="9"/>
    <w:rsid w:val="00EF3B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0"/>
    <w:link w:val="8"/>
    <w:uiPriority w:val="9"/>
    <w:rsid w:val="00EF3B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0"/>
    <w:link w:val="9"/>
    <w:uiPriority w:val="9"/>
    <w:rsid w:val="00EF3B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EF3B7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5">
    <w:name w:val="Title"/>
    <w:basedOn w:val="a"/>
    <w:next w:val="a"/>
    <w:link w:val="Char"/>
    <w:uiPriority w:val="10"/>
    <w:qFormat/>
    <w:rsid w:val="00EF3B7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标题 Char"/>
    <w:basedOn w:val="a0"/>
    <w:link w:val="a5"/>
    <w:uiPriority w:val="10"/>
    <w:rsid w:val="00EF3B7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Char0"/>
    <w:uiPriority w:val="11"/>
    <w:qFormat/>
    <w:rsid w:val="00EF3B7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副标题 Char"/>
    <w:basedOn w:val="a0"/>
    <w:link w:val="a6"/>
    <w:uiPriority w:val="11"/>
    <w:rsid w:val="00EF3B7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Emphasis"/>
    <w:basedOn w:val="a0"/>
    <w:uiPriority w:val="20"/>
    <w:qFormat/>
    <w:rsid w:val="00EF3B71"/>
    <w:rPr>
      <w:i/>
      <w:iCs/>
    </w:rPr>
  </w:style>
  <w:style w:type="paragraph" w:styleId="a8">
    <w:name w:val="No Spacing"/>
    <w:uiPriority w:val="1"/>
    <w:qFormat/>
    <w:rsid w:val="00EF3B71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EF3B71"/>
    <w:pPr>
      <w:ind w:left="720"/>
      <w:contextualSpacing/>
    </w:pPr>
  </w:style>
  <w:style w:type="paragraph" w:styleId="aa">
    <w:name w:val="Quote"/>
    <w:basedOn w:val="a"/>
    <w:next w:val="a"/>
    <w:link w:val="Char1"/>
    <w:uiPriority w:val="29"/>
    <w:qFormat/>
    <w:rsid w:val="00EF3B71"/>
    <w:rPr>
      <w:i/>
      <w:iCs/>
      <w:color w:val="000000" w:themeColor="text1"/>
    </w:rPr>
  </w:style>
  <w:style w:type="character" w:customStyle="1" w:styleId="Char1">
    <w:name w:val="引用 Char"/>
    <w:basedOn w:val="a0"/>
    <w:link w:val="aa"/>
    <w:uiPriority w:val="29"/>
    <w:rsid w:val="00EF3B71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EF3B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明显引用 Char"/>
    <w:basedOn w:val="a0"/>
    <w:link w:val="ab"/>
    <w:uiPriority w:val="30"/>
    <w:rsid w:val="00EF3B71"/>
    <w:rPr>
      <w:b/>
      <w:bCs/>
      <w:i/>
      <w:iCs/>
      <w:color w:val="4F81BD" w:themeColor="accent1"/>
    </w:rPr>
  </w:style>
  <w:style w:type="character" w:styleId="ac">
    <w:name w:val="Subtle Emphasis"/>
    <w:basedOn w:val="a0"/>
    <w:uiPriority w:val="19"/>
    <w:qFormat/>
    <w:rsid w:val="00EF3B71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EF3B71"/>
    <w:rPr>
      <w:b/>
      <w:bCs/>
      <w:i/>
      <w:iCs/>
      <w:color w:val="4F81BD" w:themeColor="accent1"/>
    </w:rPr>
  </w:style>
  <w:style w:type="character" w:styleId="ae">
    <w:name w:val="Subtle Reference"/>
    <w:basedOn w:val="a0"/>
    <w:uiPriority w:val="31"/>
    <w:qFormat/>
    <w:rsid w:val="00EF3B71"/>
    <w:rPr>
      <w:smallCaps/>
      <w:color w:val="C0504D" w:themeColor="accent2"/>
      <w:u w:val="single"/>
    </w:rPr>
  </w:style>
  <w:style w:type="character" w:styleId="af">
    <w:name w:val="Intense Reference"/>
    <w:basedOn w:val="a0"/>
    <w:uiPriority w:val="32"/>
    <w:qFormat/>
    <w:rsid w:val="00EF3B71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EF3B71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EF3B71"/>
    <w:pPr>
      <w:outlineLvl w:val="9"/>
    </w:pPr>
  </w:style>
  <w:style w:type="character" w:customStyle="1" w:styleId="font01">
    <w:name w:val="font01"/>
    <w:basedOn w:val="a0"/>
    <w:rsid w:val="00E44A92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af1">
    <w:name w:val="header"/>
    <w:basedOn w:val="a"/>
    <w:link w:val="Char3"/>
    <w:uiPriority w:val="99"/>
    <w:semiHidden/>
    <w:unhideWhenUsed/>
    <w:rsid w:val="00E44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f1"/>
    <w:uiPriority w:val="99"/>
    <w:semiHidden/>
    <w:rsid w:val="00E44A92"/>
    <w:rPr>
      <w:sz w:val="18"/>
      <w:szCs w:val="18"/>
    </w:rPr>
  </w:style>
  <w:style w:type="paragraph" w:styleId="af2">
    <w:name w:val="footer"/>
    <w:basedOn w:val="a"/>
    <w:link w:val="Char4"/>
    <w:uiPriority w:val="99"/>
    <w:unhideWhenUsed/>
    <w:rsid w:val="00E44A9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f2"/>
    <w:uiPriority w:val="99"/>
    <w:rsid w:val="00E44A9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3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328</Words>
  <Characters>1871</Characters>
  <Application>Microsoft Office Word</Application>
  <DocSecurity>0</DocSecurity>
  <Lines>15</Lines>
  <Paragraphs>4</Paragraphs>
  <ScaleCrop>false</ScaleCrop>
  <Company>Win10</Company>
  <LinksUpToDate>false</LinksUpToDate>
  <CharactersWithSpaces>2195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11</cp:revision>
  <dcterms:created xsi:type="dcterms:W3CDTF">2026-08-06T01:45:00Z</dcterms:created>
  <dcterms:modified xsi:type="dcterms:W3CDTF">2026-08-06T07:59:00Z</dcterms:modified>
</cp:coreProperties>
</file>