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EC4A1D">
      <w:pPr>
        <w:pStyle w:val="11"/>
      </w:pPr>
      <w:r>
        <w:rPr>
          <w:color w:val="FFFFFF"/>
          <w:spacing w:val="-4"/>
        </w:rPr>
        <w:t>2026</w:t>
      </w:r>
    </w:p>
    <w:p w14:paraId="573DFC25">
      <w:pPr>
        <w:pStyle w:val="5"/>
        <w:spacing w:before="397"/>
        <w:rPr>
          <w:rFonts w:ascii="Gadugi"/>
          <w:b/>
          <w:sz w:val="72"/>
        </w:rPr>
      </w:pPr>
    </w:p>
    <w:p w14:paraId="4964E5ED">
      <w:pPr>
        <w:spacing w:before="0" w:line="1129" w:lineRule="atLeast"/>
        <w:ind w:left="0" w:right="109" w:firstLine="0"/>
        <w:jc w:val="right"/>
        <w:rPr>
          <w:rFonts w:ascii="Microsoft JhengHei UI" w:eastAsia="Microsoft JhengHei UI"/>
          <w:b/>
          <w:sz w:val="72"/>
        </w:rPr>
      </w:pPr>
      <w:r>
        <w:rPr>
          <w:rFonts w:ascii="Microsoft JhengHei UI" w:eastAsia="Microsoft JhengHei UI"/>
          <w:b/>
          <w:color w:val="528135"/>
          <w:sz w:val="72"/>
        </w:rPr>
        <w:t>Pyrolysis</w:t>
      </w:r>
      <w:r>
        <w:rPr>
          <w:rFonts w:ascii="Microsoft JhengHei UI" w:eastAsia="Microsoft JhengHei UI"/>
          <w:b/>
          <w:color w:val="528135"/>
          <w:sz w:val="72"/>
        </w:rPr>
        <w:t xml:space="preserve"> Gasification Treatment of 5 Tons of High-Calorific-Value Waste</w:t>
      </w:r>
    </w:p>
    <w:p w14:paraId="7F602EBD">
      <w:pPr>
        <w:spacing w:before="0" w:line="1129" w:lineRule="atLeast"/>
        <w:ind w:left="0" w:right="107" w:firstLine="0"/>
        <w:jc w:val="right"/>
        <w:rPr>
          <w:rFonts w:ascii="Microsoft JhengHei UI" w:eastAsia="Microsoft JhengHei UI"/>
          <w:b/>
          <w:sz w:val="72"/>
        </w:rPr>
      </w:pPr>
      <w:r>
        <w:rPr>
          <w:rFonts w:ascii="Microsoft JhengHei UI" w:eastAsia="Microsoft JhengHei UI"/>
          <w:b/>
          <w:color w:val="528135"/>
          <w:sz w:val="72"/>
        </w:rPr>
        <w:t>Project Proposal</w:t>
      </w:r>
    </w:p>
    <w:p w14:paraId="723C622C">
      <w:pPr>
        <w:pStyle w:val="5"/>
        <w:rPr>
          <w:rFonts w:ascii="Microsoft JhengHei UI"/>
          <w:b/>
          <w:sz w:val="48"/>
        </w:rPr>
      </w:pPr>
    </w:p>
    <w:p w14:paraId="70904664">
      <w:pPr>
        <w:pStyle w:val="5"/>
        <w:rPr>
          <w:rFonts w:ascii="Microsoft JhengHei UI"/>
          <w:b/>
          <w:sz w:val="48"/>
        </w:rPr>
      </w:pPr>
    </w:p>
    <w:p w14:paraId="05353FD4">
      <w:pPr>
        <w:pStyle w:val="5"/>
        <w:rPr>
          <w:rFonts w:ascii="Microsoft JhengHei UI"/>
          <w:b/>
          <w:sz w:val="48"/>
        </w:rPr>
      </w:pPr>
    </w:p>
    <w:p w14:paraId="4A53BBC5">
      <w:pPr>
        <w:pStyle w:val="5"/>
        <w:rPr>
          <w:rFonts w:ascii="Microsoft JhengHei UI"/>
          <w:b/>
          <w:sz w:val="48"/>
        </w:rPr>
      </w:pPr>
    </w:p>
    <w:p w14:paraId="58E2F451">
      <w:pPr>
        <w:pStyle w:val="5"/>
        <w:rPr>
          <w:rFonts w:ascii="Microsoft JhengHei UI"/>
          <w:b/>
          <w:sz w:val="48"/>
        </w:rPr>
      </w:pPr>
    </w:p>
    <w:p w14:paraId="5529A14B">
      <w:pPr>
        <w:pStyle w:val="5"/>
        <w:rPr>
          <w:rFonts w:ascii="Microsoft JhengHei UI"/>
          <w:b/>
          <w:sz w:val="48"/>
        </w:rPr>
      </w:pPr>
    </w:p>
    <w:p w14:paraId="2A1E8D4A">
      <w:pPr>
        <w:pStyle w:val="5"/>
        <w:spacing w:before="510"/>
        <w:rPr>
          <w:rFonts w:ascii="Microsoft JhengHei UI"/>
          <w:b/>
          <w:sz w:val="48"/>
        </w:rPr>
      </w:pPr>
    </w:p>
    <w:p w14:paraId="081DC8BD">
      <w:pPr>
        <w:spacing w:after="0" w:line="302" w:lineRule="auto"/>
        <w:jc w:val="left"/>
        <w:rPr>
          <w:rFonts w:ascii="Microsoft JhengHei"/>
          <w:b/>
          <w:sz w:val="28"/>
        </w:rPr>
        <w:sectPr>
          <w:type w:val="continuous"/>
          <w:pgSz w:w="11910" w:h="16840"/>
          <w:pgMar w:top="880" w:right="283" w:bottom="280" w:left="850" w:header="720" w:footer="720" w:gutter="0"/>
          <w:cols w:space="720" w:num="1"/>
        </w:sectPr>
      </w:pPr>
    </w:p>
    <w:p w14:paraId="26B3280F">
      <w:pPr>
        <w:spacing w:before="1045"/>
        <w:ind w:left="1000" w:right="0" w:firstLine="0"/>
        <w:jc w:val="left"/>
        <w:rPr>
          <w:rFonts w:ascii="微软雅黑" w:eastAsia="微软雅黑"/>
          <w:b/>
          <w:spacing w:val="-1"/>
          <w:sz w:val="60"/>
        </w:rPr>
      </w:pPr>
      <w:r>
        <w:rPr>
          <w:rFonts w:ascii="微软雅黑" w:eastAsia="微软雅黑"/>
          <w:b/>
          <w:spacing w:val="-1"/>
          <w:sz w:val="60"/>
        </w:rPr>
        <w:br w:type="textWrapping"/>
      </w:r>
    </w:p>
    <w:p w14:paraId="55DCD221">
      <w:pPr>
        <w:spacing w:before="1045"/>
        <w:ind w:left="1000" w:right="0" w:firstLine="0"/>
        <w:jc w:val="left"/>
        <w:rPr>
          <w:rFonts w:ascii="微软雅黑" w:eastAsia="微软雅黑"/>
          <w:b/>
          <w:sz w:val="60"/>
        </w:rPr>
      </w:pPr>
      <w:r>
        <w:rPr>
          <w:rFonts w:ascii="微软雅黑" w:eastAsia="微软雅黑"/>
          <w:b/>
          <w:sz w:val="60"/>
        </w:rPr>
        <w:t>Harmless Technical Treatment of High-Calorific-Value Waste in Bangladesh</w:t>
      </w:r>
    </w:p>
    <w:p w14:paraId="580BF658">
      <w:pPr>
        <w:pStyle w:val="2"/>
        <w:spacing w:before="470"/>
        <w:ind w:left="926" w:right="613"/>
      </w:pPr>
      <w:r>
        <w:t>(5</w:t>
      </w:r>
      <w:r>
        <w:rPr>
          <w:rFonts w:ascii="MS PGothic" w:eastAsia="MS PGothic"/>
        </w:rPr>
        <w:t xml:space="preserve"> t</w:t>
      </w:r>
      <w:r>
        <w:rPr>
          <w:rFonts w:ascii="MS PGothic" w:eastAsia="MS PGothic"/>
          <w:spacing w:val="-32"/>
        </w:rPr>
        <w:t/>
      </w:r>
      <w:r>
        <w:t>on</w:t>
      </w:r>
      <w:r>
        <w:rPr>
          <w:rFonts w:ascii="Times New Roman" w:eastAsia="Times New Roman"/>
          <w:b/>
        </w:rPr>
        <w:t>s/</w:t>
      </w:r>
      <w:r>
        <w:t>da</w:t>
      </w:r>
      <w:r>
        <w:rPr/>
        <w:t>y)</w:t>
      </w:r>
    </w:p>
    <w:p w14:paraId="2519892E">
      <w:pPr>
        <w:spacing w:before="330" w:line="177" w:lineRule="auto"/>
        <w:ind w:firstLine="0"/>
        <w:jc w:val="both"/>
        <w:rPr>
          <w:rFonts w:ascii="Microsoft JhengHei" w:eastAsia="Microsoft JhengHei"/>
          <w:b/>
          <w:sz w:val="72"/>
        </w:rPr>
      </w:pPr>
      <w:r>
        <w:rPr>
          <w:rFonts w:ascii="Microsoft JhengHei" w:eastAsia="Microsoft JhengHei"/>
          <w:b/>
          <w:sz w:val="72"/>
        </w:rPr>
        <w:t>Design Proposal</w:t>
      </w:r>
    </w:p>
    <w:p w14:paraId="1F10280A">
      <w:pPr>
        <w:pStyle w:val="5"/>
        <w:spacing w:before="67"/>
        <w:rPr>
          <w:sz w:val="20"/>
        </w:rPr>
        <w:sectPr>
          <w:pgSz w:w="11910" w:h="16840"/>
          <w:pgMar w:top="180" w:right="283" w:bottom="280" w:left="850" w:header="720" w:footer="720" w:gutter="0"/>
          <w:cols w:space="720" w:num="1"/>
        </w:sectPr>
      </w:pPr>
    </w:p>
    <w:p w14:paraId="661CBE44">
      <w:pPr>
        <w:spacing w:before="154"/>
        <w:ind w:right="613"/>
        <w:jc w:val="center"/>
        <w:rPr>
          <w:rFonts w:ascii="微软雅黑" w:eastAsia="微软雅黑"/>
          <w:b/>
          <w:sz w:val="36"/>
        </w:rPr>
      </w:pPr>
      <w:r>
        <w:rPr>
          <w:rFonts w:ascii="微软雅黑" w:eastAsia="微软雅黑"/>
          <w:b/>
          <w:sz w:val="36"/>
        </w:rPr>
        <w:t>Table of Contents</w:t>
      </w:r>
    </w:p>
    <w:p w14:paraId="6FF85A9B">
      <w:pPr>
        <w:spacing w:after="0"/>
        <w:jc w:val="center"/>
        <w:rPr>
          <w:rFonts w:ascii="微软雅黑" w:eastAsia="微软雅黑"/>
          <w:b/>
          <w:sz w:val="36"/>
        </w:rPr>
        <w:sectPr>
          <w:headerReference r:id="rId5" w:type="default"/>
          <w:pgSz w:w="11910" w:h="16840"/>
          <w:pgMar w:top="1400" w:right="283" w:bottom="1638" w:left="850" w:header="761" w:footer="0" w:gutter="0"/>
          <w:cols w:space="720" w:num="1"/>
        </w:sectPr>
      </w:pPr>
    </w:p>
    <w:sdt>
      <w:sdtPr>
        <w:id w:val="147475843"/>
        <w:docPartObj>
          <w:docPartGallery w:val="Table of Contents"/>
          <w:docPartUnique/>
        </w:docPartObj>
      </w:sdtPr>
      <w:sdtContent>
        <w:p w14:paraId="026CB97C">
          <w:pPr>
            <w:pStyle w:val="9"/>
            <w:tabs>
              <w:tab w:val="right" w:leader="dot" w:pos="9913"/>
            </w:tabs>
            <w:spacing w:before="169"/>
            <w:ind w:left="1048"/>
            <w:rPr>
              <w:rFonts w:ascii="Times New Roman" w:eastAsia="Times New Roman"/>
            </w:rPr>
          </w:pPr>
          <w:r>
            <w:fldChar w:fldCharType="begin"/>
          </w:r>
          <w:r>
            <w:instrText xml:space="preserve"> HYPERLINK \l "_bookmark0" </w:instrText>
          </w:r>
          <w:r>
            <w:fldChar w:fldCharType="separate"/>
          </w:r>
          <w:r>
            <w:t>Chapter 1</w:t>
          </w:r>
          <w:r>
            <w:rPr>
              <w:spacing w:val="-1"/>
            </w:rPr>
            <w:t/>
          </w:r>
          <w:r>
            <w:t xml:space="preserve"> Project</w:t>
          </w:r>
          <w:r>
            <w:rPr/>
            <w:t xml:space="preserve"> Overview</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14:paraId="5E4F9334">
          <w:pPr>
            <w:pStyle w:val="9"/>
            <w:tabs>
              <w:tab w:val="right" w:leader="dot" w:pos="9913"/>
            </w:tabs>
            <w:spacing w:before="213"/>
            <w:rPr>
              <w:rFonts w:ascii="Times New Roman" w:eastAsia="Times New Roman"/>
            </w:rPr>
          </w:pPr>
          <w:r>
            <w:fldChar w:fldCharType="begin"/>
          </w:r>
          <w:r>
            <w:instrText xml:space="preserve"> HYPERLINK \l "_bookmark1" </w:instrText>
          </w:r>
          <w:r>
            <w:fldChar w:fldCharType="separate"/>
          </w:r>
          <w:r>
            <w:t>Chapter 2</w:t>
          </w:r>
          <w:r>
            <w:rPr>
              <w:spacing w:val="-1"/>
            </w:rPr>
            <w:t/>
          </w:r>
          <w:r>
            <w:t xml:space="preserve"> Process and Technical</w:t>
          </w:r>
          <w:r>
            <w:rPr/>
            <w:t xml:space="preserve"> Scheme</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14:paraId="58B2E601">
          <w:pPr>
            <w:pStyle w:val="10"/>
            <w:numPr>
              <w:ilvl w:val="1"/>
              <w:numId w:val="1"/>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"_bookmark2" </w:instrText>
          </w:r>
          <w:r>
            <w:fldChar w:fldCharType="separate"/>
          </w:r>
          <w:r>
            <w:t>Determination of the Waste Treatment</w:t>
          </w:r>
          <w:r>
            <w:rPr/>
            <w:t xml:space="preserve"> Technology</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14:paraId="4025DF4C">
          <w:pPr>
            <w:pStyle w:val="10"/>
            <w:numPr>
              <w:ilvl w:val="1"/>
              <w:numId w:val="1"/>
            </w:numPr>
            <w:tabs>
              <w:tab w:val="left" w:pos="1886"/>
              <w:t/>
              <w:tab w:val="right" w:leader="dot" w:pos="9913"/>
            </w:tabs>
            <w:spacing w:before="213" w:after="0" w:line="240" w:lineRule="auto"/>
            <w:ind w:left="1886" w:right="0" w:hanging="360"/>
            <w:jc w:val="left"/>
            <w:rPr>
              <w:rFonts w:ascii="Times New Roman" w:eastAsia="Times New Roman"/>
            </w:rPr>
          </w:pPr>
          <w:r>
            <w:fldChar w:fldCharType="begin"/>
          </w:r>
          <w:r>
            <w:instrText xml:space="preserve"> HYPERLINK \l "_bookmark3" </w:instrText>
          </w:r>
          <w:r>
            <w:fldChar w:fldCharType="separate"/>
          </w:r>
          <w:r>
            <w:t>Process Scheme and</w:t>
          </w:r>
          <w:r>
            <w:rPr/>
            <w:t xml:space="preserve"> Flow</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14:paraId="4859415B">
          <w:pPr>
            <w:pStyle w:val="10"/>
            <w:numPr>
              <w:ilvl w:val="2"/>
              <w:numId w:val="1"/>
            </w:numPr>
            <w:tabs>
              <w:tab w:val="left" w:pos="2066"/>
              <w:t/>
              <w:tab w:val="right" w:leader="dot" w:pos="9913"/>
            </w:tabs>
            <w:spacing w:before="214" w:after="0" w:line="240" w:lineRule="auto"/>
            <w:ind w:left="2066" w:right="0" w:hanging="540"/>
            <w:jc w:val="left"/>
            <w:rPr>
              <w:rFonts w:ascii="Times New Roman" w:eastAsia="Times New Roman"/>
            </w:rPr>
          </w:pPr>
          <w:r>
            <w:fldChar w:fldCharType="begin"/>
          </w:r>
          <w:r>
            <w:instrText xml:space="preserve"> HYPERLINK \l "_bookmark4" </w:instrText>
          </w:r>
          <w:r>
            <w:fldChar w:fldCharType="separate"/>
          </w:r>
          <w:r>
            <w:t>Waste Receiving</w:t>
          </w:r>
          <w:r>
            <w:rPr/>
            <w:t xml:space="preserve"> System</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14:paraId="400433AA">
          <w:pPr>
            <w:pStyle w:val="10"/>
            <w:numPr>
              <w:ilvl w:val="2"/>
              <w:numId w:val="1"/>
            </w:numPr>
            <w:tabs>
              <w:tab w:val="left" w:pos="2066"/>
              <w:t/>
              <w:tab w:val="right" w:leader="dot" w:pos="9913"/>
            </w:tabs>
            <w:spacing w:before="211" w:after="0" w:line="240" w:lineRule="auto"/>
            <w:ind w:left="2066" w:right="0" w:hanging="540"/>
            <w:jc w:val="left"/>
            <w:rPr>
              <w:rFonts w:ascii="Times New Roman" w:eastAsia="Times New Roman"/>
            </w:rPr>
          </w:pPr>
          <w:r>
            <w:fldChar w:fldCharType="begin"/>
          </w:r>
          <w:r>
            <w:instrText xml:space="preserve"> HYPERLINK \l "_bookmark5" </w:instrText>
          </w:r>
          <w:r>
            <w:fldChar w:fldCharType="separate"/>
          </w:r>
          <w:r>
            <w:t>Plant Deodorization</w:t>
          </w:r>
          <w:r>
            <w:rPr/>
            <w:t xml:space="preserve"> System</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14:paraId="7C42854A">
          <w:pPr>
            <w:pStyle w:val="10"/>
            <w:numPr>
              <w:ilvl w:val="2"/>
              <w:numId w:val="1"/>
            </w:numPr>
            <w:tabs>
              <w:tab w:val="left" w:pos="2066"/>
              <w:t/>
              <w:tab w:val="right" w:leader="dot" w:pos="9913"/>
            </w:tabs>
            <w:spacing w:before="214" w:after="0" w:line="240" w:lineRule="auto"/>
            <w:ind w:left="2066" w:right="0" w:hanging="540"/>
            <w:jc w:val="left"/>
            <w:rPr>
              <w:rFonts w:ascii="Times New Roman" w:eastAsia="Times New Roman"/>
            </w:rPr>
          </w:pPr>
          <w:r>
            <w:fldChar w:fldCharType="begin"/>
          </w:r>
          <w:r>
            <w:instrText xml:space="preserve"> HYPERLINK \l "_bookmark6" </w:instrText>
          </w:r>
          <w:r>
            <w:fldChar w:fldCharType="separate"/>
          </w:r>
          <w:r>
            <w:t>Feeding and Conveying</w:t>
          </w:r>
          <w:r>
            <w:rPr/>
            <w:t xml:space="preserve"> System</w:t>
          </w:r>
          <w:r>
            <w:rPr>
              <w:rFonts w:ascii="Times New Roman" w:eastAsia="Times New Roman"/>
            </w:rPr>
            <w:tab/>
          </w:r>
          <w:r>
            <w:rPr>
              <w:rFonts w:ascii="Times New Roman" w:eastAsia="Times New Roman"/>
              <w:spacing w:val="-10"/>
            </w:rPr>
            <w:t>3</w:t>
          </w:r>
          <w:r>
            <w:rPr>
              <w:rFonts w:ascii="Times New Roman" w:eastAsia="Times New Roman"/>
              <w:spacing w:val="-10"/>
            </w:rPr>
            <w:fldChar w:fldCharType="end"/>
          </w:r>
        </w:p>
        <w:p w14:paraId="774A5195">
          <w:pPr>
            <w:pStyle w:val="10"/>
            <w:numPr>
              <w:ilvl w:val="2"/>
              <w:numId w:val="1"/>
            </w:numPr>
            <w:tabs>
              <w:tab w:val="left" w:pos="2066"/>
              <w:t/>
              <w:tab w:val="right" w:leader="dot" w:pos="9913"/>
            </w:tabs>
            <w:spacing w:before="213" w:after="0" w:line="240" w:lineRule="auto"/>
            <w:ind w:left="2066" w:right="0" w:hanging="540"/>
            <w:jc w:val="left"/>
            <w:rPr>
              <w:rFonts w:ascii="Times New Roman" w:eastAsia="Times New Roman"/>
            </w:rPr>
          </w:pPr>
          <w:r>
            <w:fldChar w:fldCharType="begin"/>
          </w:r>
          <w:r>
            <w:instrText xml:space="preserve"> HYPERLINK \l "_bookmark7" </w:instrText>
          </w:r>
          <w:r>
            <w:fldChar w:fldCharType="separate"/>
          </w:r>
          <w:r>
            <w:t>High-Temperature Pyrolysis Gasification</w:t>
          </w:r>
          <w:r>
            <w:rPr/>
            <w:t xml:space="preserve"> System</w:t>
          </w:r>
          <w:r>
            <w:rPr>
              <w:rFonts w:ascii="Times New Roman" w:eastAsia="Times New Roman"/>
            </w:rPr>
            <w:tab/>
          </w:r>
          <w:r>
            <w:rPr>
              <w:rFonts w:ascii="Times New Roman" w:eastAsia="Times New Roman"/>
              <w:spacing w:val="-10"/>
            </w:rPr>
            <w:t>4</w:t>
          </w:r>
          <w:r>
            <w:rPr>
              <w:rFonts w:ascii="Times New Roman" w:eastAsia="Times New Roman"/>
              <w:spacing w:val="-10"/>
            </w:rPr>
            <w:fldChar w:fldCharType="end"/>
          </w:r>
        </w:p>
        <w:p w14:paraId="2FA6A611">
          <w:pPr>
            <w:pStyle w:val="10"/>
            <w:numPr>
              <w:ilvl w:val="2"/>
              <w:numId w:val="1"/>
            </w:numPr>
            <w:tabs>
              <w:tab w:val="left" w:pos="2066"/>
              <w:t/>
              <w:tab w:val="right" w:leader="dot" w:pos="9913"/>
            </w:tabs>
            <w:spacing w:before="211" w:after="0" w:line="240" w:lineRule="auto"/>
            <w:ind w:left="2066" w:right="0" w:hanging="540"/>
            <w:jc w:val="left"/>
            <w:rPr>
              <w:rFonts w:ascii="Times New Roman" w:eastAsia="Times New Roman"/>
            </w:rPr>
          </w:pPr>
          <w:r>
            <w:fldChar w:fldCharType="begin"/>
          </w:r>
          <w:r>
            <w:instrText xml:space="preserve"> HYPERLINK \l "_bookmark8" </w:instrText>
          </w:r>
          <w:r>
            <w:fldChar w:fldCharType="separate"/>
          </w:r>
          <w:r>
            <w:t>Waste Heat Recovery</w:t>
          </w:r>
          <w:r>
            <w:rPr/>
            <w:t xml:space="preserve"> System</w:t>
          </w:r>
          <w:r>
            <w:rPr>
              <w:rFonts w:ascii="Times New Roman" w:eastAsia="Times New Roman"/>
            </w:rPr>
            <w:tab/>
          </w:r>
          <w:r>
            <w:rPr>
              <w:rFonts w:ascii="Times New Roman" w:eastAsia="Times New Roman"/>
              <w:spacing w:val="-10"/>
            </w:rPr>
            <w:t>6</w:t>
          </w:r>
          <w:r>
            <w:rPr>
              <w:rFonts w:ascii="Times New Roman" w:eastAsia="Times New Roman"/>
              <w:spacing w:val="-10"/>
            </w:rPr>
            <w:fldChar w:fldCharType="end"/>
          </w:r>
        </w:p>
        <w:p w14:paraId="7EFD0089">
          <w:pPr>
            <w:pStyle w:val="10"/>
            <w:numPr>
              <w:ilvl w:val="2"/>
              <w:numId w:val="1"/>
            </w:numPr>
            <w:tabs>
              <w:tab w:val="left" w:pos="2126"/>
              <w:t/>
              <w:tab w:val="right" w:leader="dot" w:pos="9913"/>
            </w:tabs>
            <w:spacing w:before="213" w:after="0" w:line="240" w:lineRule="auto"/>
            <w:ind w:left="2126" w:right="0" w:hanging="600"/>
            <w:jc w:val="left"/>
            <w:rPr>
              <w:rFonts w:ascii="Times New Roman" w:eastAsia="Times New Roman"/>
            </w:rPr>
          </w:pPr>
          <w:r>
            <w:fldChar w:fldCharType="begin"/>
          </w:r>
          <w:r>
            <w:instrText xml:space="preserve"> HYPERLINK \l "_bookmark9" </w:instrText>
          </w:r>
          <w:r>
            <w:fldChar w:fldCharType="separate"/>
          </w:r>
          <w:r>
            <w:t>Flue Gas Purification</w:t>
          </w:r>
          <w:r>
            <w:rPr/>
            <w:t xml:space="preserve"> System</w:t>
          </w:r>
          <w:r>
            <w:rPr>
              <w:rFonts w:ascii="Times New Roman" w:eastAsia="Times New Roman"/>
            </w:rPr>
            <w:tab/>
          </w:r>
          <w:r>
            <w:rPr>
              <w:rFonts w:ascii="Times New Roman" w:eastAsia="Times New Roman"/>
              <w:spacing w:val="-10"/>
            </w:rPr>
            <w:t>7</w:t>
          </w:r>
          <w:r>
            <w:rPr>
              <w:rFonts w:ascii="Times New Roman" w:eastAsia="Times New Roman"/>
              <w:spacing w:val="-10"/>
            </w:rPr>
            <w:fldChar w:fldCharType="end"/>
          </w:r>
        </w:p>
        <w:p w14:paraId="1E9421C4">
          <w:pPr>
            <w:pStyle w:val="10"/>
            <w:numPr>
              <w:ilvl w:val="2"/>
              <w:numId w:val="1"/>
            </w:numPr>
            <w:tabs>
              <w:tab w:val="left" w:pos="2066"/>
              <w:t/>
              <w:tab w:val="right" w:leader="dot" w:pos="9913"/>
            </w:tabs>
            <w:spacing w:before="214" w:after="0" w:line="240" w:lineRule="auto"/>
            <w:ind w:left="2066" w:right="0" w:hanging="540"/>
            <w:jc w:val="left"/>
            <w:rPr>
              <w:rFonts w:ascii="Times New Roman" w:eastAsia="Times New Roman"/>
            </w:rPr>
          </w:pPr>
          <w:r>
            <w:fldChar w:fldCharType="begin"/>
          </w:r>
          <w:r>
            <w:instrText xml:space="preserve"> HYPERLINK \l "_bookmark10" </w:instrText>
          </w:r>
          <w:r>
            <w:fldChar w:fldCharType="separate"/>
          </w:r>
          <w:r>
            <w:t>Three-Waste (Bottom Ash, Fly</w:t>
          </w:r>
          <w:r>
            <w:rPr/>
            <w:t xml:space="preserve"> Ash,</w:t>
          </w:r>
          <w:r>
            <w:t xml:space="preserve"> Leachate) Treatment</w:t>
          </w:r>
          <w:r>
            <w:rPr/>
            <w:t xml:space="preserve"> System</w:t>
          </w:r>
          <w:r>
            <w:rPr>
              <w:rFonts w:ascii="Times New Roman" w:eastAsia="Times New Roman"/>
            </w:rPr>
            <w:tab/>
          </w:r>
          <w:r>
            <w:rPr>
              <w:rFonts w:ascii="Times New Roman" w:eastAsia="Times New Roman"/>
              <w:spacing w:val="-5"/>
            </w:rPr>
            <w:t>14</w:t>
          </w:r>
          <w:r>
            <w:rPr>
              <w:rFonts w:ascii="Times New Roman" w:eastAsia="Times New Roman"/>
              <w:spacing w:val="-5"/>
            </w:rPr>
            <w:fldChar w:fldCharType="end"/>
          </w:r>
        </w:p>
        <w:p w14:paraId="58EA7FF5">
          <w:pPr>
            <w:pStyle w:val="10"/>
            <w:numPr>
              <w:ilvl w:val="2"/>
              <w:numId w:val="1"/>
            </w:numPr>
            <w:tabs>
              <w:tab w:val="left" w:pos="2066"/>
              <w:t/>
              <w:tab w:val="right" w:leader="dot" w:pos="9913"/>
            </w:tabs>
            <w:spacing w:before="211" w:after="0" w:line="240" w:lineRule="auto"/>
            <w:ind w:left="2066" w:right="0" w:hanging="540"/>
            <w:jc w:val="left"/>
            <w:rPr>
              <w:rFonts w:ascii="Times New Roman" w:eastAsia="Times New Roman"/>
            </w:rPr>
          </w:pPr>
          <w:r>
            <w:fldChar w:fldCharType="begin"/>
          </w:r>
          <w:r>
            <w:instrText xml:space="preserve"> HYPERLINK \l "_bookmark11" </w:instrText>
          </w:r>
          <w:r>
            <w:fldChar w:fldCharType="separate"/>
          </w:r>
          <w:r>
            <w:t>Central Control</w:t>
          </w:r>
          <w:r>
            <w:rPr/>
            <w:t xml:space="preserve"> System</w:t>
          </w:r>
          <w:r>
            <w:rPr>
              <w:rFonts w:ascii="Times New Roman" w:eastAsia="Times New Roman"/>
            </w:rPr>
            <w:tab/>
          </w:r>
          <w:r>
            <w:rPr>
              <w:rFonts w:ascii="Times New Roman" w:eastAsia="Times New Roman"/>
              <w:spacing w:val="-5"/>
            </w:rPr>
            <w:t>15</w:t>
          </w:r>
          <w:r>
            <w:rPr>
              <w:rFonts w:ascii="Times New Roman" w:eastAsia="Times New Roman"/>
              <w:spacing w:val="-5"/>
            </w:rPr>
            <w:fldChar w:fldCharType="end"/>
          </w:r>
        </w:p>
        <w:p w14:paraId="59B3D297">
          <w:pPr>
            <w:pStyle w:val="10"/>
            <w:numPr>
              <w:ilvl w:val="1"/>
              <w:numId w:val="1"/>
            </w:numPr>
            <w:tabs>
              <w:tab w:val="left" w:pos="2066"/>
              <w:t/>
              <w:tab w:val="right" w:leader="dot" w:pos="9913"/>
            </w:tabs>
            <w:spacing w:before="213" w:after="0" w:line="240" w:lineRule="auto"/>
            <w:ind w:left="2066" w:right="0" w:hanging="540"/>
            <w:jc w:val="left"/>
            <w:rPr>
              <w:rFonts w:ascii="Times New Roman" w:eastAsia="Times New Roman"/>
            </w:rPr>
          </w:pPr>
          <w:r>
            <w:fldChar w:fldCharType="begin"/>
          </w:r>
          <w:r>
            <w:instrText xml:space="preserve"> HYPERLINK \l "_bookmark12" </w:instrText>
          </w:r>
          <w:r>
            <w:fldChar w:fldCharType="separate"/>
          </w:r>
          <w:r>
            <w:t>Equipment</w:t>
          </w:r>
          <w:r>
            <w:rPr/>
            <w:t xml:space="preserve"> List</w:t>
          </w:r>
          <w:r>
            <w:rPr>
              <w:rFonts w:ascii="Times New Roman" w:eastAsia="Times New Roman"/>
            </w:rPr>
            <w:tab/>
          </w:r>
          <w:r>
            <w:rPr>
              <w:rFonts w:ascii="Times New Roman" w:eastAsia="Times New Roman"/>
              <w:spacing w:val="-5"/>
            </w:rPr>
            <w:t>15</w:t>
          </w:r>
          <w:r>
            <w:rPr>
              <w:rFonts w:ascii="Times New Roman" w:eastAsia="Times New Roman"/>
              <w:spacing w:val="-5"/>
            </w:rPr>
            <w:fldChar w:fldCharType="end"/>
          </w:r>
        </w:p>
        <w:p w14:paraId="11D30085">
          <w:pPr>
            <w:pStyle w:val="10"/>
            <w:numPr>
              <w:ilvl w:val="1"/>
              <w:numId w:val="1"/>
            </w:numPr>
            <w:tabs>
              <w:tab w:val="left" w:pos="1886"/>
              <w:t/>
              <w:tab w:val="right" w:leader="dot" w:pos="9913"/>
            </w:tabs>
            <w:spacing w:before="213" w:after="0" w:line="240" w:lineRule="auto"/>
            <w:ind w:left="1886" w:right="0" w:hanging="360"/>
            <w:jc w:val="left"/>
            <w:rPr>
              <w:rFonts w:ascii="Times New Roman" w:eastAsia="Times New Roman"/>
            </w:rPr>
          </w:pPr>
          <w:r>
            <w:fldChar w:fldCharType="begin"/>
          </w:r>
          <w:r>
            <w:instrText xml:space="preserve"> HYPERLINK \l "_bookmark13" </w:instrText>
          </w:r>
          <w:r>
            <w:fldChar w:fldCharType="separate"/>
          </w:r>
          <w:r>
            <w:t>Treatment</w:t>
          </w:r>
          <w:r>
            <w:rPr/>
            <w:t xml:space="preserve"> Performance</w:t>
          </w:r>
          <w:r>
            <w:rPr>
              <w:rFonts w:ascii="Times New Roman" w:eastAsia="Times New Roman"/>
            </w:rPr>
            <w:tab/>
          </w:r>
          <w:r>
            <w:rPr>
              <w:rFonts w:ascii="Times New Roman" w:eastAsia="Times New Roman"/>
              <w:spacing w:val="-5"/>
            </w:rPr>
            <w:t>17</w:t>
          </w:r>
          <w:r>
            <w:rPr>
              <w:rFonts w:ascii="Times New Roman" w:eastAsia="Times New Roman"/>
              <w:spacing w:val="-5"/>
            </w:rPr>
            <w:fldChar w:fldCharType="end"/>
          </w:r>
        </w:p>
        <w:p w14:paraId="39E3A208">
          <w:pPr>
            <w:pStyle w:val="10"/>
            <w:numPr>
              <w:ilvl w:val="1"/>
              <w:numId w:val="1"/>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"_bookmark14" </w:instrText>
          </w:r>
          <w:r>
            <w:fldChar w:fldCharType="separate"/>
          </w:r>
          <w:r>
            <w:t>Main Pollution Prevention and Control Measures and</w:t>
          </w:r>
          <w:r>
            <w:rPr/>
            <w:t xml:space="preserve"> Mechanisms</w:t>
          </w:r>
          <w:r>
            <w:rPr>
              <w:rFonts w:ascii="Times New Roman" w:eastAsia="Times New Roman"/>
            </w:rPr>
            <w:tab/>
          </w:r>
          <w:r>
            <w:rPr>
              <w:rFonts w:ascii="Times New Roman" w:eastAsia="Times New Roman"/>
              <w:spacing w:val="-5"/>
            </w:rPr>
            <w:t>18</w:t>
          </w:r>
          <w:r>
            <w:rPr>
              <w:rFonts w:ascii="Times New Roman" w:eastAsia="Times New Roman"/>
              <w:spacing w:val="-5"/>
            </w:rPr>
            <w:fldChar w:fldCharType="end"/>
          </w:r>
        </w:p>
        <w:p w14:paraId="6A328FF4">
          <w:pPr>
            <w:pStyle w:val="6"/>
            <w:numPr>
              <w:ilvl w:val="2"/>
              <w:numId w:val="1"/>
            </w:numPr>
            <w:tabs>
              <w:tab w:val="left" w:pos="2606"/>
              <w:t/>
              <w:tab w:val="right" w:leader="dot" w:pos="9913"/>
            </w:tabs>
            <w:spacing w:before="213" w:after="0" w:line="240" w:lineRule="auto"/>
            <w:ind w:left="2606" w:right="0" w:hanging="600"/>
            <w:jc w:val="left"/>
            <w:rPr>
              <w:rFonts w:ascii="Times New Roman" w:eastAsia="Times New Roman"/>
            </w:rPr>
          </w:pPr>
          <w:r>
            <w:fldChar w:fldCharType="begin"/>
          </w:r>
          <w:r>
            <w:instrText xml:space="preserve"> HYPERLINK \l "_bookmark15" </w:instrText>
          </w:r>
          <w:r>
            <w:fldChar w:fldCharType="separate"/>
          </w:r>
          <w:r>
            <w:t>Dioxin Removal</w:t>
          </w:r>
          <w:r>
            <w:rPr/>
            <w:t xml:space="preserve"> Process</w:t>
          </w:r>
          <w:r>
            <w:rPr>
              <w:rFonts w:ascii="Times New Roman" w:eastAsia="Times New Roman"/>
            </w:rPr>
            <w:tab/>
          </w:r>
          <w:r>
            <w:rPr>
              <w:rFonts w:ascii="Times New Roman" w:eastAsia="Times New Roman"/>
              <w:spacing w:val="-5"/>
            </w:rPr>
            <w:t>18</w:t>
          </w:r>
          <w:r>
            <w:rPr>
              <w:rFonts w:ascii="Times New Roman" w:eastAsia="Times New Roman"/>
              <w:spacing w:val="-5"/>
            </w:rPr>
            <w:fldChar w:fldCharType="end"/>
          </w:r>
        </w:p>
        <w:p w14:paraId="5D165E25">
          <w:pPr>
            <w:pStyle w:val="6"/>
            <w:numPr>
              <w:ilvl w:val="2"/>
              <w:numId w:val="1"/>
            </w:numPr>
            <w:tabs>
              <w:tab w:val="left" w:pos="2725"/>
              <w:t/>
              <w:tab w:val="right" w:leader="dot" w:pos="9913"/>
            </w:tabs>
            <w:spacing w:before="214" w:after="0" w:line="240" w:lineRule="auto"/>
            <w:ind w:left="2725" w:right="0" w:hanging="719"/>
            <w:jc w:val="left"/>
            <w:rPr>
              <w:rFonts w:ascii="Times New Roman" w:eastAsia="Times New Roman"/>
            </w:rPr>
          </w:pPr>
          <w:r>
            <w:fldChar w:fldCharType="begin"/>
          </w:r>
          <w:r>
            <w:instrText xml:space="preserve"> HYPERLINK \l "_bookmark16" </w:instrText>
          </w:r>
          <w:r>
            <w:fldChar w:fldCharType="separate"/>
          </w:r>
          <w:r>
            <w:rPr>
              <w:rFonts w:ascii="Times New Roman" w:eastAsia="Times New Roman"/>
            </w:rPr>
            <w:t>NOX Removal</w:t>
          </w:r>
          <w:r>
            <w:t xml:space="preserve"> Proce</w:t>
          </w:r>
          <w:r>
            <w:rPr/>
            <w:t>ss</w:t>
          </w:r>
          <w:r>
            <w:rPr>
              <w:rFonts w:ascii="Times New Roman" w:eastAsia="Times New Roman"/>
            </w:rPr>
            <w:tab/>
          </w:r>
          <w:r>
            <w:rPr>
              <w:rFonts w:ascii="Times New Roman" w:eastAsia="Times New Roman"/>
              <w:spacing w:val="-5"/>
            </w:rPr>
            <w:t>18</w:t>
          </w:r>
          <w:r>
            <w:rPr>
              <w:rFonts w:ascii="Times New Roman" w:eastAsia="Times New Roman"/>
              <w:spacing w:val="-5"/>
            </w:rPr>
            <w:fldChar w:fldCharType="end"/>
          </w:r>
        </w:p>
        <w:p w14:paraId="3308CE4D">
          <w:pPr>
            <w:pStyle w:val="6"/>
            <w:numPr>
              <w:ilvl w:val="2"/>
              <w:numId w:val="1"/>
            </w:numPr>
            <w:tabs>
              <w:tab w:val="left" w:pos="2726"/>
              <w:t/>
              <w:tab w:val="right" w:leader="dot" w:pos="9913"/>
            </w:tabs>
            <w:spacing w:before="211" w:after="0" w:line="240" w:lineRule="auto"/>
            <w:ind w:left="2726" w:right="0" w:hanging="720"/>
            <w:jc w:val="left"/>
            <w:rPr>
              <w:rFonts w:ascii="Times New Roman" w:eastAsia="Times New Roman"/>
            </w:rPr>
          </w:pPr>
          <w:r>
            <w:fldChar w:fldCharType="begin"/>
          </w:r>
          <w:r>
            <w:instrText xml:space="preserve"> HYPERLINK \l "_bookmark17" </w:instrText>
          </w:r>
          <w:r>
            <w:fldChar w:fldCharType="separate"/>
          </w:r>
          <w:r>
            <w:t>Deacidification</w:t>
          </w:r>
          <w:r>
            <w:rPr/>
            <w:t xml:space="preserve"> Process</w:t>
          </w:r>
          <w:r>
            <w:rPr>
              <w:rFonts w:ascii="Times New Roman" w:eastAsia="Times New Roman"/>
            </w:rPr>
            <w:tab/>
          </w:r>
          <w:r>
            <w:rPr>
              <w:rFonts w:ascii="Times New Roman" w:eastAsia="Times New Roman"/>
              <w:spacing w:val="-5"/>
            </w:rPr>
            <w:t>19</w:t>
          </w:r>
          <w:r>
            <w:rPr>
              <w:rFonts w:ascii="Times New Roman" w:eastAsia="Times New Roman"/>
              <w:spacing w:val="-5"/>
            </w:rPr>
            <w:fldChar w:fldCharType="end"/>
          </w:r>
        </w:p>
        <w:p w14:paraId="2152DF6A">
          <w:pPr>
            <w:pStyle w:val="9"/>
            <w:tabs>
              <w:tab w:val="right" w:leader="dot" w:pos="9913"/>
            </w:tabs>
            <w:spacing w:before="214"/>
            <w:rPr>
              <w:rFonts w:ascii="Times New Roman" w:eastAsia="Times New Roman"/>
            </w:rPr>
          </w:pPr>
          <w:r>
            <w:fldChar w:fldCharType="begin"/>
          </w:r>
          <w:r>
            <w:instrText xml:space="preserve"> HYPERLINK \l "_bookmark18" </w:instrText>
          </w:r>
          <w:r>
            <w:fldChar w:fldCharType="separate"/>
          </w:r>
          <w:r>
            <w:t>Chapter 3</w:t>
          </w:r>
          <w:r>
            <w:rPr>
              <w:spacing w:val="-1"/>
            </w:rPr>
            <w:t/>
          </w:r>
          <w:r>
            <w:t xml:space="preserve"> Engineering</w:t>
          </w:r>
          <w:r>
            <w:rPr/>
            <w:t xml:space="preserve"> Design</w:t>
          </w:r>
          <w:r>
            <w:rPr>
              <w:rFonts w:ascii="Times New Roman" w:eastAsia="Times New Roman"/>
            </w:rPr>
            <w:tab/>
          </w:r>
          <w:r>
            <w:rPr>
              <w:rFonts w:ascii="Times New Roman" w:eastAsia="Times New Roman"/>
              <w:spacing w:val="-5"/>
            </w:rPr>
            <w:t>19</w:t>
          </w:r>
          <w:r>
            <w:rPr>
              <w:rFonts w:ascii="Times New Roman" w:eastAsia="Times New Roman"/>
              <w:spacing w:val="-5"/>
            </w:rPr>
            <w:fldChar w:fldCharType="end"/>
          </w:r>
        </w:p>
        <w:p w14:paraId="475F592C">
          <w:pPr>
            <w:pStyle w:val="10"/>
            <w:numPr>
              <w:ilvl w:val="1"/>
              <w:numId w:val="2"/>
            </w:numPr>
            <w:tabs>
              <w:tab w:val="left" w:pos="1886"/>
              <w:t/>
              <w:tab w:val="right" w:leader="dot" w:pos="9913"/>
            </w:tabs>
            <w:spacing w:before="213" w:after="0" w:line="240" w:lineRule="auto"/>
            <w:ind w:left="1886" w:right="0" w:hanging="360"/>
            <w:jc w:val="left"/>
            <w:rPr>
              <w:rFonts w:ascii="Times New Roman" w:eastAsia="Times New Roman"/>
            </w:rPr>
          </w:pPr>
          <w:r>
            <w:fldChar w:fldCharType="begin"/>
          </w:r>
          <w:r>
            <w:instrText xml:space="preserve"> HYPERLINK \l "_bookmark19" </w:instrText>
          </w:r>
          <w:r>
            <w:fldChar w:fldCharType="separate"/>
          </w:r>
          <w:r>
            <w:t>Principles of Overall Scheme</w:t>
          </w:r>
          <w:r>
            <w:rPr/>
            <w:t xml:space="preserve"> Design</w:t>
          </w:r>
          <w:r>
            <w:rPr>
              <w:rFonts w:ascii="Times New Roman" w:eastAsia="Times New Roman"/>
            </w:rPr>
            <w:tab/>
          </w:r>
          <w:r>
            <w:rPr>
              <w:rFonts w:ascii="Times New Roman" w:eastAsia="Times New Roman"/>
              <w:spacing w:val="-5"/>
            </w:rPr>
            <w:t>19</w:t>
          </w:r>
          <w:r>
            <w:rPr>
              <w:rFonts w:ascii="Times New Roman" w:eastAsia="Times New Roman"/>
              <w:spacing w:val="-5"/>
            </w:rPr>
            <w:fldChar w:fldCharType="end"/>
          </w:r>
        </w:p>
        <w:p w14:paraId="411A6E80">
          <w:pPr>
            <w:pStyle w:val="10"/>
            <w:numPr>
              <w:ilvl w:val="1"/>
              <w:numId w:val="2"/>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"_bookmark20" </w:instrText>
          </w:r>
          <w:r>
            <w:fldChar w:fldCharType="separate"/>
          </w:r>
          <w:r>
            <w:t>General</w:t>
          </w:r>
          <w:r>
            <w:rPr/>
            <w:t xml:space="preserve"> Layout</w:t>
          </w:r>
          <w:r>
            <w:rPr>
              <w:rFonts w:ascii="Times New Roman" w:eastAsia="Times New Roman"/>
            </w:rPr>
            <w:tab/>
          </w:r>
          <w:r>
            <w:rPr>
              <w:rFonts w:ascii="Times New Roman" w:eastAsia="Times New Roman"/>
              <w:spacing w:val="-5"/>
            </w:rPr>
            <w:t>20</w:t>
          </w:r>
          <w:r>
            <w:rPr>
              <w:rFonts w:ascii="Times New Roman" w:eastAsia="Times New Roman"/>
              <w:spacing w:val="-5"/>
            </w:rPr>
            <w:fldChar w:fldCharType="end"/>
          </w:r>
        </w:p>
        <w:p w14:paraId="61596D69">
          <w:pPr>
            <w:pStyle w:val="10"/>
            <w:numPr>
              <w:ilvl w:val="2"/>
              <w:numId w:val="2"/>
            </w:numPr>
            <w:tabs>
              <w:tab w:val="left" w:pos="2066"/>
              <w:t/>
              <w:tab w:val="right" w:leader="dot" w:pos="9913"/>
            </w:tabs>
            <w:spacing w:before="213" w:after="0" w:line="240" w:lineRule="auto"/>
            <w:ind w:left="2066" w:right="0" w:hanging="540"/>
            <w:jc w:val="left"/>
            <w:rPr>
              <w:rFonts w:ascii="Times New Roman" w:eastAsia="Times New Roman"/>
            </w:rPr>
          </w:pPr>
          <w:r>
            <w:fldChar w:fldCharType="begin"/>
          </w:r>
          <w:r>
            <w:instrText xml:space="preserve"> HYPERLINK \l "_bookmark21" </w:instrText>
          </w:r>
          <w:r>
            <w:fldChar w:fldCharType="separate"/>
          </w:r>
          <w:r>
            <w:t>Project Site Planning Concepts Based on Layout and Site Selection</w:t>
          </w:r>
          <w:r>
            <w:rPr/>
            <w:t xml:space="preserve"> Principles</w:t>
          </w:r>
          <w:r>
            <w:rPr>
              <w:rFonts w:ascii="Times New Roman" w:eastAsia="Times New Roman"/>
            </w:rPr>
            <w:tab/>
          </w:r>
          <w:r>
            <w:rPr>
              <w:rFonts w:ascii="Times New Roman" w:eastAsia="Times New Roman"/>
              <w:spacing w:val="-5"/>
            </w:rPr>
            <w:t>20</w:t>
          </w:r>
          <w:r>
            <w:rPr>
              <w:rFonts w:ascii="Times New Roman" w:eastAsia="Times New Roman"/>
              <w:spacing w:val="-5"/>
            </w:rPr>
            <w:fldChar w:fldCharType="end"/>
          </w:r>
        </w:p>
        <w:p w14:paraId="63EE0595">
          <w:pPr>
            <w:pStyle w:val="9"/>
            <w:tabs>
              <w:tab w:val="right" w:leader="dot" w:pos="9913"/>
            </w:tabs>
            <w:spacing w:before="214"/>
            <w:rPr>
              <w:rFonts w:ascii="Times New Roman" w:eastAsia="Times New Roman"/>
            </w:rPr>
          </w:pPr>
          <w:r>
            <w:fldChar w:fldCharType="begin"/>
          </w:r>
          <w:r>
            <w:instrText xml:space="preserve"> HYPERLINK \l "_bookmark22" </w:instrText>
          </w:r>
          <w:r>
            <w:fldChar w:fldCharType="separate"/>
          </w:r>
          <w:r>
            <w:t>Chapter 4</w:t>
          </w:r>
          <w:r>
            <w:rPr>
              <w:spacing w:val="-1"/>
            </w:rPr>
            <w:t/>
          </w:r>
          <w:r>
            <w:t xml:space="preserve"> Project Implementation and</w:t>
          </w:r>
          <w:r>
            <w:rPr/>
            <w:t xml:space="preserve"> Schedule</w:t>
          </w:r>
          <w:r>
            <w:rPr>
              <w:rFonts w:ascii="Times New Roman" w:eastAsia="Times New Roman"/>
            </w:rPr>
            <w:tab/>
          </w:r>
          <w:r>
            <w:rPr>
              <w:rFonts w:ascii="Times New Roman" w:eastAsia="Times New Roman"/>
              <w:spacing w:val="-5"/>
            </w:rPr>
            <w:t>23</w:t>
          </w:r>
          <w:r>
            <w:rPr>
              <w:rFonts w:ascii="Times New Roman" w:eastAsia="Times New Roman"/>
              <w:spacing w:val="-5"/>
            </w:rPr>
            <w:fldChar w:fldCharType="end"/>
          </w:r>
        </w:p>
        <w:p w14:paraId="37224EEA">
          <w:pPr>
            <w:pStyle w:val="9"/>
            <w:tabs>
              <w:tab w:val="right" w:leader="dot" w:pos="9913"/>
            </w:tabs>
            <w:rPr>
              <w:rFonts w:ascii="Times New Roman" w:eastAsia="Times New Roman"/>
            </w:rPr>
          </w:pPr>
          <w:r>
            <w:fldChar w:fldCharType="begin"/>
          </w:r>
          <w:r>
            <w:instrText xml:space="preserve"> HYPERLINK \l "_bookmark23" </w:instrText>
          </w:r>
          <w:r>
            <w:fldChar w:fldCharType="separate"/>
          </w:r>
          <w:r>
            <w:t>Chapter 5</w:t>
          </w:r>
          <w:r>
            <w:rPr>
              <w:spacing w:val="59"/>
              <w:w w:val="150"/>
            </w:rPr>
            <w:t/>
          </w:r>
          <w:r>
            <w:t xml:space="preserve"> Operating Cost</w:t>
          </w:r>
          <w:r>
            <w:rPr/>
            <w:t xml:space="preserve"> Estimation</w:t>
          </w:r>
          <w:r>
            <w:rPr>
              <w:rFonts w:ascii="Times New Roman" w:eastAsia="Times New Roman"/>
            </w:rPr>
            <w:tab/>
          </w:r>
          <w:r>
            <w:rPr>
              <w:rFonts w:ascii="Times New Roman" w:eastAsia="Times New Roman"/>
              <w:spacing w:val="-5"/>
            </w:rPr>
            <w:t>24</w:t>
          </w:r>
          <w:r>
            <w:rPr>
              <w:rFonts w:ascii="Times New Roman" w:eastAsia="Times New Roman"/>
              <w:spacing w:val="-5"/>
            </w:rPr>
            <w:fldChar w:fldCharType="end"/>
          </w:r>
        </w:p>
        <w:p w14:paraId="47798317">
          <w:pPr>
            <w:pStyle w:val="9"/>
            <w:tabs>
              <w:tab w:val="right" w:leader="dot" w:pos="9913"/>
            </w:tabs>
            <w:spacing w:before="213" w:after="20"/>
            <w:rPr>
              <w:rFonts w:ascii="Times New Roman" w:eastAsia="Times New Roman"/>
            </w:rPr>
          </w:pPr>
          <w:r>
            <w:fldChar w:fldCharType="begin"/>
          </w:r>
          <w:r>
            <w:instrText xml:space="preserve"> HYPERLINK \l "_bookmark24" </w:instrText>
          </w:r>
          <w:r>
            <w:fldChar w:fldCharType="separate"/>
          </w:r>
          <w:r>
            <w:t>Chapter 6</w:t>
          </w:r>
          <w:r>
            <w:rPr>
              <w:spacing w:val="-1"/>
            </w:rPr>
            <w:t/>
          </w:r>
          <w:r>
            <w:t xml:space="preserve"> Technical</w:t>
          </w:r>
          <w:r>
            <w:rPr/>
            <w:t xml:space="preserve"> Features</w:t>
          </w:r>
          <w:r>
            <w:rPr>
              <w:rFonts w:ascii="Times New Roman" w:eastAsia="Times New Roman"/>
            </w:rPr>
            <w:tab/>
          </w:r>
          <w:r>
            <w:rPr>
              <w:rFonts w:ascii="Times New Roman" w:eastAsia="Times New Roman"/>
              <w:spacing w:val="-5"/>
            </w:rPr>
            <w:t>25</w:t>
          </w:r>
          <w:r>
            <w:rPr>
              <w:rFonts w:ascii="Times New Roman" w:eastAsia="Times New Roman"/>
              <w:spacing w:val="-5"/>
            </w:rPr>
            <w:fldChar w:fldCharType="end"/>
          </w:r>
        </w:p>
        <w:p w14:paraId="7AD2CAAD">
          <w:pPr>
            <w:pStyle w:val="10"/>
            <w:numPr>
              <w:ilvl w:val="1"/>
              <w:numId w:val="3"/>
            </w:numPr>
            <w:tabs>
              <w:tab w:val="left" w:pos="1886"/>
              <w:t/>
              <w:tab w:val="right" w:leader="dot" w:pos="9913"/>
            </w:tabs>
            <w:spacing w:before="181" w:after="0" w:line="240" w:lineRule="auto"/>
            <w:ind w:left="1886" w:right="0" w:hanging="360"/>
            <w:jc w:val="left"/>
            <w:rPr>
              <w:rFonts w:ascii="Times New Roman" w:eastAsia="Times New Roman"/>
            </w:rPr>
          </w:pPr>
          <w:r>
            <w:fldChar w:fldCharType="begin"/>
          </w:r>
          <w:r>
            <w:instrText xml:space="preserve"> HYPERLINK \l "_bookmark25" </w:instrText>
          </w:r>
          <w:r>
            <w:fldChar w:fldCharType="separate"/>
          </w:r>
          <w:r>
            <w:t>Key</w:t>
          </w:r>
          <w:r>
            <w:rPr/>
            <w:t xml:space="preserve"> Technologies</w:t>
          </w:r>
          <w:r>
            <w:rPr>
              <w:rFonts w:ascii="Times New Roman" w:eastAsia="Times New Roman"/>
            </w:rPr>
            <w:tab/>
          </w:r>
          <w:r>
            <w:rPr>
              <w:rFonts w:ascii="Times New Roman" w:eastAsia="Times New Roman"/>
              <w:spacing w:val="-5"/>
            </w:rPr>
            <w:t>25</w:t>
          </w:r>
          <w:r>
            <w:rPr>
              <w:rFonts w:ascii="Times New Roman" w:eastAsia="Times New Roman"/>
              <w:spacing w:val="-5"/>
            </w:rPr>
            <w:fldChar w:fldCharType="end"/>
          </w:r>
        </w:p>
        <w:p w14:paraId="3D93AA34">
          <w:pPr>
            <w:pStyle w:val="10"/>
            <w:numPr>
              <w:ilvl w:val="1"/>
              <w:numId w:val="3"/>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"_bookmark26" </w:instrText>
          </w:r>
          <w:r>
            <w:fldChar w:fldCharType="separate"/>
          </w:r>
          <w:r>
            <w:t>System</w:t>
          </w:r>
          <w:r>
            <w:rPr/>
            <w:t xml:space="preserve"> Advantages</w:t>
          </w:r>
          <w:r>
            <w:rPr>
              <w:rFonts w:ascii="Times New Roman" w:eastAsia="Times New Roman"/>
            </w:rPr>
            <w:tab/>
          </w:r>
          <w:r>
            <w:rPr>
              <w:rFonts w:ascii="Times New Roman" w:eastAsia="Times New Roman"/>
              <w:spacing w:val="-5"/>
            </w:rPr>
            <w:t>26</w:t>
          </w:r>
          <w:r>
            <w:rPr>
              <w:rFonts w:ascii="Times New Roman" w:eastAsia="Times New Roman"/>
              <w:spacing w:val="-5"/>
            </w:rPr>
            <w:fldChar w:fldCharType="end"/>
          </w:r>
        </w:p>
        <w:p w14:paraId="39FB3A34">
          <w:pPr>
            <w:pStyle w:val="6"/>
            <w:numPr>
              <w:ilvl w:val="2"/>
              <w:numId w:val="3"/>
            </w:numPr>
            <w:tabs>
              <w:tab w:val="left" w:pos="2546"/>
              <w:t/>
              <w:tab w:val="right" w:leader="dot" w:pos="9913"/>
            </w:tabs>
            <w:spacing w:before="213" w:after="0" w:line="240" w:lineRule="auto"/>
            <w:ind w:left="2546" w:right="0" w:hanging="540"/>
            <w:jc w:val="left"/>
            <w:rPr>
              <w:rFonts w:ascii="Times New Roman" w:eastAsia="Times New Roman"/>
            </w:rPr>
          </w:pPr>
          <w:r>
            <w:fldChar w:fldCharType="begin"/>
          </w:r>
          <w:r>
            <w:instrText xml:space="preserve"> HYPERLINK \l "_bookmark27" </w:instrText>
          </w:r>
          <w:r>
            <w:fldChar w:fldCharType="separate"/>
          </w:r>
          <w:r>
            <w:t>Small</w:t>
          </w:r>
          <w:r>
            <w:rPr/>
            <w:t xml:space="preserve"> Footprint</w:t>
          </w:r>
          <w:r>
            <w:rPr>
              <w:rFonts w:ascii="Times New Roman" w:eastAsia="Times New Roman"/>
            </w:rPr>
            <w:tab/>
          </w:r>
          <w:r>
            <w:rPr>
              <w:rFonts w:ascii="Times New Roman" w:eastAsia="Times New Roman"/>
              <w:spacing w:val="-5"/>
            </w:rPr>
            <w:t>26</w:t>
          </w:r>
          <w:r>
            <w:rPr>
              <w:rFonts w:ascii="Times New Roman" w:eastAsia="Times New Roman"/>
              <w:spacing w:val="-5"/>
            </w:rPr>
            <w:fldChar w:fldCharType="end"/>
          </w:r>
        </w:p>
        <w:p w14:paraId="5303C6A7">
          <w:pPr>
            <w:pStyle w:val="6"/>
            <w:numPr>
              <w:ilvl w:val="2"/>
              <w:numId w:val="3"/>
            </w:numPr>
            <w:tabs>
              <w:tab w:val="left" w:pos="2546"/>
              <w:t/>
              <w:tab w:val="right" w:leader="dot" w:pos="9913"/>
            </w:tabs>
            <w:spacing w:before="214" w:after="0" w:line="240" w:lineRule="auto"/>
            <w:ind w:left="2546" w:right="0" w:hanging="540"/>
            <w:jc w:val="left"/>
            <w:rPr>
              <w:rFonts w:ascii="Times New Roman" w:eastAsia="Times New Roman"/>
            </w:rPr>
          </w:pPr>
          <w:r>
            <w:fldChar w:fldCharType="begin"/>
          </w:r>
          <w:r>
            <w:instrText xml:space="preserve"> HYPERLINK \l "_bookmark28" </w:instrText>
          </w:r>
          <w:r>
            <w:fldChar w:fldCharType="separate"/>
          </w:r>
          <w:r>
            <w:t>Low Investment and Operating</w:t>
          </w:r>
          <w:r>
            <w:rPr/>
            <w:t xml:space="preserve"> Cost</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2A91D9AF">
          <w:pPr>
            <w:pStyle w:val="6"/>
            <w:numPr>
              <w:ilvl w:val="2"/>
              <w:numId w:val="3"/>
            </w:numPr>
            <w:tabs>
              <w:tab w:val="left" w:pos="2546"/>
              <w:t/>
              <w:tab w:val="right" w:leader="dot" w:pos="9913"/>
            </w:tabs>
            <w:spacing w:before="210" w:after="0" w:line="240" w:lineRule="auto"/>
            <w:ind w:left="2546" w:right="0" w:hanging="540"/>
            <w:jc w:val="left"/>
            <w:rPr>
              <w:rFonts w:ascii="Times New Roman" w:eastAsia="Times New Roman"/>
            </w:rPr>
          </w:pPr>
          <w:r>
            <w:fldChar w:fldCharType="begin"/>
          </w:r>
          <w:r>
            <w:instrText xml:space="preserve"> HYPERLINK \l "_bookmark29" </w:instrText>
          </w:r>
          <w:r>
            <w:fldChar w:fldCharType="separate"/>
          </w:r>
          <w:r>
            <w:t>Low Pollution Generation, Compliant Emissions without Secondary</w:t>
          </w:r>
          <w:r>
            <w:rPr/>
            <w:t xml:space="preserve"> Pollution</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16A9E7E1">
          <w:pPr>
            <w:pStyle w:val="6"/>
            <w:numPr>
              <w:ilvl w:val="2"/>
              <w:numId w:val="3"/>
            </w:numPr>
            <w:tabs>
              <w:tab w:val="left" w:pos="2546"/>
              <w:t/>
              <w:tab w:val="right" w:leader="dot" w:pos="9913"/>
            </w:tabs>
            <w:spacing w:before="214" w:after="0" w:line="240" w:lineRule="auto"/>
            <w:ind w:left="2546" w:right="0" w:hanging="540"/>
            <w:jc w:val="left"/>
            <w:rPr>
              <w:rFonts w:ascii="Times New Roman" w:eastAsia="Times New Roman"/>
            </w:rPr>
          </w:pPr>
          <w:r>
            <w:fldChar w:fldCharType="begin"/>
          </w:r>
          <w:r>
            <w:instrText xml:space="preserve"> HYPERLINK \l "_bookmark30" </w:instrText>
          </w:r>
          <w:r>
            <w:fldChar w:fldCharType="separate"/>
          </w:r>
          <w:r>
            <w:t>Fully Enclosed Operation with Automatic</w:t>
          </w:r>
          <w:r>
            <w:rPr/>
            <w:t xml:space="preserve"> Control</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4477238B">
          <w:pPr>
            <w:pStyle w:val="6"/>
            <w:numPr>
              <w:ilvl w:val="2"/>
              <w:numId w:val="3"/>
            </w:numPr>
            <w:tabs>
              <w:tab w:val="left" w:pos="2546"/>
              <w:t/>
              <w:tab w:val="right" w:leader="dot" w:pos="9913"/>
            </w:tabs>
            <w:spacing w:before="214" w:after="0" w:line="240" w:lineRule="auto"/>
            <w:ind w:left="2546" w:right="0" w:hanging="540"/>
            <w:jc w:val="left"/>
            <w:rPr>
              <w:rFonts w:ascii="Times New Roman" w:eastAsia="Times New Roman"/>
            </w:rPr>
          </w:pPr>
          <w:r>
            <w:fldChar w:fldCharType="begin"/>
          </w:r>
          <w:r>
            <w:instrText xml:space="preserve"> HYPERLINK \l "_bookmark31" </w:instrText>
          </w:r>
          <w:r>
            <w:fldChar w:fldCharType="separate"/>
          </w:r>
          <w:r>
            <w:t>On-Site and Nearby Harmless</w:t>
          </w:r>
          <w:r>
            <w:rPr/>
            <w:t xml:space="preserve"> Treatment</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1C7D2014">
          <w:pPr>
            <w:pStyle w:val="9"/>
            <w:tabs>
              <w:tab w:val="right" w:leader="dot" w:pos="9913"/>
            </w:tabs>
            <w:rPr>
              <w:rFonts w:ascii="Times New Roman" w:eastAsia="Times New Roman"/>
            </w:rPr>
          </w:pPr>
          <w:r>
            <w:fldChar w:fldCharType="begin"/>
          </w:r>
          <w:r>
            <w:instrText xml:space="preserve"> HYPERLINK \l "_bookmark32" </w:instrText>
          </w:r>
          <w:r>
            <w:fldChar w:fldCharType="separate"/>
          </w:r>
          <w:r>
            <w:t>Chapter 7</w:t>
          </w:r>
          <w:r>
            <w:rPr>
              <w:spacing w:val="-1"/>
            </w:rPr>
            <w:t/>
          </w:r>
          <w:r>
            <w:t xml:space="preserve"> Reference Cases for</w:t>
          </w:r>
          <w:r>
            <w:rPr/>
            <w:t xml:space="preserve"> Visits</w:t>
          </w:r>
          <w:r>
            <w:rPr>
              <w:rFonts w:ascii="Times New Roman" w:eastAsia="Times New Roman"/>
            </w:rPr>
            <w:tab/>
          </w:r>
          <w:r>
            <w:rPr>
              <w:rFonts w:ascii="Times New Roman" w:eastAsia="Times New Roman"/>
              <w:spacing w:val="-5"/>
            </w:rPr>
            <w:t>28</w:t>
          </w:r>
          <w:r>
            <w:rPr>
              <w:rFonts w:ascii="Times New Roman" w:eastAsia="Times New Roman"/>
              <w:spacing w:val="-5"/>
            </w:rPr>
            <w:fldChar w:fldCharType="end"/>
          </w:r>
        </w:p>
        <w:p w14:paraId="1181470F">
          <w:pPr>
            <w:pStyle w:val="6"/>
            <w:numPr>
              <w:ilvl w:val="1"/>
              <w:numId w:val="4"/>
            </w:numPr>
            <w:tabs>
              <w:tab w:val="left" w:pos="2426"/>
              <w:t/>
              <w:tab w:val="right" w:leader="dot" w:pos="9913"/>
            </w:tabs>
            <w:spacing w:before="211" w:after="0" w:line="240" w:lineRule="auto"/>
            <w:ind w:left="2426" w:right="0" w:hanging="420"/>
            <w:jc w:val="left"/>
            <w:rPr>
              <w:rFonts w:ascii="Times New Roman" w:eastAsia="Times New Roman"/>
            </w:rPr>
          </w:pPr>
          <w:r>
            <w:fldChar w:fldCharType="begin"/>
          </w:r>
          <w:r>
            <w:instrText xml:space="preserve"> HYPERLINK \l "_bookmark35" </w:instrText>
          </w:r>
          <w:r>
            <w:fldChar w:fldCharType="separate"/>
          </w:r>
          <w:r>
            <w:t>Case</w:t>
          </w:r>
          <w:r>
            <w:rPr/>
            <w:t xml:space="preserve"> P</w:t>
          </w:r>
          <w:r>
            <w:rPr>
              <w:rFonts w:hint="eastAsia"/>
              <w:lang w:val="en-US" w:eastAsia="zh-CN"/>
            </w:rPr>
            <w:t>hotos</w:t>
          </w:r>
          <w:r>
            <w:rPr>
              <w:rFonts w:ascii="Times New Roman" w:eastAsia="Times New Roman"/>
            </w:rPr>
            <w:tab/>
          </w:r>
          <w:r>
            <w:rPr>
              <w:rFonts w:ascii="Times New Roman" w:eastAsia="Times New Roman"/>
              <w:spacing w:val="-5"/>
            </w:rPr>
            <w:t>34</w:t>
          </w:r>
          <w:r>
            <w:rPr>
              <w:rFonts w:ascii="Times New Roman" w:eastAsia="Times New Roman"/>
              <w:spacing w:val="-5"/>
            </w:rPr>
            <w:fldChar w:fldCharType="end"/>
          </w:r>
        </w:p>
      </w:sdtContent>
    </w:sdt>
    <w:p w14:paraId="120121CA">
      <w:pPr>
        <w:pStyle w:val="6"/>
        <w:spacing w:after="0" w:line="240" w:lineRule="auto"/>
        <w:jc w:val="left"/>
        <w:rPr>
          <w:rFonts w:ascii="Times New Roman" w:eastAsia="Times New Roman"/>
        </w:rPr>
        <w:sectPr>
          <w:type w:val="continuous"/>
          <w:pgSz w:w="11910" w:h="16840"/>
          <w:pgMar w:top="1404" w:right="283" w:bottom="1638" w:left="850" w:header="761" w:footer="0" w:gutter="0"/>
          <w:cols w:space="720" w:num="1"/>
        </w:sectPr>
      </w:pPr>
    </w:p>
    <w:p w14:paraId="1C66985D">
      <w:pPr>
        <w:pStyle w:val="2"/>
        <w:spacing w:before="98"/>
        <w:ind w:right="682"/>
      </w:pPr>
      <w:bookmarkStart w:id="0" w:name="_bookmark0"/>
      <w:bookmarkEnd w:id="0"/>
      <w:r>
        <w:rPr/>
        <w:t>Chapter 1 Project Overview</w:t>
      </w:r>
    </w:p>
    <w:p w14:paraId="75DE24BF">
      <w:pPr>
        <w:pStyle w:val="5"/>
        <w:rPr>
          <w:sz w:val="20"/>
        </w:rPr>
      </w:pPr>
    </w:p>
    <w:p w14:paraId="6EB72F5A">
      <w:pPr>
        <w:pStyle w:val="5"/>
        <w:spacing w:before="67"/>
        <w:rPr>
          <w:sz w:val="20"/>
        </w:rPr>
      </w:pPr>
    </w:p>
    <w:tbl>
      <w:tblPr>
        <w:tblStyle w:val="12"/>
        <w:tblW w:w="0" w:type="auto"/>
        <w:tblInd w:w="18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78"/>
        <w:gridCol w:w="9271"/>
      </w:tblGrid>
      <w:tr w14:paraId="2AFCE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7" w:hRule="atLeast"/>
        </w:trPr>
        <w:tc>
          <w:tcPr>
            <w:tcW w:w="678" w:type="dxa"/>
          </w:tcPr>
          <w:p w14:paraId="26C67922">
            <w:pPr>
              <w:bidi w:val="0"/>
            </w:pPr>
            <w:r>
              <w:t>(1)</w:t>
            </w:r>
          </w:p>
        </w:tc>
        <w:tc>
          <w:tcPr>
            <w:tcW w:w="9271" w:type="dxa"/>
          </w:tcPr>
          <w:p w14:paraId="65F0323A">
            <w:pPr>
              <w:pStyle w:val="16"/>
              <w:spacing w:before="0" w:beforeLines="51" w:beforeAutospacing="0" w:line="274" w:lineRule="atLeast"/>
              <w:ind w:left="150"/>
              <w:rPr>
                <w:sz w:val="24"/>
              </w:rPr>
            </w:pPr>
            <w:r>
              <w:rPr>
                <w:sz w:val="24"/>
              </w:rPr>
              <w:t>Project name: Bangladesh High-Calorific-Value Waste Harmless Treatment Project;</w:t>
            </w:r>
          </w:p>
        </w:tc>
      </w:tr>
      <w:tr w14:paraId="48D2F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tcPr>
          <w:p w14:paraId="28241CEE">
            <w:pPr>
              <w:pStyle w:val="16"/>
              <w:spacing w:before="172"/>
              <w:rPr>
                <w:sz w:val="24"/>
              </w:rPr>
            </w:pPr>
            <w:r>
              <w:rPr>
                <w:spacing w:val="-5"/>
                <w:sz w:val="24"/>
              </w:rPr>
              <w:t>(</w:t>
            </w:r>
            <w:r>
              <w:rPr>
                <w:rFonts w:hint="eastAsia"/>
                <w:spacing w:val="-5"/>
                <w:sz w:val="24"/>
                <w:lang w:val="en-US" w:eastAsia="zh-CN"/>
              </w:rPr>
              <w:t>2</w:t>
            </w:r>
            <w:r>
              <w:rPr>
                <w:spacing w:val="-5"/>
                <w:sz w:val="24"/>
              </w:rPr>
              <w:t>)</w:t>
            </w:r>
          </w:p>
        </w:tc>
        <w:tc>
          <w:tcPr>
            <w:tcW w:w="9271" w:type="dxa"/>
          </w:tcPr>
          <w:p w14:paraId="66F477D1">
            <w:pPr>
              <w:pStyle w:val="16"/>
              <w:spacing w:before="172"/>
              <w:ind w:left="150"/>
              <w:rPr>
                <w:sz w:val="24"/>
              </w:rPr>
            </w:pPr>
            <w:r>
              <w:rPr>
                <w:sz w:val="24"/>
              </w:rPr>
              <w:t>Designed daily processing capacity:</w:t>
            </w:r>
            <w:r>
              <w:rPr>
                <w:sz w:val="24"/>
              </w:rPr>
              <w:t xml:space="preserve"> 5 tons/day per set, with 1 project</w:t>
            </w:r>
            <w:r>
              <w:rPr>
                <w:sz w:val="24"/>
              </w:rPr>
              <w:t xml:space="preserve"> site</w:t>
            </w:r>
            <w:r>
              <w:rPr>
                <w:sz w:val="24"/>
              </w:rPr>
              <w:t xml:space="preserve"> to be established:</w:t>
            </w:r>
          </w:p>
        </w:tc>
      </w:tr>
      <w:tr w14:paraId="58546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tcPr>
          <w:p w14:paraId="71CE99F8">
            <w:pPr>
              <w:pStyle w:val="16"/>
              <w:spacing w:before="171"/>
              <w:rPr>
                <w:sz w:val="24"/>
              </w:rPr>
            </w:pPr>
            <w:r>
              <w:rPr>
                <w:spacing w:val="-5"/>
                <w:sz w:val="24"/>
              </w:rPr>
              <w:t>(</w:t>
            </w:r>
            <w:r>
              <w:rPr>
                <w:rFonts w:hint="eastAsia"/>
                <w:spacing w:val="-5"/>
                <w:sz w:val="24"/>
                <w:lang w:val="en-US" w:eastAsia="zh-CN"/>
              </w:rPr>
              <w:t>3</w:t>
            </w:r>
            <w:r>
              <w:rPr>
                <w:spacing w:val="-5"/>
                <w:sz w:val="24"/>
              </w:rPr>
              <w:t>)</w:t>
            </w:r>
          </w:p>
        </w:tc>
        <w:tc>
          <w:tcPr>
            <w:tcW w:w="9271" w:type="dxa"/>
          </w:tcPr>
          <w:p w14:paraId="1BB536EA">
            <w:pPr>
              <w:pStyle w:val="16"/>
              <w:spacing w:before="171"/>
              <w:ind w:left="150"/>
              <w:rPr>
                <w:sz w:val="24"/>
              </w:rPr>
            </w:pPr>
            <w:r>
              <w:rPr>
                <w:sz w:val="24"/>
              </w:rPr>
              <w:t>Equipment investment: RMB 8.6</w:t>
            </w:r>
            <w:r>
              <w:rPr>
                <w:sz w:val="24"/>
              </w:rPr>
              <w:t xml:space="preserve"> million</w:t>
            </w:r>
            <w:r>
              <w:rPr>
                <w:sz w:val="24"/>
              </w:rPr>
              <w:t xml:space="preserve"> (ex-works</w:t>
            </w:r>
            <w:r>
              <w:rPr>
                <w:sz w:val="24"/>
              </w:rPr>
              <w:t xml:space="preserve"> price)</w:t>
            </w:r>
          </w:p>
        </w:tc>
      </w:tr>
      <w:tr w14:paraId="4822C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4" w:hRule="atLeast"/>
        </w:trPr>
        <w:tc>
          <w:tcPr>
            <w:tcW w:w="678" w:type="dxa"/>
            <w:vAlign w:val="top"/>
          </w:tcPr>
          <w:p w14:paraId="14FB6727">
            <w:pPr>
              <w:pStyle w:val="16"/>
              <w:spacing w:before="171"/>
              <w:ind w:left="0" w:leftChars="0" w:right="0" w:rightChars="0"/>
              <w:rPr>
                <w:sz w:val="24"/>
              </w:rPr>
            </w:pPr>
            <w:r>
              <w:rPr>
                <w:spacing w:val="-5"/>
                <w:sz w:val="24"/>
              </w:rPr>
              <w:t>(4)</w:t>
            </w:r>
          </w:p>
        </w:tc>
        <w:tc>
          <w:tcPr>
            <w:tcW w:w="9271" w:type="dxa"/>
          </w:tcPr>
          <w:p w14:paraId="2EEF67C9">
            <w:pPr>
              <w:pStyle w:val="16"/>
              <w:spacing w:before="172"/>
              <w:ind w:left="150"/>
              <w:rPr>
                <w:sz w:val="24"/>
              </w:rPr>
            </w:pPr>
            <w:r>
              <w:rPr>
                <w:sz w:val="24"/>
              </w:rPr>
              <w:t>Project land</w:t>
            </w:r>
            <w:r>
              <w:rPr>
                <w:sz w:val="24"/>
              </w:rPr>
              <w:t xml:space="preserve"> area: 800m2</w:t>
            </w:r>
          </w:p>
        </w:tc>
      </w:tr>
      <w:tr w14:paraId="77D3B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vAlign w:val="top"/>
          </w:tcPr>
          <w:p w14:paraId="7DD7FF74">
            <w:pPr>
              <w:pStyle w:val="16"/>
              <w:spacing w:before="172"/>
              <w:ind w:left="0" w:leftChars="0" w:right="0" w:rightChars="0"/>
              <w:rPr>
                <w:sz w:val="24"/>
              </w:rPr>
            </w:pPr>
            <w:r>
              <w:rPr>
                <w:spacing w:val="-5"/>
                <w:sz w:val="24"/>
              </w:rPr>
              <w:t>(5)</w:t>
            </w:r>
          </w:p>
        </w:tc>
        <w:tc>
          <w:tcPr>
            <w:tcW w:w="9271" w:type="dxa"/>
          </w:tcPr>
          <w:p w14:paraId="21E93C12">
            <w:pPr>
              <w:pStyle w:val="16"/>
              <w:tabs>
                <w:tab w:val="left" w:pos="3210"/>
              </w:tabs>
              <w:spacing w:before="172"/>
              <w:ind w:left="150"/>
              <w:rPr>
                <w:sz w:val="24"/>
              </w:rPr>
            </w:pPr>
            <w:r>
              <w:rPr>
                <w:sz w:val="24"/>
              </w:rPr>
              <w:t>Waste conditions: waste with calorific value</w:t>
            </w:r>
            <w:r>
              <w:rPr>
                <w:spacing w:val="-60"/>
                <w:sz w:val="24"/>
              </w:rPr>
              <w:t/>
            </w:r>
            <w:r>
              <w:rPr>
                <w:sz w:val="24"/>
              </w:rPr>
              <w:t xml:space="preserve"> ≥900</w:t>
            </w:r>
            <w:r>
              <w:rPr>
                <w:sz w:val="24"/>
              </w:rPr>
              <w:t xml:space="preserve"> kcal</w:t>
            </w:r>
            <w:r>
              <w:rPr>
                <w:sz w:val="24"/>
              </w:rPr>
              <w:tab/>
            </w:r>
            <w:r>
              <w:rPr>
                <w:sz w:val="24"/>
              </w:rPr>
              <w:t>and moisture content</w:t>
            </w:r>
            <w:r>
              <w:rPr>
                <w:sz w:val="24"/>
              </w:rPr>
              <w:t xml:space="preserve"> ≤60%;</w:t>
            </w:r>
          </w:p>
        </w:tc>
      </w:tr>
      <w:tr w14:paraId="76B5F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vAlign w:val="top"/>
          </w:tcPr>
          <w:p w14:paraId="7337DF8A">
            <w:pPr>
              <w:pStyle w:val="16"/>
              <w:spacing w:before="172"/>
              <w:ind w:left="0" w:leftChars="0" w:right="0" w:rightChars="0"/>
              <w:rPr>
                <w:sz w:val="24"/>
              </w:rPr>
            </w:pPr>
            <w:r>
              <w:rPr>
                <w:spacing w:val="-5"/>
                <w:sz w:val="24"/>
              </w:rPr>
              <w:t>(6)</w:t>
            </w:r>
          </w:p>
        </w:tc>
        <w:tc>
          <w:tcPr>
            <w:tcW w:w="9271" w:type="dxa"/>
          </w:tcPr>
          <w:p w14:paraId="145E7642">
            <w:pPr>
              <w:pStyle w:val="16"/>
              <w:spacing w:before="171"/>
              <w:ind w:left="150"/>
              <w:rPr>
                <w:sz w:val="24"/>
              </w:rPr>
            </w:pPr>
            <w:r>
              <w:rPr>
                <w:sz w:val="24"/>
              </w:rPr>
              <w:t>Energy required: (0# diesel or firewood) only for ignition</w:t>
            </w:r>
            <w:r>
              <w:rPr>
                <w:sz w:val="24"/>
              </w:rPr>
              <w:t xml:space="preserve"> and furnace curing; no additional fuel is required during normal operation;</w:t>
            </w:r>
          </w:p>
        </w:tc>
      </w:tr>
      <w:tr w14:paraId="2C3C5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4" w:hRule="atLeast"/>
        </w:trPr>
        <w:tc>
          <w:tcPr>
            <w:tcW w:w="678" w:type="dxa"/>
            <w:vAlign w:val="top"/>
          </w:tcPr>
          <w:p w14:paraId="0B865B4E">
            <w:pPr>
              <w:pStyle w:val="16"/>
              <w:spacing w:before="171"/>
              <w:ind w:left="0" w:leftChars="0" w:right="0" w:rightChars="0"/>
              <w:rPr>
                <w:sz w:val="24"/>
              </w:rPr>
            </w:pPr>
            <w:r>
              <w:rPr>
                <w:spacing w:val="-5"/>
                <w:sz w:val="24"/>
              </w:rPr>
              <w:t>(7)</w:t>
            </w:r>
          </w:p>
        </w:tc>
        <w:tc>
          <w:tcPr>
            <w:tcW w:w="9271" w:type="dxa"/>
          </w:tcPr>
          <w:p w14:paraId="6E0AFE64">
            <w:pPr>
              <w:pStyle w:val="16"/>
              <w:spacing w:before="172"/>
              <w:ind w:left="150"/>
              <w:rPr>
                <w:sz w:val="24"/>
              </w:rPr>
            </w:pPr>
            <w:r>
              <w:rPr>
                <w:sz w:val="24"/>
              </w:rPr>
              <w:t>Slag treatment: the bottom ash has met discharge standards and can be landfilled, used for road paving, or made into bricks at brick plants;</w:t>
            </w:r>
          </w:p>
        </w:tc>
      </w:tr>
      <w:tr w14:paraId="3BDA0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vAlign w:val="top"/>
          </w:tcPr>
          <w:p w14:paraId="1B391AA4">
            <w:pPr>
              <w:pStyle w:val="16"/>
              <w:spacing w:before="172"/>
              <w:ind w:left="0" w:leftChars="0" w:right="0" w:rightChars="0"/>
              <w:rPr>
                <w:sz w:val="24"/>
              </w:rPr>
            </w:pPr>
            <w:r>
              <w:rPr>
                <w:spacing w:val="-5"/>
                <w:sz w:val="24"/>
              </w:rPr>
              <w:t>(8)</w:t>
            </w:r>
          </w:p>
        </w:tc>
        <w:tc>
          <w:tcPr>
            <w:tcW w:w="9271" w:type="dxa"/>
          </w:tcPr>
          <w:p w14:paraId="0E8A402B">
            <w:pPr>
              <w:pStyle w:val="16"/>
              <w:spacing w:before="173"/>
              <w:ind w:left="150"/>
              <w:rPr>
                <w:sz w:val="24"/>
              </w:rPr>
            </w:pPr>
            <w:r>
              <w:rPr>
                <w:sz w:val="24"/>
              </w:rPr>
              <w:t>Service life: 15-20</w:t>
            </w:r>
            <w:r>
              <w:rPr>
                <w:sz w:val="24"/>
              </w:rPr>
              <w:t xml:space="preserve"> years;</w:t>
            </w:r>
          </w:p>
        </w:tc>
      </w:tr>
      <w:tr w14:paraId="3985E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6" w:hRule="atLeast"/>
        </w:trPr>
        <w:tc>
          <w:tcPr>
            <w:tcW w:w="678" w:type="dxa"/>
            <w:vAlign w:val="top"/>
          </w:tcPr>
          <w:p w14:paraId="1E86BD6F">
            <w:pPr>
              <w:pStyle w:val="16"/>
              <w:spacing w:before="173"/>
              <w:ind w:left="0" w:leftChars="0" w:right="0" w:rightChars="0"/>
              <w:rPr>
                <w:sz w:val="24"/>
              </w:rPr>
            </w:pPr>
            <w:r>
              <w:rPr>
                <w:spacing w:val="-5"/>
                <w:sz w:val="24"/>
              </w:rPr>
              <w:t>(9)</w:t>
            </w:r>
          </w:p>
        </w:tc>
        <w:tc>
          <w:tcPr>
            <w:tcW w:w="9271" w:type="dxa"/>
          </w:tcPr>
          <w:p w14:paraId="494F6EA4">
            <w:pPr>
              <w:pStyle w:val="16"/>
              <w:spacing w:before="171" w:after="0" w:afterLines="32" w:afterAutospacing="0"/>
              <w:ind w:left="150"/>
              <w:rPr>
                <w:rFonts w:hint="eastAsia" w:eastAsia="宋体"/>
                <w:sz w:val="24"/>
                <w:lang w:val="en-US" w:eastAsia="zh-CN"/>
              </w:rPr>
            </w:pPr>
            <w:r>
              <w:rPr>
                <w:sz w:val="24"/>
              </w:rPr>
              <w:t>Flue gas emission targets: complying with the requirements of the Standard for Pollution Control on Municipal Solid Waste Incineration</w:t>
            </w:r>
            <w:r>
              <w:rPr>
                <w:sz w:val="24"/>
              </w:rPr>
              <w:t xml:space="preserve"> (GB18485</w:t>
            </w:r>
            <w:r>
              <w:rPr>
                <w:rFonts w:hint="eastAsia"/>
                <w:sz w:val="24"/>
                <w:lang w:val="en-US" w:eastAsia="zh-CN"/>
              </w:rPr>
              <w:t>-2014).</w:t>
            </w:r>
          </w:p>
        </w:tc>
      </w:tr>
    </w:tbl>
    <w:p w14:paraId="534C92C0">
      <w:pPr>
        <w:numPr>
          <w:ilvl w:val="0"/>
          <w:numId w:val="0"/>
        </w:numPr>
        <w:bidi w:val="0"/>
        <w:spacing w:before="0" w:beforeLines="82" w:beforeAutospacing="0"/>
        <w:jc w:val="center"/>
        <w:rPr>
          <w:rFonts w:hint="eastAsia"/>
          <w:sz w:val="32"/>
          <w:szCs w:val="40"/>
          <w:lang w:val="en-US" w:eastAsia="zh-CN" w:bidi="hi-IN"/>
        </w:rPr>
      </w:pPr>
    </w:p>
    <w:p w14:paraId="48DB1CCB">
      <w:pPr>
        <w:pStyle w:val="2"/>
        <w:numPr>
          <w:ilvl w:val="0"/>
          <w:numId w:val="5"/>
        </w:numPr>
        <w:bidi w:val="0"/>
        <w:rPr>
          <w:rFonts w:hint="eastAsia"/>
          <w:lang w:val="en-US" w:eastAsia="zh-CN"/>
        </w:rPr>
      </w:pPr>
      <w:r>
        <w:rPr>
          <w:rFonts w:hint="eastAsia"/>
          <w:lang w:val="en-US" w:eastAsia="zh-CN"/>
        </w:rPr>
        <w:t>Process and Technical Scheme</w:t>
      </w:r>
    </w:p>
    <w:p w14:paraId="1503FD5C">
      <w:pPr>
        <w:pStyle w:val="2"/>
        <w:numPr>
          <w:ilvl w:val="0"/>
          <w:numId w:val="0"/>
        </w:numPr>
        <w:bidi w:val="0"/>
        <w:ind w:right="0" w:rightChars="0"/>
        <w:jc w:val="both"/>
        <w:rPr>
          <w:rFonts w:hint="eastAsia"/>
          <w:lang w:val="en-US" w:eastAsia="zh-CN"/>
        </w:rPr>
      </w:pPr>
    </w:p>
    <w:p w14:paraId="1786923F">
      <w:pPr>
        <w:pStyle w:val="4"/>
        <w:numPr>
          <w:ilvl w:val="1"/>
          <w:numId w:val="6"/>
        </w:numPr>
        <w:tabs>
          <w:tab w:val="left" w:pos="690"/>
        </w:tabs>
        <w:spacing w:before="0" w:after="0" w:line="240" w:lineRule="auto"/>
        <w:ind w:left="690" w:right="0" w:hanging="460"/>
        <w:jc w:val="left"/>
      </w:pPr>
      <w:bookmarkStart w:id="1" w:name="_bookmark2"/>
      <w:bookmarkEnd w:id="1"/>
      <w:r>
        <w:rPr/>
        <w:t>Determination of the Waste Treatment Technology</w:t>
      </w:r>
    </w:p>
    <w:p w14:paraId="51637F6B">
      <w:pPr>
        <w:pStyle w:val="4"/>
        <w:numPr>
          <w:ilvl w:val="0"/>
          <w:numId w:val="0"/>
        </w:numPr>
        <w:tabs>
          <w:tab w:val="left" w:pos="690"/>
        </w:tabs>
        <w:spacing w:before="0" w:after="0" w:line="240" w:lineRule="auto"/>
        <w:ind w:left="230" w:leftChars="0" w:right="0" w:rightChars="0"/>
        <w:jc w:val="left"/>
      </w:pPr>
    </w:p>
    <w:p w14:paraId="4F4F280B">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pPr>
      <w:r>
        <w:t>The waste of this project is mainly industrial waste, such as packaging materials, with a moisture content of 5.7%, plastics 29%, paper 51%, foil/</w:t>
      </w:r>
    </w:p>
    <w:p w14:paraId="08381415">
      <w:pPr>
        <w:pStyle w:val="5"/>
        <w:keepNext w:val="0"/>
        <w:keepLines w:val="0"/>
        <w:pageBreakBefore w:val="0"/>
        <w:widowControl w:val="0"/>
        <w:kinsoku/>
        <w:wordWrap/>
        <w:overflowPunct/>
        <w:topLinePunct w:val="0"/>
        <w:autoSpaceDE w:val="0"/>
        <w:autoSpaceDN w:val="0"/>
        <w:bidi w:val="0"/>
        <w:adjustRightInd/>
        <w:snapToGrid/>
        <w:spacing w:line="360" w:lineRule="auto"/>
        <w:textAlignment w:val="auto"/>
      </w:pPr>
      <w:r>
        <w:t>composite materials 15%, others 5%, with a calorific value reaching 5400kcal/kg.</w:t>
      </w:r>
    </w:p>
    <w:p w14:paraId="06179C93">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rPr>
          <w:rFonts w:hint="default"/>
          <w:lang w:val="en-US" w:eastAsia="zh-CN"/>
        </w:rPr>
      </w:pPr>
      <w:r>
        <w:rPr>
          <w:rFonts w:hint="default"/>
          <w:lang w:val="en-US" w:eastAsia="zh-CN"/>
        </w:rPr>
        <w:t>This type of industrial solid waste has a high unit calorific value, but the total amount of waste generated is small. The total chemical thermal power released by combustion is relatively limited. After heat exchange in the waste heat boiler, heat losses and thermodynamic cycle conversion, the maximum net output power of the system is only about 300 W, with a total daily</w:t>
      </w:r>
      <w:r>
        <w:rPr>
          <w:rFonts w:hint="eastAsia"/>
          <w:lang w:val="en-US" w:eastAsia="zh-CN"/>
        </w:rPr>
        <w:t xml:space="preserve"> power generation of 7.2kWh. Although the fuel itself</w:t>
      </w:r>
      <w:r>
        <w:rPr>
          <w:rFonts w:hint="default"/>
          <w:lang w:val="en-US" w:eastAsia="zh-CN"/>
        </w:rPr>
        <w:t xml:space="preserve"> has an excellent calorific value, the effective energy base available for power generation is very low. If a complete power generation set including waste heat boiler, steam turbine, generator and circulating water is equipped, the equipment investment, auxiliary energy consumption and O&amp;M costs would far exceed the meager power generation revenue, and the overall energy conversion efficiency is low, with input exceeding output. Therefore, it is not recommended to install a power generation system in this project.</w:t>
      </w:r>
    </w:p>
    <w:p w14:paraId="300A9816">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pPr>
      <w:r>
        <w:t>Considering that Bangladesh is located in a tropical monsoon climate zone where no heating is required in winter, if the waste heat of the plant has no other utilization value, it is discharged directly after heat exchange.</w:t>
      </w:r>
    </w:p>
    <w:p w14:paraId="0916C8CD">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pPr>
      <w:r>
        <w:t>It is recommended to adopt a new treatment process combining high-temperature pyrolysis gasification with incineration, using a chain grate as the core component of incineration and enlarging the furnace cavity of the secondary combustion chamber to satisfy the flue gas residence time.</w:t>
      </w:r>
    </w:p>
    <w:p w14:paraId="516682E1">
      <w:pPr>
        <w:pStyle w:val="5"/>
        <w:keepNext w:val="0"/>
        <w:keepLines w:val="0"/>
        <w:pageBreakBefore w:val="0"/>
        <w:widowControl w:val="0"/>
        <w:kinsoku/>
        <w:wordWrap/>
        <w:overflowPunct/>
        <w:topLinePunct w:val="0"/>
        <w:autoSpaceDE w:val="0"/>
        <w:autoSpaceDN w:val="0"/>
        <w:bidi w:val="0"/>
        <w:adjustRightInd/>
        <w:snapToGrid/>
        <w:ind w:left="0" w:firstLine="480" w:firstLineChars="200"/>
        <w:textAlignment w:val="auto"/>
        <w:sectPr>
          <w:headerReference r:id="rId6" w:type="default"/>
          <w:footerReference r:id="rId7" w:type="default"/>
          <w:pgSz w:w="11910" w:h="16840"/>
          <w:pgMar w:top="1380" w:right="283" w:bottom="820" w:left="850" w:header="761" w:footer="628" w:gutter="0"/>
          <w:pgNumType w:start="1"/>
          <w:cols w:space="720" w:num="1"/>
        </w:sectPr>
      </w:pPr>
    </w:p>
    <w:p w14:paraId="4F38E98D">
      <w:pPr>
        <w:pStyle w:val="5"/>
      </w:pPr>
    </w:p>
    <w:p w14:paraId="6CC94B58">
      <w:pPr>
        <w:pStyle w:val="5"/>
        <w:spacing w:before="55"/>
      </w:pPr>
    </w:p>
    <w:p w14:paraId="664B28ED">
      <w:pPr>
        <w:pStyle w:val="4"/>
        <w:numPr>
          <w:ilvl w:val="1"/>
          <w:numId w:val="6"/>
        </w:numPr>
        <w:tabs>
          <w:tab w:val="left" w:pos="690"/>
        </w:tabs>
        <w:spacing w:before="0" w:after="0" w:line="240" w:lineRule="auto"/>
        <w:ind w:left="690" w:right="0" w:hanging="460"/>
        <w:jc w:val="left"/>
      </w:pPr>
      <w:bookmarkStart w:id="2" w:name="_bookmark3"/>
      <w:bookmarkEnd w:id="2"/>
      <w:r>
        <w:rPr/>
        <w:t>Process Scheme and Flow</w:t>
      </w:r>
    </w:p>
    <w:p w14:paraId="4D833510">
      <w:pPr>
        <w:pStyle w:val="5"/>
        <w:spacing w:before="353"/>
        <w:ind w:left="710"/>
      </w:pPr>
      <w:r>
        <w:rPr/>
        <w:t>The project process flow includes:</w:t>
      </w:r>
    </w:p>
    <w:p w14:paraId="4D4E74D6">
      <w:pPr>
        <w:pStyle w:val="5"/>
        <w:spacing w:before="182" w:line="381" w:lineRule="auto"/>
        <w:ind w:left="230" w:right="792" w:firstLine="480"/>
      </w:pPr>
      <w:r>
        <w:rPr/>
        <w:t>Waste Receiving</w:t>
      </w:r>
      <w:r>
        <w:rPr>
          <w:rFonts w:ascii="Wingdings" w:hAnsi="Wingdings" w:eastAsia="Wingdings"/>
        </w:rPr>
        <w:t xml:space="preserve"> →</w:t>
      </w:r>
      <w:r>
        <w:rPr/>
        <w:t xml:space="preserve"> Conveying and Feeding System</w:t>
      </w:r>
      <w:r>
        <w:rPr>
          <w:rFonts w:ascii="Wingdings" w:hAnsi="Wingdings" w:eastAsia="Wingdings"/>
        </w:rPr>
        <w:t xml:space="preserve"> →</w:t>
      </w:r>
      <w:r>
        <w:rPr/>
        <w:t xml:space="preserve"> High-Temperature Pyrolysis Gasification</w:t>
      </w:r>
      <w:r>
        <w:rPr>
          <w:rFonts w:ascii="Wingdings" w:hAnsi="Wingdings" w:eastAsia="Wingdings"/>
        </w:rPr>
        <w:t xml:space="preserve"> System</w:t>
      </w:r>
      <w:r>
        <w:rPr/>
        <w:t xml:space="preserve"> → Waste Heat Recovery</w:t>
      </w:r>
      <w:r>
        <w:rPr>
          <w:rFonts w:ascii="Wingdings" w:hAnsi="Wingdings" w:eastAsia="Wingdings"/>
        </w:rPr>
        <w:t xml:space="preserve"> System</w:t>
      </w:r>
      <w:r>
        <w:rPr/>
        <w:t xml:space="preserve"> → Flue Gas Purification</w:t>
      </w:r>
      <w:r>
        <w:rPr>
          <w:rFonts w:ascii="Wingdings" w:hAnsi="Wingdings" w:eastAsia="Wingdings"/>
        </w:rPr>
        <w:t xml:space="preserve"> System</w:t>
      </w:r>
      <w:r>
        <w:t xml:space="preserve"> → Three-Waste (Bottom Ash,</w:t>
      </w:r>
      <w:r>
        <w:rPr/>
        <w:t xml:space="preserve"> Fly</w:t>
      </w:r>
      <w:r>
        <w:t xml:space="preserve"> Ash, Leachate) Treatment System</w:t>
      </w:r>
      <w:r>
        <w:rPr>
          <w:rFonts w:ascii="Wingdings" w:hAnsi="Wingdings" w:eastAsia="Wingdings"/>
        </w:rPr>
        <w:t xml:space="preserve"> →</w:t>
      </w:r>
      <w:r>
        <w:t xml:space="preserve"> Central Control System</w:t>
      </w:r>
    </w:p>
    <w:p w14:paraId="1533A338">
      <w:pPr>
        <w:pStyle w:val="5"/>
        <w:rPr>
          <w:sz w:val="28"/>
        </w:rPr>
      </w:pPr>
    </w:p>
    <w:p w14:paraId="06230942">
      <w:pPr>
        <w:pStyle w:val="5"/>
        <w:rPr>
          <w:sz w:val="28"/>
        </w:rPr>
      </w:pPr>
    </w:p>
    <w:p w14:paraId="26C22824">
      <w:pPr>
        <w:pStyle w:val="5"/>
        <w:spacing w:before="67"/>
        <w:rPr>
          <w:sz w:val="28"/>
        </w:rPr>
      </w:pPr>
    </w:p>
    <w:p w14:paraId="186F610D">
      <w:pPr>
        <w:pStyle w:val="4"/>
        <w:numPr>
          <w:ilvl w:val="2"/>
          <w:numId w:val="6"/>
        </w:numPr>
        <w:tabs>
          <w:tab w:val="left" w:pos="922"/>
        </w:tabs>
        <w:spacing w:before="0" w:after="0" w:line="240" w:lineRule="auto"/>
        <w:ind w:left="922" w:right="0" w:hanging="692"/>
        <w:jc w:val="left"/>
        <w:rPr>
          <w:rFonts w:ascii="Arial" w:eastAsia="Arial"/>
          <w:b/>
        </w:rPr>
      </w:pPr>
      <w:bookmarkStart w:id="3" w:name="_bookmark4"/>
      <w:bookmarkEnd w:id="3"/>
      <w:r>
        <w:rPr/>
        <w:t>Waste Receiving System</w:t>
      </w:r>
    </w:p>
    <w:p w14:paraId="37388594">
      <w:pPr>
        <w:pStyle w:val="5"/>
        <w:spacing w:before="353" w:line="381" w:lineRule="auto"/>
        <w:ind w:left="230" w:right="699" w:firstLine="480"/>
      </w:pPr>
      <w:r>
        <w:rPr/>
        <w:t>Waste is transported to the incineration plant by waste trucks, weighed by the electronic truck scale, and then enters the tipping hall and is unloaded into the waste collection</w:t>
      </w:r>
      <w:r>
        <w:rPr/>
        <w:t xml:space="preserve"> pit. The sufficient effective volume of the waste storage pit ensures the raw material supply of the pyrolysis furnace when the waste supply fluctuates severely, making the reaction in</w:t>
      </w:r>
      <w:r>
        <w:rPr/>
        <w:t xml:space="preserve"> the furnace more stable.</w:t>
      </w:r>
    </w:p>
    <w:p w14:paraId="1FF464F4">
      <w:pPr>
        <w:pStyle w:val="5"/>
        <w:spacing w:before="99"/>
      </w:pPr>
    </w:p>
    <w:p w14:paraId="24C956A9">
      <w:pPr>
        <w:pStyle w:val="4"/>
        <w:numPr>
          <w:ilvl w:val="2"/>
          <w:numId w:val="6"/>
        </w:numPr>
        <w:tabs>
          <w:tab w:val="left" w:pos="922"/>
        </w:tabs>
        <w:spacing w:before="0" w:after="0" w:line="240" w:lineRule="auto"/>
        <w:ind w:left="922" w:right="0" w:hanging="692"/>
        <w:jc w:val="left"/>
        <w:rPr>
          <w:rFonts w:ascii="Arial" w:eastAsia="Arial"/>
          <w:b/>
        </w:rPr>
      </w:pPr>
      <w:bookmarkStart w:id="4" w:name="_bookmark5"/>
      <w:bookmarkEnd w:id="4"/>
      <w:r>
        <w:rPr/>
        <w:t>Plant Deodorization System</w:t>
      </w:r>
    </w:p>
    <w:p w14:paraId="5F16E919">
      <w:pPr>
        <w:pStyle w:val="5"/>
        <w:spacing w:before="356" w:line="381" w:lineRule="auto"/>
        <w:ind w:left="230" w:right="701" w:firstLine="480"/>
      </w:pPr>
      <w:r>
        <w:rPr/>
        <w:t>It is composed of suction fans, spray deodorization system, etc., and adsorbs odor molecules in the air through deodorizer. The deodorizer quickly adsorbs</w:t>
      </w:r>
      <w:r>
        <w:rPr/>
        <w:t xml:space="preserve"> odor molecules in the air through centrifugal atomization, and the microorganisms and enzymes it contains can decompose the adsorbed odorous substances in time.</w:t>
      </w:r>
    </w:p>
    <w:p w14:paraId="09B270BF">
      <w:pPr>
        <w:pStyle w:val="5"/>
        <w:spacing w:after="0" w:line="381" w:lineRule="auto"/>
        <w:sectPr>
          <w:pgSz w:w="11910" w:h="16840"/>
          <w:pgMar w:top="1400" w:right="283" w:bottom="820" w:left="850" w:header="761" w:footer="628" w:gutter="0"/>
          <w:cols w:space="720" w:num="1"/>
        </w:sectPr>
      </w:pPr>
    </w:p>
    <w:tbl>
      <w:tblPr>
        <w:tblStyle w:val="12"/>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9"/>
        <w:gridCol w:w="1306"/>
        <w:gridCol w:w="2446"/>
        <w:gridCol w:w="3623"/>
      </w:tblGrid>
      <w:tr w14:paraId="3300F751">
        <w:tblPrEx>
          <w:tblCellMar>
            <w:top w:w="0" w:type="dxa"/>
            <w:left w:w="0" w:type="dxa"/>
            <w:bottom w:w="0" w:type="dxa"/>
            <w:right w:w="0" w:type="dxa"/>
          </w:tblCellMar>
        </w:tblPrEx>
        <w:trPr>
          <w:trHeight w:val="623" w:hRule="atLeast"/>
        </w:trPr>
        <w:tc>
          <w:tcPr>
            <w:tcW w:w="919" w:type="dxa"/>
            <w:shd w:val="clear" w:color="auto" w:fill="DDD9C4"/>
          </w:tcPr>
          <w:p w14:paraId="74D8B6D7">
            <w:pPr>
              <w:pStyle w:val="16"/>
              <w:spacing w:before="6"/>
              <w:rPr>
                <w:sz w:val="20"/>
              </w:rPr>
            </w:pPr>
          </w:p>
          <w:p w14:paraId="3F9E9A98">
            <w:pPr>
              <w:pStyle w:val="16"/>
              <w:ind w:right="194"/>
              <w:jc w:val="right"/>
              <w:rPr>
                <w:sz w:val="20"/>
              </w:rPr>
            </w:pPr>
            <w:r>
              <w:rPr>
                <w:sz w:val="20"/>
              </w:rPr>
              <w:t>Odor Point</w:t>
            </w:r>
          </w:p>
        </w:tc>
        <w:tc>
          <w:tcPr>
            <w:tcW w:w="1306" w:type="dxa"/>
            <w:shd w:val="clear" w:color="auto" w:fill="DDD9C4"/>
          </w:tcPr>
          <w:p w14:paraId="599F7F22">
            <w:pPr>
              <w:pStyle w:val="16"/>
              <w:spacing w:before="6"/>
              <w:rPr>
                <w:sz w:val="20"/>
              </w:rPr>
            </w:pPr>
          </w:p>
          <w:p w14:paraId="4C02FF0D">
            <w:pPr>
              <w:pStyle w:val="16"/>
              <w:ind w:right="237"/>
              <w:jc w:val="right"/>
              <w:rPr>
                <w:sz w:val="20"/>
              </w:rPr>
            </w:pPr>
            <w:r>
              <w:rPr>
                <w:sz w:val="20"/>
              </w:rPr>
              <w:t>Location</w:t>
            </w:r>
          </w:p>
        </w:tc>
        <w:tc>
          <w:tcPr>
            <w:tcW w:w="2446" w:type="dxa"/>
            <w:shd w:val="clear" w:color="auto" w:fill="DDD9C4"/>
          </w:tcPr>
          <w:p w14:paraId="662BBB59">
            <w:pPr>
              <w:pStyle w:val="16"/>
              <w:spacing w:before="6"/>
              <w:rPr>
                <w:sz w:val="20"/>
              </w:rPr>
            </w:pPr>
          </w:p>
          <w:p w14:paraId="12308075">
            <w:pPr>
              <w:pStyle w:val="16"/>
              <w:ind w:left="1224"/>
              <w:rPr>
                <w:sz w:val="20"/>
              </w:rPr>
            </w:pPr>
            <w:r>
              <w:rPr>
                <w:sz w:val="20"/>
              </w:rPr>
              <w:t>Characteristics</w:t>
            </w:r>
          </w:p>
        </w:tc>
        <w:tc>
          <w:tcPr>
            <w:tcW w:w="3623" w:type="dxa"/>
            <w:shd w:val="clear" w:color="auto" w:fill="DDD9C4"/>
          </w:tcPr>
          <w:p w14:paraId="67FDA365">
            <w:pPr>
              <w:pStyle w:val="16"/>
              <w:spacing w:before="6"/>
              <w:rPr>
                <w:sz w:val="20"/>
              </w:rPr>
            </w:pPr>
          </w:p>
          <w:p w14:paraId="331F3EA6">
            <w:pPr>
              <w:pStyle w:val="16"/>
              <w:ind w:left="1608"/>
              <w:rPr>
                <w:sz w:val="20"/>
              </w:rPr>
            </w:pPr>
            <w:r>
              <w:rPr>
                <w:sz w:val="20"/>
              </w:rPr>
              <w:t>Deodorization Measures</w:t>
            </w:r>
          </w:p>
        </w:tc>
      </w:tr>
      <w:tr w14:paraId="58119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3" w:hRule="atLeast"/>
        </w:trPr>
        <w:tc>
          <w:tcPr>
            <w:tcW w:w="919" w:type="dxa"/>
          </w:tcPr>
          <w:p w14:paraId="756C8525">
            <w:pPr>
              <w:pStyle w:val="16"/>
              <w:spacing w:before="177"/>
              <w:rPr>
                <w:sz w:val="20"/>
              </w:rPr>
            </w:pPr>
          </w:p>
          <w:p w14:paraId="40F473D4">
            <w:pPr>
              <w:pStyle w:val="16"/>
              <w:ind w:right="198"/>
              <w:jc w:val="right"/>
              <w:rPr>
                <w:sz w:val="20"/>
              </w:rPr>
            </w:pPr>
            <w:r>
              <w:rPr>
                <w:spacing w:val="-10"/>
                <w:sz w:val="20"/>
              </w:rPr>
              <w:t>1</w:t>
            </w:r>
          </w:p>
        </w:tc>
        <w:tc>
          <w:tcPr>
            <w:tcW w:w="1306" w:type="dxa"/>
          </w:tcPr>
          <w:p w14:paraId="5DC6912E">
            <w:pPr>
              <w:pStyle w:val="16"/>
              <w:spacing w:before="177"/>
              <w:rPr>
                <w:sz w:val="20"/>
              </w:rPr>
            </w:pPr>
          </w:p>
          <w:p w14:paraId="19D3625E">
            <w:pPr>
              <w:pStyle w:val="16"/>
              <w:ind w:left="107"/>
              <w:rPr>
                <w:sz w:val="20"/>
              </w:rPr>
            </w:pPr>
            <w:r>
              <w:rPr>
                <w:sz w:val="20"/>
              </w:rPr>
              <w:t>Plant roads</w:t>
            </w:r>
          </w:p>
        </w:tc>
        <w:tc>
          <w:tcPr>
            <w:tcW w:w="2446" w:type="dxa"/>
          </w:tcPr>
          <w:p w14:paraId="02076D85">
            <w:pPr>
              <w:pStyle w:val="16"/>
              <w:numPr>
                <w:ilvl w:val="0"/>
                <w:numId w:val="7"/>
              </w:numPr>
              <w:tabs>
                <w:tab w:val="left" w:pos="276"/>
              </w:tabs>
              <w:spacing w:before="59" w:after="0" w:line="350" w:lineRule="auto"/>
              <w:ind w:left="276" w:right="-15" w:hanging="130"/>
              <w:jc w:val="left"/>
              <w:rPr>
                <w:sz w:val="20"/>
              </w:rPr>
            </w:pPr>
            <w:r>
              <w:rPr>
                <w:sz w:val="20"/>
              </w:rPr>
              <w:t>Dripping from waste trucks pollutes the road</w:t>
            </w:r>
            <w:r>
              <w:rPr>
                <w:sz w:val="20"/>
              </w:rPr>
              <w:t xml:space="preserve"> surface; deposited odorous gases exist</w:t>
            </w:r>
          </w:p>
          <w:p w14:paraId="4020C1BE">
            <w:pPr>
              <w:pStyle w:val="16"/>
              <w:spacing w:before="3"/>
              <w:ind w:left="276"/>
              <w:rPr>
                <w:sz w:val="20"/>
              </w:rPr>
            </w:pPr>
            <w:r>
              <w:rPr>
                <w:sz w:val="20"/>
              </w:rPr>
              <w:t>(Sligh</w:t>
            </w:r>
            <w:r>
              <w:rPr>
                <w:sz w:val="20"/>
              </w:rPr>
              <w:t>t)</w:t>
            </w:r>
          </w:p>
        </w:tc>
        <w:tc>
          <w:tcPr>
            <w:tcW w:w="3623" w:type="dxa"/>
          </w:tcPr>
          <w:p w14:paraId="29FB3088">
            <w:pPr>
              <w:pStyle w:val="16"/>
              <w:numPr>
                <w:ilvl w:val="0"/>
                <w:numId w:val="8"/>
              </w:numPr>
              <w:tabs>
                <w:tab w:val="left" w:pos="400"/>
              </w:tabs>
              <w:spacing w:before="246" w:after="0" w:line="240" w:lineRule="auto"/>
              <w:ind w:left="400" w:right="0" w:hanging="278"/>
              <w:jc w:val="left"/>
              <w:rPr>
                <w:sz w:val="20"/>
              </w:rPr>
            </w:pPr>
            <w:r>
              <w:rPr>
                <w:sz w:val="20"/>
              </w:rPr>
              <w:t>Water flushing;</w:t>
            </w:r>
          </w:p>
          <w:p w14:paraId="07E3CF72">
            <w:pPr>
              <w:pStyle w:val="16"/>
              <w:numPr>
                <w:ilvl w:val="0"/>
                <w:numId w:val="8"/>
              </w:numPr>
              <w:tabs>
                <w:tab w:val="left" w:pos="400"/>
              </w:tabs>
              <w:spacing w:before="119" w:after="0" w:line="240" w:lineRule="auto"/>
              <w:ind w:left="400" w:right="0" w:hanging="278"/>
              <w:jc w:val="left"/>
              <w:rPr>
                <w:sz w:val="20"/>
              </w:rPr>
            </w:pPr>
            <w:r>
              <w:rPr>
                <w:sz w:val="20"/>
              </w:rPr>
              <w:t>Plant deodorizer spraying.</w:t>
            </w:r>
          </w:p>
        </w:tc>
      </w:tr>
      <w:tr w14:paraId="7A028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3" w:hRule="atLeast"/>
        </w:trPr>
        <w:tc>
          <w:tcPr>
            <w:tcW w:w="919" w:type="dxa"/>
          </w:tcPr>
          <w:p w14:paraId="3B288F80">
            <w:pPr>
              <w:pStyle w:val="16"/>
              <w:rPr>
                <w:sz w:val="20"/>
              </w:rPr>
            </w:pPr>
          </w:p>
          <w:p w14:paraId="77A4C250">
            <w:pPr>
              <w:pStyle w:val="16"/>
              <w:rPr>
                <w:sz w:val="20"/>
              </w:rPr>
            </w:pPr>
          </w:p>
          <w:p w14:paraId="6FD4370F">
            <w:pPr>
              <w:pStyle w:val="16"/>
              <w:spacing w:before="39"/>
              <w:rPr>
                <w:sz w:val="20"/>
              </w:rPr>
            </w:pPr>
          </w:p>
          <w:p w14:paraId="2579AF1F">
            <w:pPr>
              <w:pStyle w:val="16"/>
              <w:ind w:right="198"/>
              <w:jc w:val="right"/>
              <w:rPr>
                <w:sz w:val="20"/>
              </w:rPr>
            </w:pPr>
            <w:r>
              <w:rPr>
                <w:spacing w:val="-10"/>
                <w:sz w:val="20"/>
              </w:rPr>
              <w:t>2</w:t>
            </w:r>
          </w:p>
        </w:tc>
        <w:tc>
          <w:tcPr>
            <w:tcW w:w="1306" w:type="dxa"/>
          </w:tcPr>
          <w:p w14:paraId="61C751EA">
            <w:pPr>
              <w:pStyle w:val="16"/>
              <w:rPr>
                <w:sz w:val="20"/>
              </w:rPr>
            </w:pPr>
          </w:p>
          <w:p w14:paraId="1AF35DDE">
            <w:pPr>
              <w:pStyle w:val="16"/>
              <w:spacing w:before="108"/>
              <w:rPr>
                <w:sz w:val="20"/>
              </w:rPr>
            </w:pPr>
          </w:p>
          <w:p w14:paraId="5201010C">
            <w:pPr>
              <w:pStyle w:val="16"/>
              <w:spacing w:line="350" w:lineRule="auto"/>
              <w:ind w:left="107" w:right="102"/>
              <w:rPr>
                <w:sz w:val="20"/>
              </w:rPr>
            </w:pPr>
            <w:r>
              <w:rPr>
                <w:sz w:val="20"/>
              </w:rPr>
              <w:t>Waste tipping</w:t>
            </w:r>
            <w:r>
              <w:rPr>
                <w:sz w:val="20"/>
              </w:rPr>
              <w:t xml:space="preserve"> hall</w:t>
            </w:r>
          </w:p>
        </w:tc>
        <w:tc>
          <w:tcPr>
            <w:tcW w:w="2446" w:type="dxa"/>
          </w:tcPr>
          <w:p w14:paraId="0D63B76D">
            <w:pPr>
              <w:pStyle w:val="16"/>
              <w:numPr>
                <w:ilvl w:val="0"/>
                <w:numId w:val="9"/>
              </w:numPr>
              <w:tabs>
                <w:tab w:val="left" w:pos="276"/>
              </w:tabs>
              <w:spacing w:before="59" w:after="0" w:line="350" w:lineRule="auto"/>
              <w:ind w:left="276" w:right="-15" w:hanging="130"/>
              <w:jc w:val="left"/>
              <w:rPr>
                <w:sz w:val="20"/>
              </w:rPr>
            </w:pPr>
            <w:r>
              <w:rPr>
                <w:sz w:val="20"/>
              </w:rPr>
              <w:t>Dripping from waste trucks pollutes the road</w:t>
            </w:r>
            <w:r>
              <w:rPr>
                <w:sz w:val="20"/>
              </w:rPr>
              <w:t xml:space="preserve"> surface; deposited odorous gases exist</w:t>
            </w:r>
          </w:p>
          <w:p w14:paraId="79222D5F">
            <w:pPr>
              <w:pStyle w:val="16"/>
              <w:ind w:left="276"/>
              <w:rPr>
                <w:sz w:val="20"/>
              </w:rPr>
            </w:pPr>
            <w:r>
              <w:rPr>
                <w:sz w:val="20"/>
              </w:rPr>
              <w:t>(Sever</w:t>
            </w:r>
            <w:r>
              <w:rPr>
                <w:sz w:val="20"/>
              </w:rPr>
              <w:t>e)</w:t>
            </w:r>
          </w:p>
          <w:p w14:paraId="561F0E85">
            <w:pPr>
              <w:pStyle w:val="16"/>
              <w:numPr>
                <w:ilvl w:val="0"/>
                <w:numId w:val="9"/>
              </w:numPr>
              <w:tabs>
                <w:tab w:val="left" w:pos="276"/>
              </w:tabs>
              <w:spacing w:before="7" w:after="0" w:line="370" w:lineRule="atLeast"/>
              <w:ind w:left="276" w:right="161" w:hanging="130"/>
              <w:jc w:val="left"/>
              <w:rPr>
                <w:sz w:val="20"/>
              </w:rPr>
            </w:pPr>
            <w:r>
              <w:rPr>
                <w:sz w:val="20"/>
              </w:rPr>
              <w:t>Odor from the waste bunker escapes through the discharge</w:t>
            </w:r>
            <w:r>
              <w:rPr>
                <w:sz w:val="20"/>
              </w:rPr>
              <w:t xml:space="preserve"> doors</w:t>
            </w:r>
          </w:p>
        </w:tc>
        <w:tc>
          <w:tcPr>
            <w:tcW w:w="3623" w:type="dxa"/>
          </w:tcPr>
          <w:p w14:paraId="7C6FCD42">
            <w:pPr>
              <w:pStyle w:val="16"/>
              <w:numPr>
                <w:ilvl w:val="0"/>
                <w:numId w:val="10"/>
              </w:numPr>
              <w:tabs>
                <w:tab w:val="left" w:pos="400"/>
              </w:tabs>
              <w:spacing w:before="246" w:after="0" w:line="240" w:lineRule="auto"/>
              <w:ind w:left="400" w:right="0" w:hanging="278"/>
              <w:jc w:val="left"/>
              <w:rPr>
                <w:sz w:val="20"/>
              </w:rPr>
            </w:pPr>
            <w:r>
              <w:rPr>
                <w:sz w:val="20"/>
              </w:rPr>
              <w:t>Enclosed structure with slightly negative pressure;</w:t>
            </w:r>
          </w:p>
          <w:p w14:paraId="5D84E895">
            <w:pPr>
              <w:pStyle w:val="16"/>
              <w:numPr>
                <w:ilvl w:val="0"/>
                <w:numId w:val="10"/>
              </w:numPr>
              <w:tabs>
                <w:tab w:val="left" w:pos="400"/>
              </w:tabs>
              <w:spacing w:before="118" w:after="0" w:line="240" w:lineRule="auto"/>
              <w:ind w:left="400" w:right="0" w:hanging="278"/>
              <w:jc w:val="left"/>
              <w:rPr>
                <w:sz w:val="20"/>
              </w:rPr>
            </w:pPr>
            <w:r>
              <w:rPr>
                <w:sz w:val="20"/>
              </w:rPr>
              <w:t>Air curtains at the gates prevent odorous gas from escaping;</w:t>
            </w:r>
          </w:p>
          <w:p w14:paraId="2284BEE1">
            <w:pPr>
              <w:pStyle w:val="16"/>
              <w:numPr>
                <w:ilvl w:val="0"/>
                <w:numId w:val="10"/>
              </w:numPr>
              <w:tabs>
                <w:tab w:val="left" w:pos="400"/>
              </w:tabs>
              <w:spacing w:before="118" w:after="0" w:line="240" w:lineRule="auto"/>
              <w:ind w:left="400" w:right="0" w:hanging="278"/>
              <w:jc w:val="left"/>
              <w:rPr>
                <w:sz w:val="20"/>
              </w:rPr>
            </w:pPr>
            <w:r>
              <w:rPr>
                <w:sz w:val="20"/>
              </w:rPr>
              <w:t>Waste discharge doors are opened under the guidance of the central control room;</w:t>
            </w:r>
          </w:p>
          <w:p w14:paraId="5812E4A0">
            <w:pPr>
              <w:pStyle w:val="16"/>
              <w:numPr>
                <w:ilvl w:val="0"/>
                <w:numId w:val="10"/>
              </w:numPr>
              <w:tabs>
                <w:tab w:val="left" w:pos="400"/>
              </w:tabs>
              <w:spacing w:before="121" w:after="0" w:line="240" w:lineRule="auto"/>
              <w:ind w:left="400" w:right="0" w:hanging="278"/>
              <w:jc w:val="left"/>
              <w:rPr>
                <w:sz w:val="20"/>
              </w:rPr>
            </w:pPr>
            <w:r>
              <w:rPr>
                <w:sz w:val="20"/>
              </w:rPr>
              <w:t>Water flushing and plant deodorizer spraying.</w:t>
            </w:r>
          </w:p>
        </w:tc>
      </w:tr>
      <w:tr w14:paraId="080FD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919" w:type="dxa"/>
          </w:tcPr>
          <w:p w14:paraId="2C9A0314">
            <w:pPr>
              <w:pStyle w:val="16"/>
              <w:rPr>
                <w:sz w:val="20"/>
              </w:rPr>
            </w:pPr>
          </w:p>
          <w:p w14:paraId="0250F0EA">
            <w:pPr>
              <w:pStyle w:val="16"/>
              <w:rPr>
                <w:sz w:val="20"/>
              </w:rPr>
            </w:pPr>
          </w:p>
          <w:p w14:paraId="49256D1C">
            <w:pPr>
              <w:pStyle w:val="16"/>
              <w:spacing w:before="41"/>
              <w:rPr>
                <w:sz w:val="20"/>
              </w:rPr>
            </w:pPr>
          </w:p>
          <w:p w14:paraId="4053758A">
            <w:pPr>
              <w:pStyle w:val="16"/>
              <w:spacing w:before="1"/>
              <w:ind w:right="198"/>
              <w:jc w:val="right"/>
              <w:rPr>
                <w:sz w:val="20"/>
              </w:rPr>
            </w:pPr>
            <w:r>
              <w:rPr>
                <w:spacing w:val="-10"/>
                <w:sz w:val="20"/>
              </w:rPr>
              <w:t>3</w:t>
            </w:r>
          </w:p>
        </w:tc>
        <w:tc>
          <w:tcPr>
            <w:tcW w:w="1306" w:type="dxa"/>
          </w:tcPr>
          <w:p w14:paraId="126A9A2A">
            <w:pPr>
              <w:pStyle w:val="16"/>
              <w:rPr>
                <w:sz w:val="20"/>
              </w:rPr>
            </w:pPr>
          </w:p>
          <w:p w14:paraId="63B278F2">
            <w:pPr>
              <w:pStyle w:val="16"/>
              <w:rPr>
                <w:sz w:val="20"/>
              </w:rPr>
            </w:pPr>
          </w:p>
          <w:p w14:paraId="08EE3039">
            <w:pPr>
              <w:pStyle w:val="16"/>
              <w:spacing w:before="41"/>
              <w:rPr>
                <w:sz w:val="20"/>
              </w:rPr>
            </w:pPr>
          </w:p>
          <w:p w14:paraId="722F46A4">
            <w:pPr>
              <w:pStyle w:val="16"/>
              <w:spacing w:before="1"/>
              <w:ind w:right="187"/>
              <w:jc w:val="right"/>
              <w:rPr>
                <w:sz w:val="20"/>
              </w:rPr>
            </w:pPr>
            <w:r>
              <w:rPr>
                <w:sz w:val="20"/>
              </w:rPr>
              <w:t>Waste pit</w:t>
            </w:r>
          </w:p>
        </w:tc>
        <w:tc>
          <w:tcPr>
            <w:tcW w:w="2446" w:type="dxa"/>
          </w:tcPr>
          <w:p w14:paraId="0A088B3D">
            <w:pPr>
              <w:pStyle w:val="16"/>
              <w:spacing w:before="177"/>
              <w:rPr>
                <w:sz w:val="20"/>
              </w:rPr>
            </w:pPr>
          </w:p>
          <w:p w14:paraId="67F64053">
            <w:pPr>
              <w:pStyle w:val="16"/>
              <w:numPr>
                <w:ilvl w:val="0"/>
                <w:numId w:val="11"/>
              </w:numPr>
              <w:tabs>
                <w:tab w:val="left" w:pos="276"/>
              </w:tabs>
              <w:spacing w:before="0" w:after="0" w:line="352" w:lineRule="auto"/>
              <w:ind w:left="276" w:right="7" w:hanging="130"/>
              <w:jc w:val="left"/>
              <w:rPr>
                <w:position w:val="1"/>
                <w:sz w:val="20"/>
              </w:rPr>
            </w:pPr>
            <w:r>
              <w:rPr>
                <w:sz w:val="20"/>
              </w:rPr>
              <w:t>Odor from waste fermentation;</w:t>
            </w:r>
            <w:r>
              <w:rPr>
                <w:position w:val="1"/>
                <w:sz w:val="20"/>
              </w:rPr>
              <w:t xml:space="preserve"> main</w:t>
            </w:r>
            <w:r>
              <w:rPr>
                <w:sz w:val="10"/>
              </w:rPr>
              <w:t xml:space="preserve"> components:</w:t>
            </w:r>
            <w:r>
              <w:rPr>
                <w:position w:val="1"/>
                <w:sz w:val="20"/>
              </w:rPr>
              <w:t xml:space="preserve"> H2S,</w:t>
            </w:r>
            <w:r>
              <w:rPr>
                <w:sz w:val="10"/>
              </w:rPr>
              <w:t xml:space="preserve"> NH3,</w:t>
            </w:r>
            <w:r>
              <w:rPr>
                <w:position w:val="1"/>
                <w:sz w:val="20"/>
              </w:rPr>
              <w:t xml:space="preserve"> SO2,</w:t>
            </w:r>
            <w:r>
              <w:rPr>
                <w:sz w:val="10"/>
              </w:rPr>
              <w:t xml:space="preserve"> CH4</w:t>
            </w:r>
            <w:r>
              <w:rPr>
                <w:position w:val="1"/>
                <w:sz w:val="20"/>
              </w:rPr>
              <w:t xml:space="preserve"> and</w:t>
            </w:r>
            <w:r>
              <w:rPr>
                <w:position w:val="1"/>
                <w:sz w:val="20"/>
              </w:rPr>
              <w:t xml:space="preserve"> </w:t>
            </w:r>
            <w:r>
              <w:rPr>
                <w:sz w:val="10"/>
              </w:rPr>
              <w:t>m</w:t>
            </w:r>
            <w:r>
              <w:rPr>
                <w:spacing w:val="-26"/>
                <w:sz w:val="10"/>
              </w:rPr>
              <w:t/>
            </w:r>
            <w:r>
              <w:rPr>
                <w:position w:val="1"/>
                <w:sz w:val="20"/>
              </w:rPr>
              <w:t>ercaptan</w:t>
            </w:r>
          </w:p>
        </w:tc>
        <w:tc>
          <w:tcPr>
            <w:tcW w:w="3623" w:type="dxa"/>
          </w:tcPr>
          <w:p w14:paraId="519913D3">
            <w:pPr>
              <w:pStyle w:val="16"/>
              <w:numPr>
                <w:ilvl w:val="0"/>
                <w:numId w:val="12"/>
              </w:numPr>
              <w:tabs>
                <w:tab w:val="left" w:pos="400"/>
              </w:tabs>
              <w:spacing w:before="59" w:after="0" w:line="240" w:lineRule="auto"/>
              <w:ind w:left="400" w:right="0" w:hanging="278"/>
              <w:jc w:val="left"/>
              <w:rPr>
                <w:sz w:val="20"/>
              </w:rPr>
            </w:pPr>
            <w:r>
              <w:rPr>
                <w:sz w:val="20"/>
              </w:rPr>
              <w:t>Enclosed structure with slightly negative pressure;</w:t>
            </w:r>
          </w:p>
          <w:p w14:paraId="4E31CFD5">
            <w:pPr>
              <w:pStyle w:val="16"/>
              <w:numPr>
                <w:ilvl w:val="0"/>
                <w:numId w:val="12"/>
              </w:numPr>
              <w:tabs>
                <w:tab w:val="left" w:pos="400"/>
              </w:tabs>
              <w:spacing w:before="118" w:after="0" w:line="352" w:lineRule="auto"/>
              <w:ind w:left="400" w:right="11" w:hanging="279"/>
              <w:jc w:val="left"/>
              <w:rPr>
                <w:sz w:val="20"/>
              </w:rPr>
            </w:pPr>
            <w:r>
              <w:rPr>
                <w:sz w:val="20"/>
              </w:rPr>
              <w:t>During normal operation, primary air is drawn from the upper part of the</w:t>
            </w:r>
            <w:r>
              <w:rPr>
                <w:sz w:val="20"/>
              </w:rPr>
              <w:t xml:space="preserve"> waste pit, and the odorous gas is burned and decomposed in the incinerator;</w:t>
            </w:r>
          </w:p>
          <w:p w14:paraId="3123B13E">
            <w:pPr>
              <w:pStyle w:val="16"/>
              <w:numPr>
                <w:ilvl w:val="0"/>
                <w:numId w:val="12"/>
              </w:numPr>
              <w:tabs>
                <w:tab w:val="left" w:pos="400"/>
              </w:tabs>
              <w:spacing w:before="0" w:after="0" w:line="254" w:lineRule="atLeast"/>
              <w:ind w:left="400" w:right="0" w:hanging="278"/>
              <w:jc w:val="left"/>
              <w:rPr>
                <w:sz w:val="20"/>
              </w:rPr>
            </w:pPr>
            <w:r>
              <w:rPr>
                <w:sz w:val="20"/>
              </w:rPr>
              <w:t>When the incinerator is shut down, the odorous gas is drawn by the deodorizer</w:t>
            </w:r>
          </w:p>
          <w:p w14:paraId="1E4890CE">
            <w:pPr>
              <w:pStyle w:val="16"/>
              <w:spacing w:before="118"/>
              <w:ind w:left="400"/>
              <w:rPr>
                <w:sz w:val="20"/>
              </w:rPr>
            </w:pPr>
            <w:r>
              <w:rPr>
                <w:sz w:val="20"/>
              </w:rPr>
              <w:t>and discharged in compliance with standards after adsorption by the activated carbon device.</w:t>
            </w:r>
          </w:p>
        </w:tc>
      </w:tr>
      <w:tr w14:paraId="22BAE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919" w:type="dxa"/>
          </w:tcPr>
          <w:p w14:paraId="366ADFA3">
            <w:pPr>
              <w:pStyle w:val="16"/>
              <w:spacing w:before="246"/>
              <w:ind w:right="198"/>
              <w:jc w:val="right"/>
              <w:rPr>
                <w:sz w:val="20"/>
              </w:rPr>
            </w:pPr>
            <w:r>
              <w:rPr>
                <w:spacing w:val="-10"/>
                <w:sz w:val="20"/>
              </w:rPr>
              <w:t>4</w:t>
            </w:r>
          </w:p>
        </w:tc>
        <w:tc>
          <w:tcPr>
            <w:tcW w:w="1306" w:type="dxa"/>
          </w:tcPr>
          <w:p w14:paraId="70E214D2">
            <w:pPr>
              <w:pStyle w:val="16"/>
              <w:spacing w:before="59"/>
              <w:ind w:left="112"/>
              <w:rPr>
                <w:sz w:val="20"/>
              </w:rPr>
            </w:pPr>
            <w:r>
              <w:rPr>
                <w:rFonts w:ascii="Times New Roman" w:eastAsia="Times New Roman"/>
                <w:spacing w:val="-23"/>
                <w:sz w:val="20"/>
              </w:rPr>
              <w:t xml:space="preserve"> </w:t>
            </w:r>
            <w:r>
              <w:rPr>
                <w:sz w:val="20"/>
              </w:rPr>
              <w:t>Leachate tank,</w:t>
            </w:r>
          </w:p>
          <w:p w14:paraId="201EF5C8">
            <w:pPr>
              <w:pStyle w:val="16"/>
              <w:spacing w:before="120"/>
              <w:ind w:left="107"/>
              <w:rPr>
                <w:sz w:val="20"/>
              </w:rPr>
            </w:pPr>
            <w:r>
              <w:rPr>
                <w:sz w:val="20"/>
              </w:rPr>
              <w:t>flushing corridor</w:t>
            </w:r>
          </w:p>
        </w:tc>
        <w:tc>
          <w:tcPr>
            <w:tcW w:w="2446" w:type="dxa"/>
          </w:tcPr>
          <w:p w14:paraId="13CF70EF">
            <w:pPr>
              <w:pStyle w:val="16"/>
              <w:numPr>
                <w:ilvl w:val="0"/>
                <w:numId w:val="13"/>
              </w:numPr>
              <w:tabs>
                <w:tab w:val="left" w:pos="475"/>
              </w:tabs>
              <w:spacing w:before="59" w:after="0" w:line="240" w:lineRule="auto"/>
              <w:ind w:left="475" w:right="0" w:hanging="329"/>
              <w:jc w:val="left"/>
              <w:rPr>
                <w:sz w:val="20"/>
              </w:rPr>
            </w:pPr>
            <w:r>
              <w:rPr>
                <w:sz w:val="20"/>
              </w:rPr>
              <w:t>Area where leachate drainage converges,</w:t>
            </w:r>
          </w:p>
          <w:p w14:paraId="2E6F52B8">
            <w:pPr>
              <w:pStyle w:val="16"/>
              <w:spacing w:before="120"/>
              <w:ind w:left="276"/>
              <w:rPr>
                <w:sz w:val="20"/>
              </w:rPr>
            </w:pPr>
            <w:r>
              <w:rPr>
                <w:sz w:val="20"/>
              </w:rPr>
              <w:t>strong odor</w:t>
            </w:r>
          </w:p>
        </w:tc>
        <w:tc>
          <w:tcPr>
            <w:tcW w:w="3623" w:type="dxa"/>
          </w:tcPr>
          <w:p w14:paraId="66938D3C">
            <w:pPr>
              <w:pStyle w:val="16"/>
              <w:numPr>
                <w:ilvl w:val="0"/>
                <w:numId w:val="14"/>
              </w:numPr>
              <w:tabs>
                <w:tab w:val="left" w:pos="400"/>
              </w:tabs>
              <w:spacing w:before="59" w:after="0" w:line="240" w:lineRule="auto"/>
              <w:ind w:left="400" w:right="0" w:hanging="278"/>
              <w:jc w:val="left"/>
              <w:rPr>
                <w:sz w:val="20"/>
              </w:rPr>
            </w:pPr>
            <w:r>
              <w:rPr>
                <w:sz w:val="20"/>
              </w:rPr>
              <w:t>Mechanical ventilation with fresh air drawn from outdoors</w:t>
            </w:r>
          </w:p>
          <w:p w14:paraId="51BD2E36">
            <w:pPr>
              <w:pStyle w:val="16"/>
              <w:numPr>
                <w:ilvl w:val="0"/>
                <w:numId w:val="14"/>
              </w:numPr>
              <w:tabs>
                <w:tab w:val="left" w:pos="400"/>
              </w:tabs>
              <w:spacing w:before="120" w:after="0" w:line="240" w:lineRule="auto"/>
              <w:ind w:left="400" w:right="0" w:hanging="278"/>
              <w:jc w:val="left"/>
              <w:rPr>
                <w:sz w:val="20"/>
              </w:rPr>
            </w:pPr>
            <w:r>
              <w:rPr>
                <w:sz w:val="20"/>
              </w:rPr>
              <w:t>Mechanical exhaust, with exhaust air sent to the waste pit</w:t>
            </w:r>
          </w:p>
        </w:tc>
      </w:tr>
      <w:tr w14:paraId="660C4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919" w:type="dxa"/>
          </w:tcPr>
          <w:p w14:paraId="75768C3C">
            <w:pPr>
              <w:pStyle w:val="16"/>
              <w:spacing w:before="246"/>
              <w:ind w:right="198"/>
              <w:jc w:val="right"/>
              <w:rPr>
                <w:sz w:val="20"/>
              </w:rPr>
            </w:pPr>
            <w:r>
              <w:rPr>
                <w:spacing w:val="-10"/>
                <w:sz w:val="20"/>
              </w:rPr>
              <w:t>5</w:t>
            </w:r>
          </w:p>
        </w:tc>
        <w:tc>
          <w:tcPr>
            <w:tcW w:w="1306" w:type="dxa"/>
          </w:tcPr>
          <w:p w14:paraId="69FA245E">
            <w:pPr>
              <w:pStyle w:val="16"/>
              <w:spacing w:before="59"/>
              <w:ind w:left="107"/>
              <w:rPr>
                <w:sz w:val="20"/>
              </w:rPr>
            </w:pPr>
            <w:r>
              <w:rPr>
                <w:sz w:val="20"/>
              </w:rPr>
              <w:t>Rear furnace area</w:t>
            </w:r>
            <w:r>
              <w:rPr>
                <w:spacing w:val="-10"/>
                <w:sz w:val="20"/>
              </w:rPr>
              <w:t xml:space="preserve"> </w:t>
            </w:r>
          </w:p>
          <w:p w14:paraId="285E84A0">
            <w:pPr>
              <w:pStyle w:val="16"/>
              <w:spacing w:before="118"/>
              <w:ind w:left="107"/>
              <w:rPr>
                <w:sz w:val="20"/>
              </w:rPr>
            </w:pPr>
            <w:r>
              <w:rPr>
                <w:sz w:val="20"/>
              </w:rPr>
              <w:t>(slag</w:t>
            </w:r>
            <w:r>
              <w:rPr>
                <w:sz w:val="20"/>
              </w:rPr>
              <w:t xml:space="preserve"> pit)</w:t>
            </w:r>
          </w:p>
        </w:tc>
        <w:tc>
          <w:tcPr>
            <w:tcW w:w="2446" w:type="dxa"/>
          </w:tcPr>
          <w:p w14:paraId="5F638336">
            <w:pPr>
              <w:pStyle w:val="16"/>
              <w:numPr>
                <w:ilvl w:val="0"/>
                <w:numId w:val="15"/>
              </w:numPr>
              <w:tabs>
                <w:tab w:val="left" w:pos="275"/>
              </w:tabs>
              <w:spacing w:before="59" w:after="0" w:line="240" w:lineRule="auto"/>
              <w:ind w:left="275" w:right="0" w:hanging="129"/>
              <w:jc w:val="left"/>
              <w:rPr>
                <w:sz w:val="20"/>
              </w:rPr>
            </w:pPr>
            <w:r>
              <w:rPr>
                <w:sz w:val="20"/>
              </w:rPr>
              <w:t>Odor of residual organic matter after incineration</w:t>
            </w:r>
          </w:p>
          <w:p w14:paraId="6F6D1E03">
            <w:pPr>
              <w:pStyle w:val="16"/>
              <w:spacing w:before="118"/>
              <w:ind w:left="276"/>
              <w:rPr>
                <w:sz w:val="20"/>
              </w:rPr>
            </w:pPr>
            <w:r>
              <w:rPr>
                <w:sz w:val="20"/>
              </w:rPr>
              <w:t>(Sligh</w:t>
            </w:r>
            <w:r>
              <w:rPr>
                <w:sz w:val="20"/>
              </w:rPr>
              <w:t>t)</w:t>
            </w:r>
          </w:p>
        </w:tc>
        <w:tc>
          <w:tcPr>
            <w:tcW w:w="3623" w:type="dxa"/>
          </w:tcPr>
          <w:p w14:paraId="6127C962">
            <w:pPr>
              <w:pStyle w:val="16"/>
              <w:numPr>
                <w:ilvl w:val="0"/>
                <w:numId w:val="16"/>
              </w:numPr>
              <w:tabs>
                <w:tab w:val="left" w:pos="400"/>
              </w:tabs>
              <w:spacing w:before="59" w:after="0" w:line="240" w:lineRule="auto"/>
              <w:ind w:left="400" w:right="0" w:hanging="278"/>
              <w:jc w:val="left"/>
              <w:rPr>
                <w:sz w:val="20"/>
              </w:rPr>
            </w:pPr>
            <w:r>
              <w:rPr>
                <w:sz w:val="20"/>
              </w:rPr>
              <w:t>High-level discharge</w:t>
            </w:r>
          </w:p>
          <w:p w14:paraId="6AA432F3">
            <w:pPr>
              <w:pStyle w:val="16"/>
              <w:numPr>
                <w:ilvl w:val="0"/>
                <w:numId w:val="16"/>
              </w:numPr>
              <w:tabs>
                <w:tab w:val="left" w:pos="400"/>
              </w:tabs>
              <w:spacing w:before="118" w:after="0" w:line="240" w:lineRule="auto"/>
              <w:ind w:left="400" w:right="0" w:hanging="278"/>
              <w:jc w:val="left"/>
              <w:rPr>
                <w:sz w:val="20"/>
              </w:rPr>
            </w:pPr>
            <w:r>
              <w:rPr>
                <w:sz w:val="20"/>
              </w:rPr>
              <w:t>Exhaust drawn into the secondary air fan</w:t>
            </w:r>
          </w:p>
        </w:tc>
      </w:tr>
      <w:tr w14:paraId="16E47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919" w:type="dxa"/>
          </w:tcPr>
          <w:p w14:paraId="172D4489">
            <w:pPr>
              <w:pStyle w:val="16"/>
              <w:spacing w:before="180"/>
              <w:rPr>
                <w:sz w:val="20"/>
              </w:rPr>
            </w:pPr>
          </w:p>
          <w:p w14:paraId="5C3DD0CD">
            <w:pPr>
              <w:pStyle w:val="16"/>
              <w:ind w:right="198"/>
              <w:jc w:val="right"/>
              <w:rPr>
                <w:sz w:val="20"/>
              </w:rPr>
            </w:pPr>
            <w:r>
              <w:rPr>
                <w:spacing w:val="-10"/>
                <w:sz w:val="20"/>
              </w:rPr>
              <w:t>6</w:t>
            </w:r>
          </w:p>
        </w:tc>
        <w:tc>
          <w:tcPr>
            <w:tcW w:w="1306" w:type="dxa"/>
          </w:tcPr>
          <w:p w14:paraId="44469EFB">
            <w:pPr>
              <w:pStyle w:val="16"/>
              <w:spacing w:before="249" w:line="350" w:lineRule="auto"/>
              <w:ind w:left="107" w:right="102"/>
              <w:rPr>
                <w:sz w:val="20"/>
              </w:rPr>
            </w:pPr>
            <w:r>
              <w:rPr>
                <w:sz w:val="20"/>
              </w:rPr>
              <w:t>Central control room</w:t>
            </w:r>
            <w:r>
              <w:rPr>
                <w:sz w:val="20"/>
              </w:rPr>
              <w:t xml:space="preserve"> and visitor corridor</w:t>
            </w:r>
          </w:p>
        </w:tc>
        <w:tc>
          <w:tcPr>
            <w:tcW w:w="2446" w:type="dxa"/>
          </w:tcPr>
          <w:p w14:paraId="531970C7">
            <w:pPr>
              <w:pStyle w:val="16"/>
              <w:numPr>
                <w:ilvl w:val="0"/>
                <w:numId w:val="17"/>
              </w:numPr>
              <w:tabs>
                <w:tab w:val="left" w:pos="276"/>
              </w:tabs>
              <w:spacing w:before="59" w:after="0" w:line="240" w:lineRule="auto"/>
              <w:ind w:left="276" w:right="0" w:hanging="130"/>
              <w:jc w:val="left"/>
              <w:rPr>
                <w:sz w:val="20"/>
              </w:rPr>
            </w:pPr>
            <w:r>
              <w:rPr>
                <w:sz w:val="20"/>
              </w:rPr>
              <w:t>Escape of odor from waste storage,</w:t>
            </w:r>
          </w:p>
          <w:p w14:paraId="3D50EC49">
            <w:pPr>
              <w:pStyle w:val="16"/>
              <w:spacing w:before="7" w:line="370" w:lineRule="atLeast"/>
              <w:ind w:left="276" w:right="161"/>
              <w:rPr>
                <w:sz w:val="20"/>
              </w:rPr>
            </w:pPr>
            <w:r>
              <w:rPr>
                <w:sz w:val="20"/>
              </w:rPr>
              <w:t>odorous gas pollution from incineration</w:t>
            </w:r>
            <w:r>
              <w:rPr>
                <w:sz w:val="20"/>
              </w:rPr>
              <w:t xml:space="preserve"> (Slight)</w:t>
            </w:r>
          </w:p>
        </w:tc>
        <w:tc>
          <w:tcPr>
            <w:tcW w:w="3623" w:type="dxa"/>
          </w:tcPr>
          <w:p w14:paraId="13AA9BF5">
            <w:pPr>
              <w:pStyle w:val="16"/>
              <w:spacing w:before="249" w:line="350" w:lineRule="auto"/>
              <w:ind w:left="400" w:right="102" w:hanging="279"/>
              <w:rPr>
                <w:sz w:val="20"/>
              </w:rPr>
            </w:pPr>
            <w:r>
              <w:rPr>
                <w:sz w:val="20"/>
              </w:rPr>
              <w:t>1.</w:t>
            </w:r>
            <w:r>
              <w:rPr>
                <w:sz w:val="20"/>
              </w:rPr>
              <w:t xml:space="preserve"> Effectively separated from odor sources, supplied with outdoor</w:t>
            </w:r>
            <w:r>
              <w:rPr>
                <w:sz w:val="20"/>
              </w:rPr>
              <w:t xml:space="preserve"> fresh</w:t>
            </w:r>
            <w:r>
              <w:rPr>
                <w:sz w:val="20"/>
              </w:rPr>
              <w:t xml:space="preserve"> air, and kept at positive pressure to prevent odor</w:t>
            </w:r>
            <w:r>
              <w:rPr>
                <w:sz w:val="20"/>
              </w:rPr>
              <w:t xml:space="preserve"> intrusion</w:t>
            </w:r>
          </w:p>
        </w:tc>
      </w:tr>
    </w:tbl>
    <w:p w14:paraId="74AFC414">
      <w:pPr>
        <w:pStyle w:val="5"/>
      </w:pPr>
    </w:p>
    <w:p w14:paraId="4265607F">
      <w:pPr>
        <w:pStyle w:val="5"/>
        <w:spacing w:before="127" w:line="381" w:lineRule="auto"/>
        <w:ind w:left="230" w:right="792"/>
        <w:jc w:val="both"/>
      </w:pPr>
      <w:r>
        <w:rPr/>
        <w:t>Meanwhile, the highly active beneficial microbial flora contained in the deodorizer can inhibit the proliferation of spoilage microorganisms, thereby slowing down the generation of odorous</w:t>
      </w:r>
      <w:r>
        <w:rPr/>
        <w:t xml:space="preserve"> gases. When the waste pyrolysis gasifier is in operation, the oxygen supply fan draws air from the waste storage pit to maintain the negative pressure state of the pit, with makeup air coming through the opening of the waste discharge doors. The biomass spray deodorization system is automatically started periodically to remove odor molecules in the room. With both</w:t>
      </w:r>
      <w:r>
        <w:rPr/>
        <w:t xml:space="preserve"> schemes implemented simultaneously, odors can be well removed and odor escape prevented.</w:t>
      </w:r>
    </w:p>
    <w:p w14:paraId="02FFF2B0">
      <w:pPr>
        <w:pStyle w:val="5"/>
      </w:pPr>
    </w:p>
    <w:p w14:paraId="560EC8EE">
      <w:pPr>
        <w:pStyle w:val="5"/>
      </w:pPr>
    </w:p>
    <w:p w14:paraId="2E15D569">
      <w:pPr>
        <w:pStyle w:val="5"/>
      </w:pPr>
    </w:p>
    <w:p w14:paraId="0FD4679E">
      <w:pPr>
        <w:pStyle w:val="5"/>
      </w:pPr>
    </w:p>
    <w:p w14:paraId="26FBDE70">
      <w:pPr>
        <w:pStyle w:val="5"/>
      </w:pPr>
    </w:p>
    <w:p w14:paraId="18FEE517">
      <w:pPr>
        <w:pStyle w:val="5"/>
      </w:pPr>
    </w:p>
    <w:p w14:paraId="47C1D4DD">
      <w:pPr>
        <w:pStyle w:val="5"/>
      </w:pPr>
    </w:p>
    <w:p w14:paraId="57E582B3">
      <w:pPr>
        <w:pStyle w:val="5"/>
      </w:pPr>
    </w:p>
    <w:p w14:paraId="3E5684AF">
      <w:pPr>
        <w:pStyle w:val="5"/>
      </w:pPr>
    </w:p>
    <w:p w14:paraId="40383DDB">
      <w:pPr>
        <w:pStyle w:val="5"/>
      </w:pPr>
    </w:p>
    <w:p w14:paraId="1E1A3B12">
      <w:pPr>
        <w:pStyle w:val="5"/>
      </w:pPr>
    </w:p>
    <w:p w14:paraId="397269EF">
      <w:pPr>
        <w:pStyle w:val="5"/>
      </w:pPr>
    </w:p>
    <w:p w14:paraId="3ABB6A36">
      <w:pPr>
        <w:pStyle w:val="5"/>
      </w:pPr>
    </w:p>
    <w:p w14:paraId="6A12B722">
      <w:pPr>
        <w:pStyle w:val="5"/>
      </w:pPr>
    </w:p>
    <w:p w14:paraId="5500703F">
      <w:pPr>
        <w:pStyle w:val="5"/>
      </w:pPr>
    </w:p>
    <w:p w14:paraId="0D546F37">
      <w:pPr>
        <w:pStyle w:val="5"/>
      </w:pPr>
    </w:p>
    <w:p w14:paraId="4F788115">
      <w:pPr>
        <w:pStyle w:val="5"/>
      </w:pPr>
    </w:p>
    <w:p w14:paraId="38170013">
      <w:pPr>
        <w:pStyle w:val="5"/>
      </w:pPr>
    </w:p>
    <w:p w14:paraId="1355FFE0">
      <w:pPr>
        <w:pStyle w:val="5"/>
      </w:pPr>
    </w:p>
    <w:p w14:paraId="55B39E8C">
      <w:pPr>
        <w:pStyle w:val="5"/>
      </w:pPr>
    </w:p>
    <w:p w14:paraId="2AB82A4A">
      <w:pPr>
        <w:pStyle w:val="5"/>
      </w:pPr>
    </w:p>
    <w:p w14:paraId="58B8476F">
      <w:pPr>
        <w:pStyle w:val="5"/>
      </w:pPr>
    </w:p>
    <w:p w14:paraId="598A53FC">
      <w:pPr>
        <w:pStyle w:val="5"/>
      </w:pPr>
    </w:p>
    <w:p w14:paraId="24B75612">
      <w:pPr>
        <w:pStyle w:val="5"/>
      </w:pPr>
    </w:p>
    <w:p w14:paraId="4B0ADFA9">
      <w:pPr>
        <w:pStyle w:val="5"/>
      </w:pPr>
    </w:p>
    <w:p w14:paraId="3DC58FF4">
      <w:pPr>
        <w:pStyle w:val="5"/>
      </w:pPr>
    </w:p>
    <w:p w14:paraId="23A58D02">
      <w:pPr>
        <w:pStyle w:val="5"/>
        <w:spacing w:before="297"/>
      </w:pPr>
    </w:p>
    <w:p w14:paraId="520DA968">
      <w:pPr>
        <w:pStyle w:val="4"/>
        <w:numPr>
          <w:ilvl w:val="2"/>
          <w:numId w:val="6"/>
        </w:numPr>
        <w:tabs>
          <w:tab w:val="left" w:pos="922"/>
        </w:tabs>
        <w:spacing w:before="0" w:after="0" w:line="240" w:lineRule="auto"/>
        <w:ind w:left="922" w:right="0" w:hanging="692"/>
        <w:jc w:val="left"/>
        <w:rPr>
          <w:rFonts w:ascii="Arial" w:eastAsia="Arial"/>
          <w:b/>
        </w:rPr>
      </w:pPr>
      <w:bookmarkStart w:id="5" w:name="_bookmark6"/>
      <w:bookmarkEnd w:id="5"/>
      <w:r>
        <w:rPr/>
        <w:t>Feeding and Conveying System</w:t>
      </w:r>
    </w:p>
    <w:p w14:paraId="03DA3FCD">
      <w:pPr>
        <w:pStyle w:val="5"/>
        <w:spacing w:before="79"/>
        <w:rPr>
          <w:sz w:val="28"/>
        </w:rPr>
      </w:pPr>
    </w:p>
    <w:p w14:paraId="0E35E75A">
      <w:pPr>
        <w:pStyle w:val="5"/>
        <w:ind w:left="710"/>
      </w:pPr>
      <w:r>
        <w:rPr/>
        <w:t>Waste Crane</w:t>
      </w:r>
    </w:p>
    <w:p w14:paraId="5929CCE3">
      <w:pPr>
        <w:pStyle w:val="5"/>
        <w:spacing w:before="37"/>
      </w:pPr>
    </w:p>
    <w:p w14:paraId="53E9179B">
      <w:pPr>
        <w:pStyle w:val="15"/>
        <w:numPr>
          <w:ilvl w:val="3"/>
          <w:numId w:val="18"/>
        </w:numPr>
        <w:tabs>
          <w:tab w:val="left" w:pos="1310"/>
        </w:tabs>
        <w:spacing w:before="1" w:after="0" w:line="508" w:lineRule="auto"/>
        <w:ind w:left="-480" w:leftChars="0" w:right="796" w:firstLine="480" w:firstLineChars="0"/>
        <w:jc w:val="left"/>
        <w:rPr>
          <w:sz w:val="24"/>
        </w:rPr>
      </w:pPr>
      <w:r>
        <w:rPr>
          <w:sz w:val="24"/>
        </w:rPr>
        <w:t>The waste grab crane is one of the key process equipment of the pyrolysis gasification plant, directly affecting the operational reliability of the plant. Its main components are imported products.</w:t>
      </w:r>
    </w:p>
    <w:p w14:paraId="773A2358">
      <w:pPr>
        <w:pStyle w:val="15"/>
        <w:numPr>
          <w:ilvl w:val="3"/>
          <w:numId w:val="18"/>
        </w:numPr>
        <w:tabs>
          <w:tab w:val="left" w:pos="1310"/>
        </w:tabs>
        <w:spacing w:before="0" w:after="0" w:line="240" w:lineRule="auto"/>
        <w:ind w:left="600" w:leftChars="0" w:right="0" w:hanging="600" w:firstLineChars="0"/>
        <w:jc w:val="left"/>
        <w:rPr>
          <w:sz w:val="24"/>
        </w:rPr>
      </w:pPr>
      <w:r>
        <w:rPr>
          <w:sz w:val="24"/>
        </w:rPr>
        <w:t>The waste grab crane is located above the waste pit and is mainly responsible for feeding, handling,</w:t>
      </w:r>
    </w:p>
    <w:p w14:paraId="78093125">
      <w:pPr>
        <w:pStyle w:val="15"/>
        <w:spacing w:after="0" w:line="240" w:lineRule="auto"/>
        <w:jc w:val="left"/>
        <w:rPr>
          <w:sz w:val="24"/>
        </w:rPr>
        <w:sectPr>
          <w:pgSz w:w="11910" w:h="16840"/>
          <w:pgMar w:top="1400" w:right="283" w:bottom="820" w:left="850" w:header="761" w:footer="628" w:gutter="0"/>
          <w:cols w:space="720" w:num="1"/>
        </w:sectPr>
      </w:pPr>
    </w:p>
    <w:p w14:paraId="7B32BFED">
      <w:pPr>
        <w:pStyle w:val="5"/>
        <w:spacing w:before="209"/>
        <w:ind w:left="230"/>
      </w:pPr>
      <w:r>
        <w:rPr/>
        <w:t>turning over, sorting and stacking of incoming waste and transferred waste. This</w:t>
      </w:r>
      <w:r>
        <w:rPr>
          <w:rFonts w:ascii="Times New Roman" w:eastAsia="Times New Roman"/>
        </w:rPr>
        <w:t xml:space="preserve"> project</w:t>
      </w:r>
      <w:r>
        <w:rPr/>
        <w:t xml:space="preserve"> is equipped with 1 single-girder grab crane.</w:t>
      </w:r>
    </w:p>
    <w:p w14:paraId="52B48614">
      <w:pPr>
        <w:pStyle w:val="5"/>
        <w:spacing w:before="38"/>
      </w:pPr>
    </w:p>
    <w:p w14:paraId="7ADBBE3C">
      <w:pPr>
        <w:pStyle w:val="15"/>
        <w:numPr>
          <w:ilvl w:val="3"/>
          <w:numId w:val="18"/>
        </w:numPr>
        <w:tabs>
          <w:tab w:val="left" w:pos="1290"/>
        </w:tabs>
        <w:spacing w:before="0" w:after="0" w:line="508" w:lineRule="auto"/>
        <w:ind w:left="-480" w:leftChars="0" w:right="676" w:firstLine="480" w:firstLineChars="0"/>
        <w:jc w:val="left"/>
        <w:rPr>
          <w:sz w:val="24"/>
        </w:rPr>
      </w:pPr>
      <w:r>
        <w:rPr>
          <w:sz w:val="24"/>
        </w:rPr>
        <w:t>The waste grab crane mainly consists of six major parts: single girder, crane travel mechanism, hoisting mechanism, trolley travel</w:t>
      </w:r>
      <w:r>
        <w:rPr>
          <w:sz w:val="24"/>
        </w:rPr>
        <w:t xml:space="preserve"> mechanism, electrical equipment and grab. Except for the electrical equipment, the other five parts have their own motors for separate driving, meeting the pile-turning and feeding requirements of production.</w:t>
      </w:r>
    </w:p>
    <w:p w14:paraId="2BB48914">
      <w:pPr>
        <w:pStyle w:val="15"/>
        <w:numPr>
          <w:ilvl w:val="3"/>
          <w:numId w:val="18"/>
        </w:numPr>
        <w:tabs>
          <w:tab w:val="left" w:pos="1310"/>
        </w:tabs>
        <w:spacing w:before="0" w:after="0" w:line="240" w:lineRule="auto"/>
        <w:ind w:left="600" w:leftChars="0" w:right="0" w:hanging="600" w:firstLineChars="0"/>
        <w:jc w:val="left"/>
        <w:rPr>
          <w:sz w:val="24"/>
        </w:rPr>
      </w:pPr>
      <w:r>
        <w:rPr>
          <w:sz w:val="24"/>
        </w:rPr>
        <w:t>The grab is of the hydraulic multi-clamshell type.</w:t>
      </w:r>
    </w:p>
    <w:p w14:paraId="2301AF2D">
      <w:pPr>
        <w:pStyle w:val="5"/>
        <w:spacing w:before="36"/>
      </w:pPr>
    </w:p>
    <w:p w14:paraId="2C2BA1B4">
      <w:pPr>
        <w:pStyle w:val="5"/>
        <w:spacing w:line="508" w:lineRule="auto"/>
        <w:ind w:left="230" w:right="793" w:firstLine="480"/>
      </w:pPr>
      <w:r>
        <w:rPr/>
        <w:t>The traveling grab crane grabs the waste into the receiving hopper of the double screw conveyor, and grabs the waste in the storage pit into the receiving hopper of the high-temperature</w:t>
      </w:r>
      <w:r>
        <w:rPr/>
        <w:t xml:space="preserve"> pyrolysis gasifier, where it is pushed into the furnace by the hydraulic pusher device.</w:t>
      </w:r>
    </w:p>
    <w:p w14:paraId="667EE3CE">
      <w:pPr>
        <w:pStyle w:val="5"/>
        <w:spacing w:before="19"/>
      </w:pPr>
    </w:p>
    <w:p w14:paraId="57EEA6CD">
      <w:pPr>
        <w:pStyle w:val="4"/>
        <w:numPr>
          <w:ilvl w:val="0"/>
          <w:numId w:val="0"/>
        </w:numPr>
        <w:tabs>
          <w:tab w:val="left" w:pos="922"/>
        </w:tabs>
        <w:spacing w:before="0" w:after="0" w:line="240" w:lineRule="auto"/>
        <w:ind w:left="229" w:leftChars="0" w:right="0" w:rightChars="0"/>
        <w:jc w:val="left"/>
        <w:rPr>
          <w:rFonts w:ascii="Arial" w:eastAsia="Arial"/>
          <w:b/>
        </w:rPr>
      </w:pPr>
      <w:bookmarkStart w:id="6" w:name="_bookmark7"/>
      <w:bookmarkEnd w:id="6"/>
      <w:r>
        <w:rPr>
          <w:rFonts w:hint="default" w:ascii="Arial" w:hAnsi="Arial" w:cs="Arial"/>
          <w:b/>
          <w:bCs/>
          <w:sz w:val="28"/>
          <w:szCs w:val="28"/>
          <w:lang w:val="en-US" w:eastAsia="zh-CN"/>
        </w:rPr>
        <w:t>2.2.4 High-Temperature</w:t>
      </w:r>
      <w:r>
        <w:rPr>
          <w:rFonts w:hint="eastAsia"/>
          <w:spacing w:val="-1"/>
          <w:sz w:val="28"/>
          <w:szCs w:val="28"/>
          <w:lang w:val="en-US" w:eastAsia="zh-CN"/>
        </w:rPr>
        <w:t/>
      </w:r>
      <w:r>
        <w:rPr/>
        <w:t xml:space="preserve"> Pyrolysis Gasification System</w:t>
      </w:r>
    </w:p>
    <w:p w14:paraId="35F8CAA8">
      <w:pPr>
        <w:pStyle w:val="5"/>
        <w:spacing w:before="76"/>
        <w:rPr>
          <w:sz w:val="28"/>
        </w:rPr>
      </w:pPr>
    </w:p>
    <w:p w14:paraId="5666C522">
      <w:pPr>
        <w:pStyle w:val="5"/>
        <w:spacing w:line="508" w:lineRule="auto"/>
        <w:ind w:left="230" w:right="795" w:firstLine="480"/>
      </w:pPr>
      <w:r>
        <w:rPr/>
        <w:t>Based on the chemical characteristics of different components in the waste, this technology efficiently combines waste pyrolysis gasification with oxygen-enriched</w:t>
      </w:r>
      <w:r>
        <w:rPr/>
        <w:t xml:space="preserve"> combustion through staged combustion in the furnace, and is a treatment technology developed for mixed waste.</w:t>
      </w:r>
    </w:p>
    <w:p w14:paraId="2DE68688">
      <w:pPr>
        <w:pStyle w:val="5"/>
        <w:spacing w:before="2" w:line="508" w:lineRule="auto"/>
        <w:ind w:left="230" w:right="794" w:firstLine="480"/>
        <w:jc w:val="both"/>
      </w:pPr>
      <w:r>
        <w:rPr/>
        <w:t>The main body is designed as two relatively independent units: a high-temperature pyrolysis gasification zone and a gas-solid separation combustion zone. The high-temperature pyrolysis</w:t>
      </w:r>
      <w:r>
        <w:rPr/>
        <w:t xml:space="preserve"> gasification zone achieves full decomposition and carbonization of the organic matter in the waste, and the gas-solid separation combustion zone achieves full combustion and rendering harmless of the</w:t>
      </w:r>
      <w:r>
        <w:rPr/>
        <w:t xml:space="preserve"> combustible gas and fixed carbon, organically combining pyrolysis gasification with high-temperature combustion throughout the process.</w:t>
      </w:r>
    </w:p>
    <w:p w14:paraId="2C938D43">
      <w:pPr>
        <w:pStyle w:val="5"/>
        <w:spacing w:before="1" w:line="508" w:lineRule="auto"/>
        <w:ind w:left="230" w:right="759" w:firstLine="480"/>
        <w:jc w:val="both"/>
      </w:pPr>
      <w:r>
        <w:rPr/>
        <w:t>The grate of the primary combustion chamber is divided into a drying zone, a pyrolysis zone, a main combustion zone and a burnout zone. The drying and pyrolysis zone is located under the</w:t>
      </w:r>
      <w:r>
        <w:rPr/>
        <w:t xml:space="preserve"> front arch, supplied with a small amount of high-temperature air by the first air chamber. After being dried in this zone, the waste is pyrolyzed into combustible gas (CH4, CO,</w:t>
      </w:r>
      <w:r>
        <w:rPr>
          <w:rFonts w:ascii="Times New Roman" w:hAnsi="Times New Roman" w:eastAsia="Times New Roman"/>
        </w:rPr>
        <w:t xml:space="preserve"> etc.) in a</w:t>
      </w:r>
      <w:r>
        <w:rPr/>
        <w:t xml:space="preserve"> reducing</w:t>
      </w:r>
      <w:r>
        <w:rPr>
          <w:rFonts w:ascii="Times New Roman" w:hAnsi="Times New Roman" w:eastAsia="Times New Roman"/>
        </w:rPr>
        <w:t xml:space="preserve"> atmosphere;</w:t>
      </w:r>
      <w:r>
        <w:rPr/>
        <w:t xml:space="preserve"> the gas-phase</w:t>
      </w:r>
      <w:r>
        <w:rPr/>
        <w:t xml:space="preserve"> products enter the secondary combustion chamber and undergo oxygen-enriched combustion under the action of the secondary high-temperature air, with the</w:t>
      </w:r>
      <w:r>
        <w:rPr>
          <w:rFonts w:ascii="Times New Roman" w:hAnsi="Times New Roman" w:eastAsia="Times New Roman"/>
        </w:rPr>
        <w:t xml:space="preserve"> temperature</w:t>
      </w:r>
      <w:r>
        <w:rPr/>
        <w:t xml:space="preserve"> controlled above 850℃ to thoroughly decompose harmful gases and dioxins. The solid-phase products are fully burned in the combustion zone; in the burnout zone the residual carbon is basically burnt out, and the small remaining amount is re-burned in this section. The burnt slag falls into the slag collection hopper and is discharged into the slag room by the slag discharger.</w:t>
      </w:r>
    </w:p>
    <w:p w14:paraId="68FC717A">
      <w:pPr>
        <w:pStyle w:val="5"/>
        <w:spacing w:after="0" w:line="508" w:lineRule="auto"/>
        <w:jc w:val="both"/>
        <w:sectPr>
          <w:pgSz w:w="11910" w:h="16840"/>
          <w:pgMar w:top="1400" w:right="283" w:bottom="820" w:left="850" w:header="761" w:footer="628" w:gutter="0"/>
          <w:cols w:space="720" w:num="1"/>
        </w:sectPr>
      </w:pPr>
    </w:p>
    <w:p w14:paraId="0D167BB8">
      <w:pPr>
        <w:pStyle w:val="5"/>
        <w:spacing w:before="209" w:line="508" w:lineRule="auto"/>
        <w:ind w:left="230" w:right="796" w:firstLine="480"/>
      </w:pPr>
      <w:r>
        <w:rPr/>
        <w:t>By regulating parameters such as the primary and secondary air velocity, air volume, temperature and feeding speed, staged combustion is performed to control the combustion</w:t>
      </w:r>
      <w:r>
        <w:rPr/>
        <w:t xml:space="preserve"> conditions in the furnace and rationally distribute the release of chemical energy, so as to achieve complete burnout of the waste.</w:t>
      </w:r>
    </w:p>
    <w:p w14:paraId="77946E6F">
      <w:pPr>
        <w:pStyle w:val="5"/>
        <w:spacing w:before="88"/>
        <w:ind w:left="4474"/>
        <w:rPr>
          <w:rFonts w:ascii="Times New Roman" w:eastAsia="Times New Roman"/>
        </w:rPr>
      </w:pPr>
      <w:r>
        <w:t>Schematic diagram of the working</w:t>
      </w:r>
      <w:r>
        <w:rPr>
          <w:rFonts w:ascii="Times New Roman" w:eastAsia="Times New Roman"/>
        </w:rPr>
        <w:t xml:space="preserve"> principle.</w:t>
      </w:r>
    </w:p>
    <w:p w14:paraId="53E0C515">
      <w:pPr>
        <w:pStyle w:val="5"/>
        <w:spacing w:before="182" w:line="381" w:lineRule="auto"/>
        <w:ind w:left="710" w:right="7300"/>
      </w:pPr>
      <w:r>
        <w:rPr/>
        <w:t>Grate design length</w:t>
      </w:r>
      <w:r>
        <w:rPr/>
        <w:t xml:space="preserve"> 11m, width</w:t>
      </w:r>
      <w:r>
        <w:rPr/>
        <w:t xml:space="preserve"> 0.8m;</w:t>
      </w:r>
      <w:r>
        <w:rPr/>
        <w:t xml:space="preserve"> secondary</w:t>
      </w:r>
      <w:r>
        <w:rPr/>
        <w:t xml:space="preserve"> combustion chamber</w:t>
      </w:r>
      <w:r>
        <w:t xml:space="preserve"> space 21m3</w:t>
      </w:r>
    </w:p>
    <w:p w14:paraId="19A4A377">
      <w:pPr>
        <w:pStyle w:val="5"/>
        <w:spacing w:line="307" w:lineRule="atLeast"/>
        <w:ind w:left="710"/>
      </w:pPr>
      <w:r>
        <w:rPr/>
        <w:t>Secondary combustion chamber</w:t>
      </w:r>
      <w:r>
        <w:t xml:space="preserve"> outlet air volume: 5400Nm3/h;</w:t>
      </w:r>
      <w:r>
        <w:rPr/>
        <w:t xml:space="preserve"> design</w:t>
      </w:r>
      <w:r>
        <w:t xml:space="preserve"> temperature</w:t>
      </w:r>
      <w:r>
        <w:rPr/>
        <w:t xml:space="preserve"> 850℃.</w:t>
      </w:r>
    </w:p>
    <w:p w14:paraId="6EB941B0">
      <w:pPr>
        <w:pStyle w:val="5"/>
        <w:spacing w:before="263" w:line="508" w:lineRule="auto"/>
        <w:ind w:left="230" w:right="792" w:firstLine="480"/>
      </w:pPr>
      <w:r>
        <w:rPr/>
        <w:t>The burner uses natural gas or diesel fuel, with power of</w:t>
      </w:r>
      <w:r>
        <w:rPr>
          <w:rFonts w:ascii="Times New Roman" w:hAnsi="Times New Roman" w:eastAsia="Times New Roman"/>
        </w:rPr>
        <w:t xml:space="preserve"> 1.1kw and</w:t>
      </w:r>
      <w:r>
        <w:rPr/>
        <w:t xml:space="preserve"> calorific value greater</w:t>
      </w:r>
      <w:r>
        <w:rPr>
          <w:rFonts w:ascii="Times New Roman" w:hAnsi="Times New Roman" w:eastAsia="Times New Roman"/>
        </w:rPr>
        <w:t xml:space="preserve"> than 30wkcal/h. When the furnace</w:t>
      </w:r>
      <w:r>
        <w:rPr/>
        <w:t xml:space="preserve"> temperature is below 850℃,</w:t>
      </w:r>
      <w:r>
        <w:rPr>
          <w:rFonts w:ascii="Times New Roman" w:hAnsi="Times New Roman" w:eastAsia="Times New Roman"/>
        </w:rPr>
        <w:t xml:space="preserve"> the burner</w:t>
      </w:r>
      <w:r>
        <w:rPr/>
        <w:t xml:space="preserve"> starts automatically, and stops automatically after the temperature rises.</w:t>
      </w:r>
    </w:p>
    <w:p w14:paraId="7BC63C02">
      <w:pPr>
        <w:pStyle w:val="5"/>
        <w:spacing w:line="228" w:lineRule="atLeast"/>
        <w:ind w:left="470"/>
      </w:pPr>
      <w:r>
        <w:rPr/>
        <w:t>Slag discharger: combined</w:t>
      </w:r>
      <w:r>
        <w:rPr>
          <w:rFonts w:ascii="Times New Roman" w:eastAsia="Times New Roman"/>
        </w:rPr>
        <w:t xml:space="preserve"> screw</w:t>
      </w:r>
      <w:r>
        <w:rPr/>
        <w:t xml:space="preserve"> + scraper with water seal. Its features are as follows:</w:t>
      </w:r>
    </w:p>
    <w:p w14:paraId="59D9279E">
      <w:pPr>
        <w:pStyle w:val="15"/>
        <w:numPr>
          <w:ilvl w:val="3"/>
          <w:numId w:val="19"/>
        </w:numPr>
        <w:tabs>
          <w:tab w:val="left" w:pos="1070"/>
        </w:tabs>
        <w:spacing w:before="300" w:after="0" w:line="381" w:lineRule="auto"/>
        <w:ind w:left="-480" w:leftChars="0" w:right="797" w:firstLine="240" w:firstLineChars="0"/>
        <w:jc w:val="left"/>
        <w:rPr>
          <w:sz w:val="24"/>
        </w:rPr>
      </w:pPr>
      <w:r>
        <w:rPr>
          <w:sz w:val="24"/>
        </w:rPr>
        <w:t>The screw ash discharger discharges the ash and slag below the furnace body to the rear of the furnace body, closely connected with the scraper conveyor. Thanks to the water-seal structure, the scraper conveyor has perfect air tightness and can maintain the negative pressure of the furnace.</w:t>
      </w:r>
    </w:p>
    <w:p w14:paraId="544F4768">
      <w:pPr>
        <w:pStyle w:val="15"/>
        <w:numPr>
          <w:ilvl w:val="3"/>
          <w:numId w:val="19"/>
        </w:numPr>
        <w:tabs>
          <w:tab w:val="left" w:pos="1070"/>
        </w:tabs>
        <w:spacing w:before="121" w:after="0" w:line="240" w:lineRule="auto"/>
        <w:ind w:left="360" w:leftChars="0" w:right="0" w:hanging="600" w:firstLineChars="0"/>
        <w:jc w:val="left"/>
        <w:rPr>
          <w:sz w:val="24"/>
        </w:rPr>
      </w:pPr>
      <w:r>
        <w:rPr>
          <w:sz w:val="24"/>
        </w:rPr>
        <w:t>Thanks to the water seal, no dust is generated during slag discharge.</w:t>
      </w:r>
    </w:p>
    <w:p w14:paraId="2D4BCCA0">
      <w:pPr>
        <w:pStyle w:val="15"/>
        <w:numPr>
          <w:ilvl w:val="3"/>
          <w:numId w:val="19"/>
        </w:numPr>
        <w:tabs>
          <w:tab w:val="left" w:pos="1070"/>
        </w:tabs>
        <w:spacing w:before="303" w:after="0" w:line="240" w:lineRule="auto"/>
        <w:ind w:left="360" w:leftChars="0" w:right="0" w:hanging="600" w:firstLineChars="0"/>
        <w:jc w:val="left"/>
        <w:rPr>
          <w:sz w:val="24"/>
        </w:rPr>
      </w:pPr>
      <w:r>
        <w:rPr>
          <w:sz w:val="24"/>
        </w:rPr>
        <w:t>It can effectively remove the residual sewage, so that the moisture</w:t>
      </w:r>
      <w:r>
        <w:rPr>
          <w:rFonts w:ascii="Times New Roman" w:eastAsia="Times New Roman"/>
          <w:sz w:val="24"/>
        </w:rPr>
        <w:t xml:space="preserve"> content</w:t>
      </w:r>
      <w:r>
        <w:rPr>
          <w:sz w:val="24"/>
        </w:rPr>
        <w:t xml:space="preserve"> of</w:t>
      </w:r>
      <w:r>
        <w:rPr>
          <w:rFonts w:ascii="Times New Roman" w:eastAsia="Times New Roman"/>
          <w:sz w:val="24"/>
        </w:rPr>
        <w:t xml:space="preserve"> the slag</w:t>
      </w:r>
      <w:r>
        <w:rPr>
          <w:sz w:val="24"/>
        </w:rPr>
        <w:t xml:space="preserve"> is only 15～25%. Therefore, there is almost no</w:t>
      </w:r>
    </w:p>
    <w:p w14:paraId="47517380">
      <w:pPr>
        <w:pStyle w:val="5"/>
        <w:spacing w:before="180"/>
        <w:ind w:left="240"/>
      </w:pPr>
      <w:r>
        <w:rPr/>
        <w:t>water leakage in the slag pit.</w:t>
      </w:r>
    </w:p>
    <w:p w14:paraId="7211C0CA">
      <w:pPr>
        <w:pStyle w:val="15"/>
        <w:numPr>
          <w:ilvl w:val="3"/>
          <w:numId w:val="19"/>
        </w:numPr>
        <w:tabs>
          <w:tab w:val="left" w:pos="1070"/>
        </w:tabs>
        <w:spacing w:before="302" w:after="0" w:line="240" w:lineRule="auto"/>
        <w:ind w:left="360" w:leftChars="0" w:right="0" w:hanging="600" w:firstLineChars="0"/>
        <w:jc w:val="left"/>
        <w:rPr>
          <w:sz w:val="24"/>
        </w:rPr>
      </w:pPr>
      <w:r>
        <w:rPr>
          <w:sz w:val="24"/>
        </w:rPr>
        <w:t>The water temperature in the slag discharger</w:t>
      </w:r>
      <w:r>
        <w:rPr>
          <w:rFonts w:ascii="Times New Roman" w:hAnsi="Times New Roman" w:eastAsia="Times New Roman"/>
          <w:sz w:val="24"/>
        </w:rPr>
        <w:t xml:space="preserve"> will be</w:t>
      </w:r>
      <w:r>
        <w:rPr>
          <w:sz w:val="24"/>
        </w:rPr>
        <w:t xml:space="preserve"> kept below 60℃.</w:t>
      </w:r>
    </w:p>
    <w:p w14:paraId="54034A06">
      <w:pPr>
        <w:pStyle w:val="15"/>
        <w:spacing w:after="0" w:line="240" w:lineRule="auto"/>
        <w:jc w:val="left"/>
        <w:rPr>
          <w:sz w:val="24"/>
        </w:rPr>
        <w:sectPr>
          <w:pgSz w:w="11910" w:h="16840"/>
          <w:pgMar w:top="1400" w:right="283" w:bottom="820" w:left="850" w:header="761" w:footer="628" w:gutter="0"/>
          <w:cols w:space="720" w:num="1"/>
        </w:sectPr>
      </w:pPr>
    </w:p>
    <w:p w14:paraId="44BDC450">
      <w:pPr>
        <w:pStyle w:val="4"/>
        <w:numPr>
          <w:ilvl w:val="0"/>
          <w:numId w:val="0"/>
        </w:numPr>
        <w:tabs>
          <w:tab w:val="left" w:pos="922"/>
        </w:tabs>
        <w:spacing w:before="174" w:after="0" w:line="240" w:lineRule="auto"/>
        <w:ind w:left="230" w:leftChars="0" w:right="0" w:rightChars="0"/>
        <w:jc w:val="left"/>
        <w:rPr>
          <w:rFonts w:ascii="Arial" w:eastAsia="Arial"/>
          <w:b/>
        </w:rPr>
      </w:pPr>
      <w:bookmarkStart w:id="7" w:name="_bookmark8"/>
      <w:bookmarkEnd w:id="7"/>
      <w:r>
        <w:rPr>
          <w:rFonts w:hint="default" w:ascii="Arial" w:hAnsi="Arial" w:cs="Arial"/>
          <w:b/>
          <w:bCs/>
          <w:lang w:val="en-US" w:eastAsia="zh-CN"/>
        </w:rPr>
        <w:t>2.2.5 Waste Heat</w:t>
      </w:r>
      <w:r>
        <w:rPr/>
        <w:t xml:space="preserve"> Recovery System</w:t>
      </w:r>
    </w:p>
    <w:p w14:paraId="2A086429">
      <w:pPr>
        <w:pStyle w:val="5"/>
        <w:spacing w:before="78"/>
        <w:rPr>
          <w:sz w:val="28"/>
        </w:rPr>
      </w:pPr>
    </w:p>
    <w:p w14:paraId="274A979B">
      <w:pPr>
        <w:pStyle w:val="5"/>
        <w:ind w:left="710"/>
      </w:pPr>
      <w:r>
        <w:rPr/>
        <w:t>The equipment of the waste heat utilization system mainly includes: integrated heat exchanger.</w:t>
      </w:r>
    </w:p>
    <w:p w14:paraId="659E6C54">
      <w:pPr>
        <w:pStyle w:val="5"/>
        <w:spacing w:before="35"/>
      </w:pPr>
    </w:p>
    <w:p w14:paraId="6BBE24D0">
      <w:pPr>
        <w:pStyle w:val="5"/>
        <w:spacing w:before="1" w:line="508" w:lineRule="auto"/>
        <w:ind w:left="230" w:right="675" w:firstLine="480"/>
      </w:pPr>
      <w:r>
        <w:rPr/>
        <w:t>The water-cooled section uses the waste heat from waste combustion to output hot water</w:t>
      </w:r>
      <w:r>
        <w:rPr/>
        <w:t xml:space="preserve"> (if</w:t>
      </w:r>
      <w:r>
        <w:rPr/>
        <w:t xml:space="preserve"> there is no domestic hot water demand in the plant, it is directly cooled in</w:t>
      </w:r>
      <w:r>
        <w:rPr/>
        <w:t xml:space="preserve"> circulation);</w:t>
      </w:r>
      <w:r>
        <w:rPr/>
        <w:t xml:space="preserve"> while</w:t>
      </w:r>
      <w:r>
        <w:rPr/>
        <w:t xml:space="preserve"> cooling the high-temperature flue gas, it maximizes the utilization of heat energy. The air-cooled section mainly uses the waste heat of the exhaust gas to heat the primary and secondary air, realizing resource recycling of waste treatment.</w:t>
      </w:r>
    </w:p>
    <w:p w14:paraId="0EDCEE48">
      <w:pPr>
        <w:pStyle w:val="5"/>
        <w:spacing w:line="508" w:lineRule="auto"/>
        <w:ind w:left="230" w:right="701" w:firstLine="480"/>
      </w:pPr>
      <w:r>
        <w:rPr/>
        <w:t>Structure and working principle: the equipment consists of cover plates, shell, heat exchange plates, manhole, flue gas inlet, flue gas outlet, water inlet, water outlet, exhaust port, etc. Under the action of the main fan, the flue gas side of the equipment maintains a certain negative pressure. The high-temperature flue gas enters from the flue gas inlet, flows through hundreds of partition intervals and flows out from the flue gas outlet. The cooling water pump pumps cold water in from the water inlet, which flows through the densely distributed lattice cavities and flows out from the water outlet. Since the flue gas temperature is higher than the cold water temperature, its heat is transferred to the cold water through the pipe wall, thereby lowering its own flue gas temperature and heating the water. The flue gas temperature is higher than the air temperature, so its own temperature is reduced while heating the oxygen</w:t>
      </w:r>
      <w:r>
        <w:rPr/>
        <w:t xml:space="preserve"> supply air.</w:t>
      </w:r>
    </w:p>
    <w:p w14:paraId="23690927">
      <w:pPr>
        <w:pStyle w:val="5"/>
        <w:spacing w:before="121" w:line="508" w:lineRule="auto"/>
        <w:ind w:left="230" w:right="673" w:firstLine="410"/>
      </w:pPr>
      <w:r>
        <w:rPr/>
        <w:t>The new wide-channel plate heat exchanger has low turbulent flow velocity and a high heat transfer coefficient, which is 2 times that</w:t>
      </w:r>
      <w:r>
        <w:rPr>
          <w:rFonts w:ascii="Times New Roman" w:eastAsia="Times New Roman"/>
        </w:rPr>
        <w:t xml:space="preserve"> of the</w:t>
      </w:r>
      <w:r>
        <w:t xml:space="preserve"> tubular type; the heat transfer coefficient is high,</w:t>
      </w:r>
      <w:r>
        <w:rPr/>
        <w:t xml:space="preserve"> and the heat exchange area</w:t>
      </w:r>
      <w:r>
        <w:rPr>
          <w:rFonts w:ascii="Times New Roman" w:eastAsia="Times New Roman"/>
        </w:rPr>
        <w:t xml:space="preserve"> is about 1/2</w:t>
      </w:r>
      <w:r>
        <w:rPr>
          <w:rFonts w:ascii="Times New Roman" w:eastAsia="Times New Roman"/>
          <w:spacing w:val="1"/>
        </w:rPr>
        <w:t/>
      </w:r>
      <w:r>
        <w:rPr/>
        <w:t xml:space="preserve"> of the tubular type; the structure is compact, with the heat exchange area per unit volume more than 3 times</w:t>
      </w:r>
      <w:r>
        <w:rPr>
          <w:rFonts w:ascii="Times New Roman" w:eastAsia="Times New Roman"/>
        </w:rPr>
        <w:t xml:space="preserve"> that</w:t>
      </w:r>
      <w:r>
        <w:rPr>
          <w:rFonts w:ascii="Times New Roman" w:eastAsia="Times New Roman"/>
          <w:spacing w:val="2"/>
        </w:rPr>
        <w:t/>
      </w:r>
      <w:r>
        <w:rPr/>
        <w:t xml:space="preserve"> of the tubular type, small footprint and light weight.</w:t>
      </w:r>
    </w:p>
    <w:p w14:paraId="3FCB32BE">
      <w:pPr>
        <w:pStyle w:val="5"/>
        <w:ind w:left="640"/>
      </w:pPr>
      <w:r>
        <w:rPr/>
        <w:t>The intense turbulence of the fluid results in few deposits, easy cleaning and a very low fouling factor; the flow channels are smooth, with no dead corners, so dust accumulation is not easy.</w:t>
      </w:r>
    </w:p>
    <w:p w14:paraId="12168094">
      <w:pPr>
        <w:pStyle w:val="5"/>
        <w:spacing w:after="0"/>
        <w:sectPr>
          <w:pgSz w:w="11910" w:h="16840"/>
          <w:pgMar w:top="1400" w:right="283" w:bottom="820" w:left="850" w:header="761" w:footer="628" w:gutter="0"/>
          <w:cols w:space="720" w:num="1"/>
        </w:sectPr>
      </w:pPr>
    </w:p>
    <w:p w14:paraId="69F27DAA">
      <w:pPr>
        <w:pStyle w:val="4"/>
        <w:numPr>
          <w:ilvl w:val="0"/>
          <w:numId w:val="0"/>
        </w:numPr>
        <w:tabs>
          <w:tab w:val="left" w:pos="992"/>
        </w:tabs>
        <w:spacing w:before="174" w:after="0" w:line="240" w:lineRule="auto"/>
        <w:ind w:left="230" w:leftChars="0" w:right="0" w:rightChars="0"/>
        <w:jc w:val="left"/>
        <w:rPr>
          <w:rFonts w:ascii="Arial" w:eastAsia="Arial"/>
          <w:b/>
        </w:rPr>
      </w:pPr>
      <w:bookmarkStart w:id="8" w:name="_bookmark9"/>
      <w:bookmarkEnd w:id="8"/>
      <w:r>
        <w:rPr>
          <w:rFonts w:hint="default" w:ascii="Arial" w:hAnsi="Arial" w:cs="Arial"/>
          <w:b/>
          <w:bCs/>
          <w:lang w:val="en-US" w:eastAsia="zh-CN"/>
        </w:rPr>
        <w:t>2.2.6 Flue Gas</w:t>
      </w:r>
      <w:r>
        <w:rPr>
          <w:rFonts w:hint="eastAsia"/>
          <w:spacing w:val="-2"/>
          <w:lang w:val="en-US" w:eastAsia="zh-CN"/>
        </w:rPr>
        <w:t/>
      </w:r>
      <w:r>
        <w:rPr/>
        <w:t xml:space="preserve"> Purification System</w:t>
      </w:r>
    </w:p>
    <w:p w14:paraId="28E78478">
      <w:pPr>
        <w:pStyle w:val="5"/>
        <w:spacing w:before="78"/>
        <w:rPr>
          <w:sz w:val="28"/>
        </w:rPr>
      </w:pPr>
    </w:p>
    <w:p w14:paraId="7F50C56E">
      <w:pPr>
        <w:pStyle w:val="5"/>
        <w:spacing w:line="508" w:lineRule="auto"/>
        <w:ind w:left="230" w:right="791" w:firstLine="480"/>
        <w:jc w:val="both"/>
      </w:pPr>
      <w:r>
        <w:rPr/>
        <w:t>The flue gas purification system adopts the</w:t>
      </w:r>
      <w:r>
        <w:t xml:space="preserve"> combination of</w:t>
      </w:r>
      <w:r>
        <w:rPr/>
        <w:t xml:space="preserve"> "SNCR + semi-dry quenching deacidification tower + dry reaction device + activated carbon adsorption + bag</w:t>
      </w:r>
      <w:r>
        <w:rPr/>
        <w:t xml:space="preserve"> filter technology", which can effectively</w:t>
      </w:r>
      <w:r>
        <w:t xml:space="preserve"> remove</w:t>
      </w:r>
      <w:r>
        <w:rPr/>
        <w:t xml:space="preserve"> NOx,</w:t>
      </w:r>
      <w:r>
        <w:t xml:space="preserve"> dust,</w:t>
      </w:r>
      <w:r>
        <w:rPr/>
        <w:t xml:space="preserve"> SO2, HCL,</w:t>
      </w:r>
      <w:r>
        <w:t xml:space="preserve"> heavy metals</w:t>
      </w:r>
      <w:r>
        <w:rPr/>
        <w:t xml:space="preserve"> and</w:t>
      </w:r>
      <w:r>
        <w:t xml:space="preserve"> other</w:t>
      </w:r>
      <w:r>
        <w:rPr/>
        <w:t xml:space="preserve"> pollutant components in the flue gas, so that the exhaust gas is discharged in compliance with</w:t>
      </w:r>
      <w:r>
        <w:t xml:space="preserve"> standards.</w:t>
      </w:r>
    </w:p>
    <w:p w14:paraId="121FCE42">
      <w:pPr>
        <w:pStyle w:val="5"/>
        <w:spacing w:before="164" w:line="508" w:lineRule="auto"/>
        <w:ind w:left="230" w:right="796" w:firstLine="480"/>
        <w:jc w:val="both"/>
      </w:pPr>
      <w:r>
        <w:t>The flue gas treatment equipment includes: SNCR</w:t>
      </w:r>
      <w:r>
        <w:rPr/>
        <w:t xml:space="preserve"> denitration system, semi-dry quenching deacidification tower, dry reaction device, bag filter, induced</w:t>
      </w:r>
      <w:r>
        <w:rPr/>
        <w:t xml:space="preserve"> draft fan, chimney and other equipment.</w:t>
      </w:r>
    </w:p>
    <w:p w14:paraId="6B959A27">
      <w:pPr>
        <w:pStyle w:val="15"/>
        <w:numPr>
          <w:ilvl w:val="3"/>
          <w:numId w:val="19"/>
        </w:numPr>
        <w:tabs>
          <w:tab w:val="left" w:pos="1311"/>
        </w:tabs>
        <w:spacing w:before="163" w:after="0" w:line="240" w:lineRule="auto"/>
        <w:ind w:left="601" w:leftChars="0" w:right="0" w:hanging="601" w:firstLineChars="0"/>
        <w:jc w:val="left"/>
        <w:rPr>
          <w:sz w:val="24"/>
        </w:rPr>
      </w:pPr>
      <w:r>
        <w:rPr>
          <w:rFonts w:ascii="Times New Roman" w:eastAsia="Times New Roman"/>
          <w:b/>
          <w:sz w:val="24"/>
        </w:rPr>
        <w:t>SNCR Denitration</w:t>
      </w:r>
      <w:r>
        <w:rPr>
          <w:rFonts w:ascii="Times New Roman" w:eastAsia="Times New Roman"/>
          <w:b/>
          <w:spacing w:val="61"/>
          <w:sz w:val="24"/>
        </w:rPr>
        <w:t/>
      </w:r>
      <w:r>
        <w:rPr>
          <w:sz w:val="24"/>
        </w:rPr>
        <w:t xml:space="preserve"> System</w:t>
      </w:r>
    </w:p>
    <w:p w14:paraId="42A508F1">
      <w:pPr>
        <w:pStyle w:val="5"/>
        <w:spacing w:before="35"/>
      </w:pPr>
    </w:p>
    <w:p w14:paraId="02C4F418">
      <w:pPr>
        <w:pStyle w:val="5"/>
        <w:ind w:left="710"/>
      </w:pPr>
      <w:r>
        <w:t>The SNCR denitration</w:t>
      </w:r>
      <w:r>
        <w:rPr/>
        <w:t xml:space="preserve"> system performs high-temperature denitration of NOx in the flue gas</w:t>
      </w:r>
      <w:r>
        <w:t xml:space="preserve"> at the</w:t>
      </w:r>
      <w:r>
        <w:rPr/>
        <w:t xml:space="preserve"> high-temperature section in the furnace.</w:t>
      </w:r>
    </w:p>
    <w:p w14:paraId="3F415173">
      <w:pPr>
        <w:pStyle w:val="5"/>
        <w:spacing w:before="201"/>
      </w:pPr>
    </w:p>
    <w:p w14:paraId="584E8A94">
      <w:pPr>
        <w:pStyle w:val="5"/>
        <w:spacing w:line="508" w:lineRule="auto"/>
        <w:ind w:left="230" w:right="700" w:firstLine="480"/>
      </w:pPr>
      <w:r>
        <w:rPr/>
        <w:t>In the selective non-catalytic reduction (SNCR) nitrogen oxide removal process, the reducing agent is injected into the hot flue gas in the form of an aqueous solution (urea) or gas (ammonia).</w:t>
      </w:r>
    </w:p>
    <w:p w14:paraId="66350156">
      <w:pPr>
        <w:pStyle w:val="5"/>
        <w:spacing w:before="163" w:line="508" w:lineRule="auto"/>
        <w:ind w:left="230" w:right="676" w:firstLine="480"/>
      </w:pPr>
      <w:r>
        <w:rPr/>
        <w:t>Usually water is used as the driving carrier for urea solution injection. By controlling the amount of sprayed water, the injection distance of the urea solution can</w:t>
      </w:r>
      <w:r>
        <w:rPr/>
        <w:t xml:space="preserve"> be effectively increased with little energy consumption, and it can also be used when necessary to lower the flue gas temperature, so that the urea reacts with the nitrogen oxides in the flue gas within the appropriate temperature range.</w:t>
      </w:r>
    </w:p>
    <w:p w14:paraId="16D902F7">
      <w:pPr>
        <w:pStyle w:val="5"/>
        <w:spacing w:before="164" w:line="508" w:lineRule="auto"/>
        <w:ind w:left="230" w:right="699" w:firstLine="480"/>
        <w:jc w:val="both"/>
      </w:pPr>
      <w:r>
        <w:t>A CO(NH2)2 urea solution</w:t>
      </w:r>
      <w:r>
        <w:rPr/>
        <w:t xml:space="preserve"> with</w:t>
      </w:r>
      <w:r>
        <w:t xml:space="preserve"> a concentration of ~10％ is</w:t>
      </w:r>
      <w:r>
        <w:rPr/>
        <w:t xml:space="preserve"> evenly stirred in the preparation tank and then sent to the urea storage tank for storage, and</w:t>
      </w:r>
      <w:r>
        <w:rPr/>
        <w:t xml:space="preserve"> then boosted by the atomization pump into the nozzle. The nozzle is atomized by pressure and sprayed into the furnace. The flue gas is fully</w:t>
      </w:r>
      <w:r>
        <w:rPr/>
        <w:t xml:space="preserve"> mixed with the atomized</w:t>
      </w:r>
      <w:r>
        <w:rPr/>
        <w:t xml:space="preserve"> urea</w:t>
      </w:r>
      <w:r>
        <w:rPr/>
        <w:t xml:space="preserve"> solution in the area</w:t>
      </w:r>
      <w:r>
        <w:rPr/>
        <w:t xml:space="preserve"> below</w:t>
      </w:r>
      <w:r>
        <w:rPr/>
        <w:t xml:space="preserve"> the nozzle, and the</w:t>
      </w:r>
      <w:r>
        <w:rPr/>
        <w:t xml:space="preserve"> NOx components in the flue</w:t>
      </w:r>
      <w:r>
        <w:rPr/>
        <w:t xml:space="preserve"> gas undergo a reduction reaction with CO(NH2)2 in the presence of O2,</w:t>
      </w:r>
      <w:r>
        <w:rPr/>
        <w:t xml:space="preserve"> while the moisture of the urea solution is</w:t>
      </w:r>
      <w:r>
        <w:t xml:space="preserve"> completely vaporized by the</w:t>
      </w:r>
      <w:r>
        <w:rPr/>
        <w:t xml:space="preserve"> flue gas</w:t>
      </w:r>
      <w:r>
        <w:t xml:space="preserve"> and carried</w:t>
      </w:r>
      <w:r>
        <w:rPr/>
        <w:t xml:space="preserve"> away by it. When the</w:t>
      </w:r>
      <w:r>
        <w:t xml:space="preserve"> ratio of</w:t>
      </w:r>
      <w:r>
        <w:rPr/>
        <w:t xml:space="preserve"> CO(NH2)2</w:t>
      </w:r>
      <w:r>
        <w:t xml:space="preserve"> to NOx is</w:t>
      </w:r>
      <w:r>
        <w:rPr/>
        <w:t xml:space="preserve"> 2:1, the NOx reduction</w:t>
      </w:r>
      <w:r>
        <w:t xml:space="preserve"> efficiency is</w:t>
      </w:r>
      <w:r>
        <w:rPr/>
        <w:t xml:space="preserve"> about 40%.</w:t>
      </w:r>
    </w:p>
    <w:p w14:paraId="6CA2141E">
      <w:pPr>
        <w:spacing w:after="0"/>
        <w:jc w:val="center"/>
        <w:rPr>
          <w:sz w:val="21"/>
        </w:rPr>
        <w:sectPr>
          <w:pgSz w:w="11910" w:h="16840"/>
          <w:pgMar w:top="1400" w:right="283" w:bottom="820" w:left="850" w:header="761" w:footer="628" w:gutter="0"/>
          <w:cols w:space="720" w:num="1"/>
        </w:sectPr>
      </w:pPr>
    </w:p>
    <w:p w14:paraId="0A4B7235">
      <w:pPr>
        <w:pStyle w:val="5"/>
        <w:spacing w:before="11"/>
        <w:rPr>
          <w:sz w:val="7"/>
        </w:rPr>
      </w:pPr>
    </w:p>
    <w:p w14:paraId="59BBB6C8">
      <w:pPr>
        <w:spacing w:before="22"/>
        <w:ind w:left="315" w:right="664" w:firstLine="0"/>
        <w:jc w:val="center"/>
        <w:rPr>
          <w:sz w:val="21"/>
        </w:rPr>
      </w:pPr>
      <w:r>
        <w:rPr>
          <w:sz w:val="21"/>
        </w:rPr>
        <w:t>The solution preparation device is shown in the figure</w:t>
      </w:r>
    </w:p>
    <w:p w14:paraId="1261DAB3">
      <w:pPr>
        <w:pStyle w:val="5"/>
        <w:spacing w:before="90"/>
      </w:pPr>
    </w:p>
    <w:p w14:paraId="3C63807E">
      <w:pPr>
        <w:pStyle w:val="5"/>
        <w:spacing w:line="508" w:lineRule="auto"/>
        <w:ind w:left="230" w:right="796" w:firstLine="480"/>
      </w:pPr>
      <w:r>
        <w:rPr/>
        <w:t>The denitration system adopts automatic adjustment control. The nitrogen oxide content in the discharged flue gas and the denitration agent form a control loop, and the denitration</w:t>
      </w:r>
      <w:r>
        <w:rPr/>
        <w:t xml:space="preserve"> agent is automatically adjusted according to changes in the nitrogen oxide content.</w:t>
      </w:r>
    </w:p>
    <w:p w14:paraId="3D73DA06">
      <w:pPr>
        <w:pStyle w:val="5"/>
        <w:spacing w:before="168"/>
        <w:ind w:left="710"/>
      </w:pPr>
      <w:r>
        <w:rPr/>
        <w:t>Preparation tank</w:t>
      </w:r>
      <w:r>
        <w:t xml:space="preserve"> material</w:t>
      </w:r>
      <w:r>
        <w:rPr/>
        <w:t xml:space="preserve"> 304,</w:t>
      </w:r>
      <w:r>
        <w:rPr/>
        <w:t xml:space="preserve"> volume 1m³</w:t>
      </w:r>
    </w:p>
    <w:p w14:paraId="5C470E58">
      <w:pPr>
        <w:pStyle w:val="5"/>
        <w:spacing w:before="213" w:line="405" w:lineRule="auto"/>
        <w:ind w:left="710" w:right="5500"/>
      </w:pPr>
      <w:r>
        <w:rPr/>
        <w:t>Atomizing</w:t>
      </w:r>
      <w:r>
        <w:t xml:space="preserve"> spray gun</w:t>
      </w:r>
      <w:r>
        <w:rPr/>
        <w:t xml:space="preserve"> Q=20kg/h,</w:t>
      </w:r>
      <w:r>
        <w:t xml:space="preserve"> gun body</w:t>
      </w:r>
      <w:r>
        <w:rPr/>
        <w:t xml:space="preserve"> 316L,</w:t>
      </w:r>
      <w:r>
        <w:t xml:space="preserve"> nozzle 316L, pump Q=0.4m3/h, H=60m</w:t>
      </w:r>
    </w:p>
    <w:p w14:paraId="1704B9AA">
      <w:pPr>
        <w:pStyle w:val="5"/>
        <w:spacing w:before="134"/>
      </w:pPr>
    </w:p>
    <w:p w14:paraId="62A2DF38">
      <w:pPr>
        <w:pStyle w:val="15"/>
        <w:numPr>
          <w:ilvl w:val="3"/>
          <w:numId w:val="19"/>
        </w:numPr>
        <w:tabs>
          <w:tab w:val="left" w:pos="1312"/>
        </w:tabs>
        <w:spacing w:before="0" w:after="0" w:line="240" w:lineRule="auto"/>
        <w:ind w:left="602" w:leftChars="0" w:right="0" w:hanging="602" w:firstLineChars="0"/>
        <w:jc w:val="left"/>
        <w:rPr>
          <w:sz w:val="24"/>
        </w:rPr>
      </w:pPr>
      <w:r>
        <w:rPr>
          <w:sz w:val="24"/>
        </w:rPr>
        <w:t>Semi-Dry Quenching Deacidification Tower</w:t>
      </w:r>
    </w:p>
    <w:p w14:paraId="5D5FEFFA">
      <w:pPr>
        <w:pStyle w:val="5"/>
        <w:spacing w:before="39"/>
      </w:pPr>
    </w:p>
    <w:p w14:paraId="7D2965F2">
      <w:pPr>
        <w:pStyle w:val="5"/>
        <w:spacing w:line="508" w:lineRule="auto"/>
        <w:ind w:left="230" w:right="793" w:firstLine="480"/>
      </w:pPr>
      <w:r>
        <w:rPr/>
        <w:t>The system adopts a counter-current quench tower, and the high-temperature flue gas enters from the bottom of the quench tower. Quenching lye is sprayed into the quench tower, and the</w:t>
      </w:r>
      <w:r>
        <w:rPr/>
        <w:t xml:space="preserve"> quench water is quickly atomized by compressed air. The nozzle is of the double-layer multi-orifice type, increasing the water-gas contact area and accelerating the reaction rate.</w:t>
      </w:r>
    </w:p>
    <w:p w14:paraId="143C6E74">
      <w:pPr>
        <w:pStyle w:val="5"/>
        <w:spacing w:line="508" w:lineRule="auto"/>
        <w:ind w:left="230" w:right="792" w:firstLine="480"/>
        <w:jc w:val="both"/>
      </w:pPr>
      <w:r>
        <w:rPr/>
        <w:t>The atomized quench water directly contacts the flue gas, causing the flue gas temperature to drop rapidly.</w:t>
      </w:r>
      <w:r>
        <w:rPr/>
        <w:t xml:space="preserve"> Quenching from 400℃</w:t>
      </w:r>
      <w:r>
        <w:rPr/>
        <w:t xml:space="preserve"> to 200℃ — the</w:t>
      </w:r>
      <w:r>
        <w:rPr/>
        <w:t xml:space="preserve"> setting of this</w:t>
      </w:r>
      <w:r>
        <w:rPr/>
        <w:t xml:space="preserve"> temperature</w:t>
      </w:r>
      <w:r>
        <w:rPr/>
        <w:t xml:space="preserve"> range avoids the dioxin re-synthesis temperature range, thereby achieving the purpose of suppressing the re-generation of dioxins. During the quenching process,</w:t>
      </w:r>
      <w:r>
        <w:rPr/>
        <w:t xml:space="preserve"> in addition to cooling, it also has the functions of washing, dust removal and deacidification.</w:t>
      </w:r>
    </w:p>
    <w:p w14:paraId="41E84C68">
      <w:pPr>
        <w:pStyle w:val="5"/>
        <w:spacing w:line="508" w:lineRule="auto"/>
        <w:ind w:left="230" w:right="700" w:firstLine="480"/>
      </w:pPr>
      <w:r>
        <w:rPr/>
        <w:t>The atomization of the quench water is realized by the quench pump station, which consists of an atomization pump, spray guns, piping system, air path system, temperature detection system, etc.</w:t>
      </w:r>
    </w:p>
    <w:p w14:paraId="620F3327">
      <w:pPr>
        <w:pStyle w:val="5"/>
        <w:spacing w:after="0" w:line="508" w:lineRule="auto"/>
        <w:sectPr>
          <w:pgSz w:w="11910" w:h="16840"/>
          <w:pgMar w:top="1400" w:right="283" w:bottom="820" w:left="850" w:header="761" w:footer="628" w:gutter="0"/>
          <w:cols w:space="720" w:num="1"/>
        </w:sectPr>
      </w:pPr>
    </w:p>
    <w:p w14:paraId="6C536FB9">
      <w:pPr>
        <w:pStyle w:val="5"/>
        <w:spacing w:before="209" w:line="508" w:lineRule="auto"/>
        <w:ind w:left="230" w:right="700" w:firstLine="480"/>
      </w:pPr>
      <w:r>
        <w:rPr/>
        <w:t>The quench spray gun adopts a gas-liquid two-phase nozzle, spraying fine atomized water into the flue gas. The spray gun has two inputs: one for water and the other for compressed air. To effectively protect the downstream equipment, one quench pump is in use and one on standby.</w:t>
      </w:r>
    </w:p>
    <w:p w14:paraId="428CA74A">
      <w:pPr>
        <w:pStyle w:val="5"/>
        <w:spacing w:line="307" w:lineRule="atLeast"/>
        <w:ind w:left="710"/>
      </w:pPr>
      <w:r>
        <w:rPr/>
        <w:t>The quench tower consists of the tower shell, anti-corrosion castable and dual-fluid spray system.</w:t>
      </w:r>
    </w:p>
    <w:p w14:paraId="6D01B16B">
      <w:pPr>
        <w:pStyle w:val="5"/>
        <w:spacing w:before="38"/>
      </w:pPr>
    </w:p>
    <w:p w14:paraId="334A3C49">
      <w:pPr>
        <w:pStyle w:val="5"/>
        <w:ind w:left="710"/>
      </w:pPr>
      <w:r>
        <w:rPr/>
        <w:t>The quench tower is arranged vertically, lined with an anti-corrosion and heat insulation layer. Water spraying is used for cooling, and the quench water is atomized by compressed air.</w:t>
      </w:r>
    </w:p>
    <w:p w14:paraId="668323C4">
      <w:pPr>
        <w:pStyle w:val="5"/>
        <w:spacing w:before="37"/>
      </w:pPr>
    </w:p>
    <w:p w14:paraId="3E8D36A8">
      <w:pPr>
        <w:pStyle w:val="5"/>
        <w:spacing w:line="508" w:lineRule="auto"/>
        <w:ind w:left="230" w:right="673" w:firstLine="480"/>
      </w:pPr>
      <w:r>
        <w:rPr/>
        <w:t>The dual-fluid atomizing nozzle has a large spray diameter and wide coverage, mixing more fully with the flue gas, which is conducive to cooling and</w:t>
      </w:r>
      <w:r>
        <w:rPr/>
        <w:t xml:space="preserve"> conditioning of the flue gas. The core of the dual-fluid spray system is the nozzle. In normal operation, compressed air and water at certain pressures need to be</w:t>
      </w:r>
      <w:r>
        <w:t xml:space="preserve"> supplied to the nozzle simultaneously. Inside the nozzle, the compressed air and water strike each other several times to produce very fine particles. When the</w:t>
      </w:r>
      <w:r>
        <w:rPr/>
        <w:t xml:space="preserve"> atomized particles mix with the high-temperature flue gas, they evaporate rapidly in a short time and carry away heat. With the selected spray gun at an</w:t>
      </w:r>
      <w:r>
        <w:t xml:space="preserve"> appropriate compressed</w:t>
      </w:r>
      <w:r>
        <w:rPr/>
        <w:t xml:space="preserve"> air pressure, 90% of</w:t>
      </w:r>
      <w:r>
        <w:t xml:space="preserve"> the particles are</w:t>
      </w:r>
      <w:r>
        <w:rPr/>
        <w:t xml:space="preserve"> smaller than 150μm, ensuring</w:t>
      </w:r>
      <w:r>
        <w:t xml:space="preserve"> 100％ evaporation of the quench water and no wet bottom ("over-spray").</w:t>
      </w:r>
    </w:p>
    <w:p w14:paraId="2A7EDC08">
      <w:pPr>
        <w:pStyle w:val="5"/>
        <w:spacing w:before="189"/>
        <w:ind w:left="315" w:right="880"/>
        <w:jc w:val="center"/>
      </w:pPr>
      <w:r>
        <w:rPr/>
        <w:t>Semi-Dry Quenching Deacidification Tower</w:t>
      </w:r>
    </w:p>
    <w:p w14:paraId="7EF92BA1">
      <w:pPr>
        <w:pStyle w:val="5"/>
        <w:spacing w:after="0"/>
        <w:jc w:val="center"/>
        <w:sectPr>
          <w:pgSz w:w="11910" w:h="16840"/>
          <w:pgMar w:top="1400" w:right="283" w:bottom="820" w:left="850" w:header="761" w:footer="628" w:gutter="0"/>
          <w:cols w:space="720" w:num="1"/>
        </w:sectPr>
      </w:pPr>
    </w:p>
    <w:p w14:paraId="5B287768">
      <w:pPr>
        <w:pStyle w:val="5"/>
        <w:spacing w:before="209" w:line="508" w:lineRule="auto"/>
        <w:ind w:left="230" w:right="794" w:firstLine="480"/>
        <w:jc w:val="both"/>
      </w:pPr>
      <w:r>
        <w:rPr/>
        <w:t>The quench water spray volume is regulated by the regulating valve, which is interlocked with the quench tower outlet temperature and automatically adjusted to ensure that the</w:t>
      </w:r>
      <w:r>
        <w:rPr/>
        <w:t xml:space="preserve"> quench tower outlet temperature does</w:t>
      </w:r>
      <w:r>
        <w:rPr/>
        <w:t xml:space="preserve"> not exceed 200℃, protecting the downstream equipment. The amount of lye added is controlled by the concentration of acidic pollutants in the flue gas discharge;</w:t>
      </w:r>
      <w:r>
        <w:rPr/>
        <w:t xml:space="preserve"> under normal conditions the pH value of the</w:t>
      </w:r>
      <w:r>
        <w:t xml:space="preserve"> water in</w:t>
      </w:r>
      <w:r>
        <w:rPr/>
        <w:t xml:space="preserve"> the quench water</w:t>
      </w:r>
      <w:r>
        <w:t xml:space="preserve"> tank is controlled at 9- 10.</w:t>
      </w:r>
    </w:p>
    <w:p w14:paraId="0344C9E6">
      <w:pPr>
        <w:pStyle w:val="5"/>
        <w:spacing w:before="5"/>
        <w:ind w:left="710"/>
      </w:pPr>
      <w:r>
        <w:rPr/>
        <w:t>Specification:</w:t>
      </w:r>
      <w:r>
        <w:rPr/>
        <w:t xml:space="preserve"> Φ1500*6000mm</w:t>
      </w:r>
    </w:p>
    <w:p w14:paraId="419E2447">
      <w:pPr>
        <w:pStyle w:val="5"/>
        <w:spacing w:before="211"/>
        <w:ind w:left="710"/>
      </w:pPr>
      <w:r>
        <w:rPr/>
        <w:t>Material: Q235B + 120mm acid and alkali</w:t>
      </w:r>
      <w:r>
        <w:rPr/>
        <w:t xml:space="preserve"> resistant castable</w:t>
      </w:r>
    </w:p>
    <w:p w14:paraId="79CCDB78">
      <w:pPr>
        <w:pStyle w:val="5"/>
        <w:spacing w:before="214"/>
        <w:ind w:left="710"/>
      </w:pPr>
      <w:r>
        <w:rPr/>
        <w:t>Atomization spray volume:</w:t>
      </w:r>
      <w:r>
        <w:rPr/>
        <w:t xml:space="preserve"> 300Kg/h;</w:t>
      </w:r>
      <w:r>
        <w:rPr/>
        <w:t xml:space="preserve"> gun body</w:t>
      </w:r>
      <w:r>
        <w:rPr/>
        <w:t xml:space="preserve"> 316L,</w:t>
      </w:r>
      <w:r>
        <w:rPr/>
        <w:t xml:space="preserve"> nozzle 316L</w:t>
      </w:r>
    </w:p>
    <w:p w14:paraId="2AE0DB95">
      <w:pPr>
        <w:pStyle w:val="5"/>
      </w:pPr>
    </w:p>
    <w:p w14:paraId="3076CBD5">
      <w:pPr>
        <w:pStyle w:val="5"/>
        <w:spacing w:before="83"/>
      </w:pPr>
    </w:p>
    <w:p w14:paraId="1F6B353B">
      <w:pPr>
        <w:pStyle w:val="15"/>
        <w:numPr>
          <w:ilvl w:val="3"/>
          <w:numId w:val="19"/>
        </w:numPr>
        <w:tabs>
          <w:tab w:val="left" w:pos="1311"/>
        </w:tabs>
        <w:spacing w:before="0" w:after="0" w:line="240" w:lineRule="auto"/>
        <w:ind w:left="601" w:leftChars="0" w:right="0" w:hanging="601" w:firstLineChars="0"/>
        <w:jc w:val="left"/>
        <w:rPr>
          <w:sz w:val="24"/>
        </w:rPr>
      </w:pPr>
      <w:r>
        <w:rPr>
          <w:sz w:val="24"/>
        </w:rPr>
        <w:t>Dry Flue Gas Treatment Device</w:t>
      </w:r>
    </w:p>
    <w:p w14:paraId="4853A56F">
      <w:pPr>
        <w:pStyle w:val="5"/>
        <w:spacing w:before="35"/>
      </w:pPr>
    </w:p>
    <w:p w14:paraId="785C9C50">
      <w:pPr>
        <w:pStyle w:val="5"/>
        <w:spacing w:line="508" w:lineRule="auto"/>
        <w:ind w:left="230" w:right="794" w:firstLine="480"/>
        <w:jc w:val="both"/>
      </w:pPr>
      <w:r>
        <w:rPr/>
        <w:t>It mainly utilizes the surface adsorption characteristics of activated carbon and the neutralization reaction capacity of hydrated lime. A dry reaction device is arranged</w:t>
      </w:r>
      <w:r>
        <w:rPr/>
        <w:t xml:space="preserve"> before the bag filter; the activated carbon and hydrated lime powder are fed into the Venturi duct by a small screw conveyor through a quantitative feeding device, where the harmful</w:t>
      </w:r>
      <w:r>
        <w:rPr/>
        <w:t xml:space="preserve"> substances in the flue gas are adsorbed and reacted.</w:t>
      </w:r>
    </w:p>
    <w:p w14:paraId="6CAD1605">
      <w:pPr>
        <w:pStyle w:val="5"/>
        <w:spacing w:before="133"/>
      </w:pPr>
    </w:p>
    <w:p w14:paraId="40FE2A6C">
      <w:pPr>
        <w:pStyle w:val="5"/>
        <w:spacing w:line="508" w:lineRule="auto"/>
        <w:ind w:left="230" w:right="796" w:firstLine="480"/>
      </w:pPr>
      <w:r>
        <w:rPr/>
        <w:t>When the flue gas enters the bag filter, the unreacted activated carbon and hydrated lime powder are adsorbed on the surface of the filter bags, continuing to</w:t>
      </w:r>
      <w:r>
        <w:rPr/>
        <w:t xml:space="preserve"> adsorb harmful substances and react with the residual acidic gases in the flue gas.</w:t>
      </w:r>
    </w:p>
    <w:p w14:paraId="4C97AE11">
      <w:pPr>
        <w:pStyle w:val="5"/>
        <w:spacing w:before="302"/>
      </w:pPr>
    </w:p>
    <w:p w14:paraId="265AAD7C">
      <w:pPr>
        <w:pStyle w:val="15"/>
        <w:numPr>
          <w:ilvl w:val="3"/>
          <w:numId w:val="19"/>
        </w:numPr>
        <w:tabs>
          <w:tab w:val="left" w:pos="1312"/>
        </w:tabs>
        <w:spacing w:before="0" w:after="0" w:line="240" w:lineRule="auto"/>
        <w:ind w:left="602" w:leftChars="0" w:right="0" w:hanging="602" w:firstLineChars="0"/>
        <w:jc w:val="left"/>
        <w:rPr>
          <w:sz w:val="24"/>
        </w:rPr>
      </w:pPr>
      <w:r>
        <w:rPr>
          <w:sz w:val="24"/>
        </w:rPr>
        <w:t>Bag Filter</w:t>
      </w:r>
    </w:p>
    <w:p w14:paraId="67D55DEE">
      <w:pPr>
        <w:pStyle w:val="15"/>
        <w:spacing w:after="0" w:line="240" w:lineRule="auto"/>
        <w:jc w:val="left"/>
        <w:rPr>
          <w:sz w:val="24"/>
        </w:rPr>
        <w:sectPr>
          <w:pgSz w:w="11910" w:h="16840"/>
          <w:pgMar w:top="1400" w:right="283" w:bottom="820" w:left="850" w:header="761" w:footer="628" w:gutter="0"/>
          <w:cols w:space="720" w:num="1"/>
        </w:sectPr>
      </w:pPr>
    </w:p>
    <w:p w14:paraId="641CD4A3">
      <w:pPr>
        <w:pStyle w:val="5"/>
        <w:spacing w:before="209" w:line="508" w:lineRule="auto"/>
        <w:ind w:left="230" w:right="796" w:firstLine="480"/>
        <w:jc w:val="both"/>
      </w:pPr>
      <w:r>
        <w:rPr/>
        <w:t>This bag filter consists of a shell, filter bags, ash hopper, ash discharge device, support and pulse cleaning system, etc. When the dust-containing gas enters the filter from the air inlet, it first hits the inclined baffle in the middle of the air inlet, and the airflow turns and flows into the ash hopper. At the same time, the airflow speed slows down, and due to gravity settling, the coarse dust particles in the gas directly fall into the ash hopper, playing a pre-dusting role. The airflow entering the ash hopper then turns upward and passes through the filter bags with internal metal frames, where the dust is captured on the outer surface of the filter bags. The purified gas enters the</w:t>
      </w:r>
      <w:r>
        <w:t xml:space="preserve"> clean chamber at the upper part of the filter bag room and is collected into the air outlet pipe for discharge.</w:t>
      </w:r>
    </w:p>
    <w:p w14:paraId="57CDA6C3">
      <w:pPr>
        <w:pStyle w:val="5"/>
        <w:spacing w:before="163" w:line="508" w:lineRule="auto"/>
        <w:ind w:left="230" w:right="796" w:firstLine="480"/>
        <w:jc w:val="both"/>
      </w:pPr>
      <w:r>
        <w:rPr/>
        <w:t>The key equipment of the bag filter is the filter bag material. Since the 1980s, countries have been committed to the development of filter media technology,</w:t>
      </w:r>
      <w:r>
        <w:t xml:space="preserve"> and modern technology</w:t>
      </w:r>
      <w:r>
        <w:rPr/>
        <w:t xml:space="preserve"> often uses PTFE surface filter materials in bag filters, which has greatly improved the treatment of flue gas, chemical corrosion, clogging and rupture.</w:t>
      </w:r>
      <w:r>
        <w:rPr/>
        <w:t xml:space="preserve"> The membrane filter bag uses the membrane surface with a uniform fine pore size to replace the function of the primary dust cake, making the dust penetration rate nearly zero. Due to the low friction coefficient, hydrophobicity, temperature resistance and anti-aging characteristics of the membrane material, it has excellent effects; during operation, the inside of the filter material is not easily blocked, can maintain a low pressure loss, improves the service life of the filter material and reduces operating costs. PTFE membrane-coated filter material has been used in incineration plants for nearly ten years, and its effectiveness not only</w:t>
      </w:r>
      <w:r>
        <w:rPr/>
        <w:t xml:space="preserve"> captures fine dust emissions at the highest</w:t>
      </w:r>
      <w:r>
        <w:rPr/>
        <w:t xml:space="preserve"> efficiency, but also ensures reliable system operation. PTFE</w:t>
      </w:r>
      <w:r>
        <w:rPr/>
        <w:t xml:space="preserve"> membrane-coated</w:t>
      </w:r>
      <w:r>
        <w:rPr/>
        <w:t xml:space="preserve"> filter bags can filter dust particles down to 0.3 microns. Dust</w:t>
      </w:r>
      <w:r>
        <w:rPr/>
        <w:t xml:space="preserve"> cleaning adopts pulse high-pressure air jetting; reasonable pulse intervals and pulse widths, as well as the good cleaning performance of the filter bags, greatly</w:t>
      </w:r>
      <w:r>
        <w:rPr/>
        <w:t xml:space="preserve"> ensure that the operating resistance of the</w:t>
      </w:r>
      <w:r>
        <w:t xml:space="preserve"> equipment remains at a stable level, not exceeding 1500Pa, and keep the flue gas treatment volume always in a stable state, so that</w:t>
      </w:r>
      <w:r>
        <w:rPr/>
        <w:t xml:space="preserve"> the whole system works in a highly efficient and stable environment.</w:t>
      </w:r>
    </w:p>
    <w:p w14:paraId="6FE21CD5">
      <w:pPr>
        <w:pStyle w:val="5"/>
        <w:spacing w:before="166"/>
        <w:ind w:left="710"/>
      </w:pPr>
      <w:r>
        <w:rPr/>
        <w:t>The control objects of the filter include: cleaning control, ash discharge valve control, etc.</w:t>
      </w:r>
    </w:p>
    <w:p w14:paraId="440DB1E7">
      <w:pPr>
        <w:pStyle w:val="5"/>
        <w:spacing w:before="199"/>
      </w:pPr>
    </w:p>
    <w:p w14:paraId="5A38B9F1">
      <w:pPr>
        <w:pStyle w:val="5"/>
        <w:spacing w:line="508" w:lineRule="auto"/>
        <w:ind w:left="230" w:right="676" w:firstLine="480"/>
      </w:pPr>
      <w:r>
        <w:rPr/>
        <w:t>The filter has manual and automatic conversion functions, and requires operation both from</w:t>
      </w:r>
      <w:r>
        <w:rPr/>
        <w:t xml:space="preserve"> the control room (plant-wide centralized or central</w:t>
      </w:r>
      <w:r>
        <w:rPr/>
        <w:t xml:space="preserve"> control</w:t>
      </w:r>
      <w:r>
        <w:rPr/>
        <w:t xml:space="preserve"> room) and locally. The specific control requirements of the filter are: ① cleaning control — when the pressure difference between the inlet and outlet exceeds the set pressure, the fixed differential pressure control</w:t>
      </w:r>
      <w:r>
        <w:t xml:space="preserve"> starts and the pulse valves are automatically actuated for cleaning; through PLC programming, intermittent pulse cleaning actions with different intervals and different cycles can be realized, and</w:t>
      </w:r>
      <w:r>
        <w:rPr/>
        <w:t xml:space="preserve"> when the cleaning of all filter bags is completed, the cleaning action is automatically completed. ② Manual opening and closing of the ash discharge valve.</w:t>
      </w:r>
    </w:p>
    <w:p w14:paraId="23C08C8D">
      <w:pPr>
        <w:pStyle w:val="5"/>
        <w:spacing w:after="0" w:line="508" w:lineRule="auto"/>
        <w:sectPr>
          <w:pgSz w:w="11910" w:h="16840"/>
          <w:pgMar w:top="1400" w:right="283" w:bottom="820" w:left="850" w:header="761" w:footer="628" w:gutter="0"/>
          <w:cols w:space="720" w:num="1"/>
        </w:sectPr>
      </w:pPr>
    </w:p>
    <w:p w14:paraId="54DF1A5E">
      <w:pPr>
        <w:pStyle w:val="5"/>
        <w:spacing w:before="2"/>
        <w:rPr>
          <w:sz w:val="6"/>
        </w:rPr>
      </w:pPr>
    </w:p>
    <w:p w14:paraId="5D2B0A3C">
      <w:pPr>
        <w:pStyle w:val="5"/>
        <w:rPr>
          <w:sz w:val="21"/>
        </w:rPr>
      </w:pPr>
    </w:p>
    <w:p w14:paraId="70B4D051">
      <w:pPr>
        <w:pStyle w:val="5"/>
        <w:spacing w:before="93"/>
        <w:rPr>
          <w:sz w:val="21"/>
        </w:rPr>
      </w:pPr>
    </w:p>
    <w:p w14:paraId="372ADC1E">
      <w:pPr>
        <w:spacing w:before="0"/>
        <w:ind w:left="441" w:right="0" w:firstLine="0"/>
        <w:jc w:val="left"/>
        <w:rPr>
          <w:sz w:val="21"/>
        </w:rPr>
      </w:pPr>
      <w:r>
        <w:rPr>
          <w:sz w:val="21"/>
        </w:rPr>
        <w:t>Electrostatic Precipitator</w:t>
      </w:r>
    </w:p>
    <w:p w14:paraId="0515D782">
      <w:pPr>
        <w:pStyle w:val="5"/>
        <w:spacing w:before="51"/>
        <w:rPr>
          <w:sz w:val="21"/>
        </w:rPr>
      </w:pPr>
    </w:p>
    <w:p w14:paraId="3A055495">
      <w:pPr>
        <w:pStyle w:val="5"/>
        <w:spacing w:line="508" w:lineRule="auto"/>
        <w:ind w:left="458" w:right="794" w:firstLine="480"/>
        <w:jc w:val="both"/>
      </w:pPr>
      <w:r>
        <w:rPr/>
        <w:t>After the flue gas enters the high-voltage dust removal unit, under the action of the high-voltage pulse electrostatic field, the remaining oil mist and water are attached by high-density electrons or positive ions; after being charged, they migrate downward along the inner wall of the tube, and are collected and captured, producing ionization, adsorption, decomposition,</w:t>
      </w:r>
      <w:r>
        <w:rPr/>
        <w:t xml:space="preserve"> carbonization and other phenomena.</w:t>
      </w:r>
    </w:p>
    <w:p w14:paraId="23957DBA">
      <w:pPr>
        <w:pStyle w:val="5"/>
        <w:spacing w:before="68" w:line="508" w:lineRule="auto"/>
        <w:ind w:left="458" w:right="831" w:firstLine="480"/>
        <w:jc w:val="both"/>
      </w:pPr>
      <w:r>
        <w:rPr/>
        <w:t>On the inner wall of the tube acting as the dust collection electrode, the condensed water forms a liquid film that continuously deposits and flows downward under gravity,</w:t>
      </w:r>
      <w:r>
        <w:t xml:space="preserve"> realizing the renewal and automatic cleaning of the electrode surface. The cleaned gas is discharged into the atmosphere by the exhaust fan at the rear of the purification device.</w:t>
      </w:r>
    </w:p>
    <w:p w14:paraId="3DB6915A">
      <w:pPr>
        <w:pStyle w:val="5"/>
        <w:spacing w:before="67" w:line="508" w:lineRule="auto"/>
        <w:ind w:left="458" w:right="794" w:firstLine="480"/>
      </w:pPr>
      <w:r>
        <w:rPr/>
        <w:t>The wastewater collected at the bottom of the purifier tower includes condensed water, carbonized oil fume particles, and the oil-water mixture discharged by</w:t>
      </w:r>
      <w:r>
        <w:rPr/>
        <w:t xml:space="preserve"> spraying.</w:t>
      </w:r>
    </w:p>
    <w:p w14:paraId="5F06DEB1">
      <w:pPr>
        <w:pStyle w:val="5"/>
        <w:spacing w:after="0" w:line="508" w:lineRule="auto"/>
        <w:sectPr>
          <w:pgSz w:w="11910" w:h="16840"/>
          <w:pgMar w:top="1400" w:right="283" w:bottom="820" w:left="850" w:header="761" w:footer="628" w:gutter="0"/>
          <w:cols w:space="720" w:num="1"/>
        </w:sectPr>
      </w:pPr>
    </w:p>
    <w:p w14:paraId="3EAA7C4F">
      <w:pPr>
        <w:pStyle w:val="5"/>
        <w:spacing w:before="8"/>
        <w:rPr>
          <w:sz w:val="11"/>
        </w:rPr>
      </w:pPr>
    </w:p>
    <w:p w14:paraId="0EE92ADE">
      <w:pPr>
        <w:pStyle w:val="5"/>
      </w:pPr>
    </w:p>
    <w:p w14:paraId="72A0E230">
      <w:pPr>
        <w:pStyle w:val="5"/>
      </w:pPr>
    </w:p>
    <w:p w14:paraId="5E603CAC">
      <w:pPr>
        <w:pStyle w:val="5"/>
        <w:spacing w:before="150"/>
      </w:pPr>
    </w:p>
    <w:p w14:paraId="2E5D0A1C">
      <w:pPr>
        <w:pStyle w:val="15"/>
        <w:numPr>
          <w:ilvl w:val="3"/>
          <w:numId w:val="19"/>
        </w:numPr>
        <w:tabs>
          <w:tab w:val="left" w:pos="1664"/>
        </w:tabs>
        <w:spacing w:before="0" w:after="0" w:line="240" w:lineRule="auto"/>
        <w:ind w:left="954" w:leftChars="0" w:right="0" w:hanging="724" w:firstLineChars="0"/>
        <w:jc w:val="left"/>
        <w:rPr>
          <w:sz w:val="24"/>
        </w:rPr>
      </w:pPr>
      <w:r>
        <w:rPr>
          <w:sz w:val="24"/>
        </w:rPr>
        <w:t>Chimney</w:t>
      </w:r>
    </w:p>
    <w:p w14:paraId="73B0CD91">
      <w:pPr>
        <w:pStyle w:val="5"/>
      </w:pPr>
    </w:p>
    <w:p w14:paraId="7053C1E2">
      <w:pPr>
        <w:pStyle w:val="5"/>
        <w:spacing w:before="11"/>
      </w:pPr>
    </w:p>
    <w:p w14:paraId="6494F9BD">
      <w:pPr>
        <w:pStyle w:val="5"/>
        <w:spacing w:before="1" w:line="508" w:lineRule="auto"/>
        <w:ind w:left="458" w:right="999" w:firstLine="480"/>
      </w:pPr>
      <w:r>
        <w:t>Carbon steel +</w:t>
      </w:r>
      <w:r>
        <w:rPr>
          <w:rFonts w:ascii="Arial MT" w:hAnsi="Arial MT" w:eastAsia="Arial MT"/>
        </w:rPr>
        <w:t xml:space="preserve"> nano</w:t>
      </w:r>
      <w:r>
        <w:rPr/>
        <w:t xml:space="preserve"> coating is used for anti-corrosion,</w:t>
      </w:r>
      <w:r>
        <w:rPr>
          <w:rFonts w:ascii="Arial MT" w:hAnsi="Arial MT" w:eastAsia="Arial MT"/>
        </w:rPr>
        <w:t xml:space="preserve"> with a</w:t>
      </w:r>
      <w:r>
        <w:rPr>
          <w:rFonts w:ascii="Arial MT" w:hAnsi="Arial MT" w:eastAsia="Arial MT"/>
          <w:spacing w:val="40"/>
        </w:rPr>
        <w:t/>
      </w:r>
      <w:r>
        <w:t xml:space="preserve"> height of 45 meters to ensure its service life. The chimney design is strictly</w:t>
      </w:r>
      <w:r>
        <w:rPr/>
        <w:t xml:space="preserve"> implemented in accordance with the Standard</w:t>
      </w:r>
      <w:r>
        <w:rPr>
          <w:rFonts w:ascii="Arial MT" w:hAnsi="Arial MT" w:eastAsia="Arial MT"/>
        </w:rPr>
        <w:t xml:space="preserve"> for Pollution Control on Municipal Solid</w:t>
      </w:r>
      <w:r>
        <w:rPr/>
        <w:t xml:space="preserve"> Waste Incineration (GB18485-2014), and conforms to the operating conditions of the complete equipment. In accordance with the Determination of Particulates and Sampling Methods for</w:t>
      </w:r>
      <w:r>
        <w:rPr>
          <w:rFonts w:ascii="Arial MT" w:hAnsi="Arial MT" w:eastAsia="Arial MT"/>
        </w:rPr>
        <w:t xml:space="preserve"> Gaseous Pollutants Emitted from Stationary Pollution</w:t>
      </w:r>
      <w:r>
        <w:rPr/>
        <w:t xml:space="preserve"> Sources (GB/T16157-1996),</w:t>
      </w:r>
      <w:r>
        <w:rPr/>
        <w:t xml:space="preserve"> permanent sampling holes are provided, and facilities for sampling and measurement are installed,</w:t>
      </w:r>
      <w:r>
        <w:rPr>
          <w:rFonts w:ascii="Times New Roman" w:hAnsi="Times New Roman" w:eastAsia="Times New Roman"/>
        </w:rPr>
        <w:t xml:space="preserve"> for use at</w:t>
      </w:r>
      <w:r>
        <w:rPr/>
        <w:t xml:space="preserve"> ~150℃.</w:t>
      </w:r>
    </w:p>
    <w:p w14:paraId="3AB9515D">
      <w:pPr>
        <w:pStyle w:val="5"/>
        <w:spacing w:before="280"/>
        <w:ind w:left="938"/>
      </w:pPr>
      <w:r>
        <w:rPr/>
        <w:t>Attached: test platform, flue gas analyzer port, drainage port, lightning protection grounding, etc.</w:t>
      </w:r>
    </w:p>
    <w:p w14:paraId="521561B1">
      <w:pPr>
        <w:pStyle w:val="5"/>
        <w:spacing w:after="0"/>
        <w:sectPr>
          <w:pgSz w:w="11910" w:h="16840"/>
          <w:pgMar w:top="1400" w:right="283" w:bottom="820" w:left="850" w:header="761" w:footer="628" w:gutter="0"/>
          <w:cols w:space="720" w:num="1"/>
        </w:sectPr>
      </w:pPr>
    </w:p>
    <w:p w14:paraId="33B200DD">
      <w:pPr>
        <w:pStyle w:val="5"/>
        <w:spacing w:before="8" w:after="1"/>
        <w:rPr>
          <w:sz w:val="10"/>
        </w:rPr>
      </w:pPr>
    </w:p>
    <w:p w14:paraId="7DC9A6BF">
      <w:pPr>
        <w:pStyle w:val="5"/>
        <w:spacing w:before="240"/>
        <w:rPr>
          <w:sz w:val="28"/>
        </w:rPr>
      </w:pPr>
    </w:p>
    <w:p w14:paraId="640FBB08">
      <w:pPr>
        <w:pStyle w:val="4"/>
        <w:numPr>
          <w:ilvl w:val="0"/>
          <w:numId w:val="0"/>
        </w:numPr>
        <w:tabs>
          <w:tab w:val="left" w:pos="922"/>
        </w:tabs>
        <w:spacing w:before="0" w:after="0" w:line="240" w:lineRule="auto"/>
        <w:ind w:left="230" w:leftChars="0" w:right="0" w:rightChars="0"/>
        <w:jc w:val="left"/>
        <w:rPr>
          <w:rFonts w:ascii="Arial" w:eastAsia="Arial"/>
          <w:b/>
        </w:rPr>
      </w:pPr>
      <w:bookmarkStart w:id="9" w:name="_bookmark10"/>
      <w:bookmarkEnd w:id="9"/>
      <w:r>
        <w:rPr>
          <w:rFonts w:hint="default" w:ascii="Arial" w:hAnsi="Arial" w:cs="Arial"/>
          <w:b/>
          <w:bCs/>
          <w:lang w:val="en-US" w:eastAsia="zh-CN"/>
        </w:rPr>
        <w:t>2.2.7 Three-Waste</w:t>
      </w:r>
      <w:r>
        <w:rPr>
          <w:rFonts w:hint="eastAsia"/>
          <w:lang w:val="en-US" w:eastAsia="zh-CN"/>
        </w:rPr>
        <w:t/>
      </w:r>
      <w:r>
        <w:t xml:space="preserve"> (Bottom Ash, Fly Ash,</w:t>
      </w:r>
      <w:r>
        <w:rPr/>
        <w:t xml:space="preserve"> Leachate)</w:t>
      </w:r>
      <w:r>
        <w:t xml:space="preserve"> Treatment</w:t>
      </w:r>
      <w:r>
        <w:rPr/>
        <w:t xml:space="preserve"> System</w:t>
      </w:r>
    </w:p>
    <w:p w14:paraId="24D56170">
      <w:pPr>
        <w:pStyle w:val="5"/>
        <w:spacing w:before="78"/>
        <w:rPr>
          <w:sz w:val="28"/>
        </w:rPr>
      </w:pPr>
    </w:p>
    <w:p w14:paraId="02A0D8EB">
      <w:pPr>
        <w:pStyle w:val="5"/>
        <w:spacing w:line="508" w:lineRule="auto"/>
        <w:ind w:left="230" w:right="792" w:firstLine="480"/>
        <w:jc w:val="both"/>
      </w:pPr>
      <w:r>
        <w:rPr/>
        <w:t>Bottom ash collection and disposal: the ash and slag under the grate fall periodically and automatically, and are discharged into the slag collection hopper via the screw conveyor; the burnt slag falls directly from the tail of the grate into the ash collection hopper, and is discharged directly to the slag room by the water-seal scraper slag discharger. According to test results it is determined to contain</w:t>
      </w:r>
      <w:r>
        <w:rPr/>
        <w:t xml:space="preserve"> no toxic or harmful substances, belonging to non-hazardous waste, and can be sent to brick plants as raw material for comprehensive utilization or safely landfilled;</w:t>
      </w:r>
    </w:p>
    <w:p w14:paraId="792D184E">
      <w:pPr>
        <w:pStyle w:val="5"/>
        <w:spacing w:before="165" w:line="508" w:lineRule="auto"/>
        <w:ind w:left="230" w:right="792" w:firstLine="480"/>
        <w:jc w:val="both"/>
      </w:pPr>
      <w:r>
        <w:rPr/>
        <w:t>Fly ash collection and disposal: fly ash is hazardous waste and should undergo permanent solidification treatment. Treatment methods include the cement solidification</w:t>
      </w:r>
      <w:r>
        <w:rPr/>
        <w:t xml:space="preserve"> method, melting solidification method, chemical agent method, etc. Currently the more commonly used is the "cement + chelating agent" stabilization treatment process, in which fly ash, cement, water and chelating agent are mixed in certain proportions. This method is simple and reliable in process and saves investment.</w:t>
      </w:r>
    </w:p>
    <w:p w14:paraId="7B0C3775">
      <w:pPr>
        <w:pStyle w:val="5"/>
        <w:spacing w:line="305" w:lineRule="atLeast"/>
        <w:ind w:left="710"/>
      </w:pPr>
      <w:r>
        <w:rPr/>
        <w:t>A semi-automatic solidification device can be added on site, or the fly ash can be sent directly to a qualified unit for disposal.</w:t>
      </w:r>
    </w:p>
    <w:p w14:paraId="651B410A">
      <w:pPr>
        <w:pStyle w:val="5"/>
        <w:spacing w:before="302" w:line="508" w:lineRule="auto"/>
        <w:ind w:left="230" w:right="797" w:firstLine="490"/>
      </w:pPr>
      <w:r>
        <w:rPr/>
        <w:t>Leachate recovery and treatment system: on the side of the waste pit near the discharge doors, a continuous leachate collection trough is</w:t>
      </w:r>
      <w:r>
        <w:rPr/>
        <w:t xml:space="preserve"> arranged along the entire length, covered with precast</w:t>
      </w:r>
      <w:r>
        <w:t xml:space="preserve"> slabs on the upper part to isolate the waste. The leachate is collected through the trench into</w:t>
      </w:r>
      <w:r>
        <w:t xml:space="preserve"> the leachate collection well.</w:t>
      </w:r>
    </w:p>
    <w:p w14:paraId="508CCDC4">
      <w:pPr>
        <w:pStyle w:val="5"/>
        <w:spacing w:before="165"/>
        <w:ind w:left="710"/>
      </w:pPr>
      <w:r>
        <w:t>The moisture content of the waste in this project is extremely low;</w:t>
      </w:r>
      <w:r>
        <w:rPr/>
        <w:t xml:space="preserve"> the</w:t>
      </w:r>
      <w:r>
        <w:t xml:space="preserve"> small amount of leachate can be directly re-sprayed into the furnace for high-temperature harmless</w:t>
      </w:r>
      <w:r>
        <w:rPr/>
        <w:t xml:space="preserve"> disposal.</w:t>
      </w:r>
    </w:p>
    <w:p w14:paraId="3EFCC035">
      <w:pPr>
        <w:pStyle w:val="5"/>
        <w:spacing w:after="0"/>
        <w:sectPr>
          <w:pgSz w:w="11910" w:h="16840"/>
          <w:pgMar w:top="1400" w:right="283" w:bottom="820" w:left="850" w:header="761" w:footer="628" w:gutter="0"/>
          <w:cols w:space="720" w:num="1"/>
        </w:sectPr>
      </w:pPr>
    </w:p>
    <w:p w14:paraId="10A3BC40">
      <w:pPr>
        <w:pStyle w:val="4"/>
        <w:numPr>
          <w:ilvl w:val="0"/>
          <w:numId w:val="0"/>
        </w:numPr>
        <w:tabs>
          <w:tab w:val="left" w:pos="922"/>
        </w:tabs>
        <w:spacing w:before="174" w:after="0" w:line="240" w:lineRule="auto"/>
        <w:ind w:left="230" w:leftChars="0" w:right="0" w:rightChars="0"/>
        <w:jc w:val="left"/>
        <w:rPr>
          <w:rFonts w:ascii="Arial" w:eastAsia="Arial"/>
          <w:b/>
        </w:rPr>
      </w:pPr>
      <w:bookmarkStart w:id="10" w:name="_bookmark11"/>
      <w:bookmarkEnd w:id="10"/>
      <w:r>
        <w:rPr>
          <w:rFonts w:hint="default" w:ascii="Arial" w:hAnsi="Arial" w:cs="Arial"/>
          <w:b/>
          <w:bCs/>
          <w:lang w:val="en-US" w:eastAsia="zh-CN"/>
        </w:rPr>
        <w:t>2.2.8 Central</w:t>
      </w:r>
      <w:r>
        <w:rPr>
          <w:rFonts w:hint="eastAsia"/>
          <w:spacing w:val="-2"/>
          <w:lang w:val="en-US" w:eastAsia="zh-CN"/>
        </w:rPr>
        <w:t/>
      </w:r>
      <w:r>
        <w:rPr/>
        <w:t xml:space="preserve"> Control System</w:t>
      </w:r>
    </w:p>
    <w:p w14:paraId="05593271">
      <w:pPr>
        <w:pStyle w:val="5"/>
        <w:spacing w:before="78"/>
        <w:rPr>
          <w:sz w:val="28"/>
        </w:rPr>
      </w:pPr>
    </w:p>
    <w:p w14:paraId="4EAEE3B8">
      <w:pPr>
        <w:pStyle w:val="5"/>
        <w:spacing w:line="508" w:lineRule="auto"/>
        <w:ind w:left="230" w:right="793" w:firstLine="480"/>
        <w:jc w:val="both"/>
      </w:pPr>
      <w:r>
        <w:rPr/>
        <w:t>The design scope of the control system of this project mainly includes: the waste transport and receiving system, conveying system, pyrolysis gasification system, flue gas purification system, flue air system, steam-water system, thermal system, fuel oil system, plant power system, compressed air system, ash and slag system, etc.</w:t>
      </w:r>
    </w:p>
    <w:p w14:paraId="12C27161">
      <w:pPr>
        <w:pStyle w:val="5"/>
        <w:spacing w:before="164"/>
        <w:ind w:left="710"/>
      </w:pPr>
      <w:r>
        <w:rPr/>
        <w:t>In addition to the above systems, it also includes the industrial television monitoring system.</w:t>
      </w:r>
    </w:p>
    <w:p w14:paraId="0A7AABB4">
      <w:pPr>
        <w:pStyle w:val="5"/>
        <w:spacing w:before="199"/>
      </w:pPr>
    </w:p>
    <w:p w14:paraId="6ADC8AA1">
      <w:pPr>
        <w:pStyle w:val="5"/>
        <w:spacing w:line="508" w:lineRule="auto"/>
        <w:ind w:left="230" w:right="701" w:firstLine="480"/>
      </w:pPr>
      <w:r>
        <w:rPr/>
        <w:t>This project uses a PLC</w:t>
      </w:r>
      <w:r>
        <w:t xml:space="preserve"> control system</w:t>
      </w:r>
      <w:r>
        <w:rPr/>
        <w:t xml:space="preserve"> including electrical control cabinets, industrial controllers and other devices.</w:t>
      </w:r>
      <w:r>
        <w:t xml:space="preserve"> The PLC program</w:t>
      </w:r>
      <w:r>
        <w:rPr/>
        <w:t xml:space="preserve"> automatically adjusts the start/stop and variable-frequency</w:t>
      </w:r>
      <w:r>
        <w:rPr/>
        <w:t xml:space="preserve"> speed regulation of motors to achieve stable control of the combustion temperature, oxygen supply, feed weight and time. The operating conditions and related process parameters of the whole system can be displayed on the computer screen for timely control. The control cabinet has two control modes: interlocked and individual.</w:t>
      </w:r>
      <w:r>
        <w:rPr/>
        <w:t xml:space="preserve"> Alarms are provided for equipment faults, air supply pressure, etc., and fault signals are sent to the central control room. "Interlocked"</w:t>
      </w:r>
      <w:r>
        <w:rPr/>
        <w:t xml:space="preserve"> operation:</w:t>
      </w:r>
      <w:r>
        <w:rPr/>
        <w:t xml:space="preserve"> through the PLC, each electric</w:t>
      </w:r>
      <w:r>
        <w:t xml:space="preserve"> actuator can be interlock-controlled or manually controlled individually; "individual" operation: the</w:t>
      </w:r>
      <w:r>
        <w:rPr/>
        <w:t xml:space="preserve"> PLC cabinet can operate independently in "manual" or "automatic" mode.</w:t>
      </w:r>
    </w:p>
    <w:p w14:paraId="6D434BD8">
      <w:pPr>
        <w:pStyle w:val="5"/>
      </w:pPr>
    </w:p>
    <w:p w14:paraId="3836BDA8">
      <w:pPr>
        <w:pStyle w:val="5"/>
        <w:spacing w:before="199"/>
      </w:pPr>
    </w:p>
    <w:p w14:paraId="2FA0F45E">
      <w:pPr>
        <w:pStyle w:val="4"/>
        <w:numPr>
          <w:ilvl w:val="0"/>
          <w:numId w:val="0"/>
        </w:numPr>
        <w:tabs>
          <w:tab w:val="left" w:pos="899"/>
        </w:tabs>
        <w:spacing w:before="0" w:after="0" w:line="240" w:lineRule="auto"/>
        <w:ind w:left="229" w:leftChars="0" w:right="0" w:rightChars="0"/>
        <w:jc w:val="left"/>
      </w:pPr>
      <w:bookmarkStart w:id="11" w:name="_bookmark12"/>
      <w:bookmarkEnd w:id="11"/>
      <w:r>
        <w:rPr>
          <w:rFonts w:hint="default" w:ascii="Arial" w:hAnsi="Arial" w:cs="Arial"/>
          <w:b/>
          <w:bCs/>
          <w:lang w:val="en-US" w:eastAsia="zh-CN"/>
        </w:rPr>
        <w:t>2.3</w:t>
      </w:r>
      <w:r>
        <w:rPr>
          <w:rFonts w:hint="eastAsia"/>
          <w:spacing w:val="-3"/>
          <w:lang w:val="en-US" w:eastAsia="zh-CN"/>
        </w:rPr>
        <w:t/>
      </w:r>
      <w:r>
        <w:rPr/>
        <w:t xml:space="preserve"> Equipment List</w:t>
      </w:r>
    </w:p>
    <w:p w14:paraId="3C8E0A45">
      <w:pPr>
        <w:pStyle w:val="5"/>
        <w:spacing w:before="8" w:after="1"/>
        <w:rPr>
          <w:sz w:val="20"/>
        </w:rPr>
      </w:pPr>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3"/>
        <w:gridCol w:w="1313"/>
        <w:gridCol w:w="2362"/>
        <w:gridCol w:w="3442"/>
        <w:gridCol w:w="1311"/>
      </w:tblGrid>
      <w:tr w14:paraId="62DC9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9741" w:type="dxa"/>
            <w:gridSpan w:val="5"/>
            <w:tcBorders>
              <w:right w:val="nil"/>
            </w:tcBorders>
            <w:shd w:val="clear" w:color="auto" w:fill="C5DFB4"/>
          </w:tcPr>
          <w:p w14:paraId="21813F61">
            <w:pPr>
              <w:pStyle w:val="16"/>
              <w:spacing w:before="121"/>
              <w:jc w:val="center"/>
              <w:rPr>
                <w:sz w:val="32"/>
              </w:rPr>
            </w:pPr>
            <w:r>
              <w:rPr>
                <w:sz w:val="32"/>
              </w:rPr>
              <w:t>5T/D Complete</w:t>
            </w:r>
            <w:r>
              <w:rPr>
                <w:sz w:val="32"/>
              </w:rPr>
              <w:t xml:space="preserve"> Waste Pyrolysis Gasification Treatment Plant</w:t>
            </w:r>
          </w:p>
        </w:tc>
      </w:tr>
      <w:tr w14:paraId="4EBB23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1313" w:type="dxa"/>
          </w:tcPr>
          <w:p w14:paraId="06491FF7">
            <w:pPr>
              <w:pStyle w:val="16"/>
              <w:spacing w:before="186"/>
              <w:ind w:left="7"/>
              <w:jc w:val="center"/>
              <w:rPr>
                <w:sz w:val="22"/>
              </w:rPr>
            </w:pPr>
            <w:r>
              <w:rPr>
                <w:sz w:val="22"/>
              </w:rPr>
              <w:t>No.</w:t>
            </w:r>
          </w:p>
        </w:tc>
        <w:tc>
          <w:tcPr>
            <w:tcW w:w="1313" w:type="dxa"/>
          </w:tcPr>
          <w:p w14:paraId="10F0F65A">
            <w:pPr>
              <w:pStyle w:val="16"/>
              <w:spacing w:before="186"/>
              <w:ind w:left="7"/>
              <w:jc w:val="center"/>
              <w:rPr>
                <w:sz w:val="22"/>
              </w:rPr>
            </w:pPr>
            <w:r>
              <w:rPr>
                <w:sz w:val="22"/>
              </w:rPr>
              <w:t>Equipment No.</w:t>
            </w:r>
          </w:p>
        </w:tc>
        <w:tc>
          <w:tcPr>
            <w:tcW w:w="2362" w:type="dxa"/>
          </w:tcPr>
          <w:p w14:paraId="1D403AAB">
            <w:pPr>
              <w:pStyle w:val="16"/>
              <w:spacing w:before="23"/>
              <w:ind w:left="5"/>
              <w:jc w:val="center"/>
              <w:rPr>
                <w:sz w:val="22"/>
              </w:rPr>
            </w:pPr>
            <w:r>
              <w:rPr>
                <w:sz w:val="22"/>
              </w:rPr>
              <w:t>Item</w:t>
            </w:r>
          </w:p>
          <w:p w14:paraId="3061576E">
            <w:pPr>
              <w:pStyle w:val="16"/>
              <w:spacing w:before="44"/>
              <w:ind w:left="5"/>
              <w:jc w:val="center"/>
              <w:rPr>
                <w:sz w:val="22"/>
              </w:rPr>
            </w:pPr>
            <w:r>
              <w:rPr>
                <w:sz w:val="22"/>
              </w:rPr>
              <w:t>Name</w:t>
            </w:r>
          </w:p>
        </w:tc>
        <w:tc>
          <w:tcPr>
            <w:tcW w:w="3442" w:type="dxa"/>
          </w:tcPr>
          <w:p w14:paraId="0EF41639">
            <w:pPr>
              <w:pStyle w:val="16"/>
              <w:tabs>
                <w:tab w:val="left" w:pos="657"/>
                <w:t/>
                <w:tab w:val="left" w:pos="1209"/>
                <w:t/>
                <w:tab w:val="left" w:pos="1762"/>
                <w:t/>
                <w:tab w:val="left" w:pos="2314"/>
                <w:t/>
                <w:tab w:val="left" w:pos="2866"/>
              </w:tabs>
              <w:spacing w:before="23"/>
              <w:ind w:left="106"/>
              <w:rPr>
                <w:sz w:val="22"/>
              </w:rPr>
            </w:pPr>
            <w:r>
              <w:rPr>
                <w:sz w:val="22"/>
              </w:rPr>
              <w:t>Specifications</w:t>
            </w:r>
            <w:r>
              <w:rPr>
                <w:sz w:val="22"/>
              </w:rPr>
              <w:tab/>
            </w:r>
            <w:r>
              <w:rPr>
                <w:sz w:val="22"/>
              </w:rPr>
              <w:t>&amp;</w:t>
            </w:r>
            <w:r>
              <w:rPr>
                <w:sz w:val="22"/>
              </w:rPr>
              <w:tab/>
            </w:r>
            <w:r>
              <w:rPr>
                <w:sz w:val="22"/>
              </w:rPr>
              <w:t>Technical</w:t>
            </w:r>
            <w:r>
              <w:rPr>
                <w:sz w:val="22"/>
              </w:rPr>
              <w:tab/>
            </w:r>
            <w:r>
              <w:rPr>
                <w:sz w:val="22"/>
              </w:rPr>
              <w:t>Data</w:t>
            </w:r>
            <w:r>
              <w:rPr>
                <w:sz w:val="22"/>
              </w:rPr>
              <w:tab/>
            </w:r>
            <w:r>
              <w:rPr>
                <w:sz w:val="22"/>
              </w:rPr>
              <w:t>-</w:t>
            </w:r>
            <w:r>
              <w:rPr>
                <w:sz w:val="22"/>
              </w:rPr>
              <w:tab/>
            </w:r>
            <w:r>
              <w:rPr>
                <w:sz w:val="22"/>
              </w:rPr>
              <w:t>-</w:t>
            </w:r>
          </w:p>
          <w:p w14:paraId="7EAC0D2A">
            <w:pPr>
              <w:pStyle w:val="16"/>
              <w:spacing w:before="44"/>
              <w:ind w:left="106"/>
              <w:rPr>
                <w:sz w:val="22"/>
              </w:rPr>
            </w:pPr>
            <w:r>
              <w:rPr>
                <w:sz w:val="22"/>
              </w:rPr>
              <w:t>Data</w:t>
            </w:r>
          </w:p>
        </w:tc>
        <w:tc>
          <w:tcPr>
            <w:tcW w:w="1311" w:type="dxa"/>
          </w:tcPr>
          <w:p w14:paraId="2CB22B7C">
            <w:pPr>
              <w:pStyle w:val="16"/>
              <w:spacing w:before="186"/>
              <w:ind w:left="11"/>
              <w:jc w:val="center"/>
              <w:rPr>
                <w:sz w:val="22"/>
              </w:rPr>
            </w:pPr>
            <w:r>
              <w:rPr>
                <w:sz w:val="22"/>
              </w:rPr>
              <w:t>Qty</w:t>
            </w:r>
          </w:p>
        </w:tc>
      </w:tr>
      <w:tr w14:paraId="65AFF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1313" w:type="dxa"/>
            <w:shd w:val="clear" w:color="auto" w:fill="D9E0F1"/>
          </w:tcPr>
          <w:p w14:paraId="4648E555">
            <w:pPr>
              <w:pStyle w:val="16"/>
              <w:spacing w:before="147"/>
              <w:ind w:left="10"/>
              <w:jc w:val="center"/>
              <w:rPr>
                <w:sz w:val="28"/>
              </w:rPr>
            </w:pPr>
            <w:r>
              <w:rPr>
                <w:sz w:val="28"/>
              </w:rPr>
              <w:t>I</w:t>
            </w:r>
          </w:p>
        </w:tc>
        <w:tc>
          <w:tcPr>
            <w:tcW w:w="8428" w:type="dxa"/>
            <w:gridSpan w:val="4"/>
            <w:tcBorders>
              <w:right w:val="nil"/>
            </w:tcBorders>
            <w:shd w:val="clear" w:color="auto" w:fill="D9E0F1"/>
          </w:tcPr>
          <w:p w14:paraId="4AE89408">
            <w:pPr>
              <w:pStyle w:val="16"/>
              <w:spacing w:before="125"/>
              <w:ind w:left="10" w:right="3"/>
              <w:jc w:val="center"/>
              <w:rPr>
                <w:sz w:val="28"/>
              </w:rPr>
            </w:pPr>
            <w:r>
              <w:rPr>
                <w:sz w:val="28"/>
              </w:rPr>
              <w:t>Feeding System</w:t>
            </w:r>
          </w:p>
        </w:tc>
      </w:tr>
      <w:tr w14:paraId="29A5D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1313" w:type="dxa"/>
          </w:tcPr>
          <w:p w14:paraId="56F6A40B">
            <w:pPr>
              <w:pStyle w:val="16"/>
              <w:spacing w:before="41"/>
              <w:ind w:left="7"/>
              <w:jc w:val="center"/>
              <w:rPr>
                <w:sz w:val="22"/>
              </w:rPr>
            </w:pPr>
            <w:r>
              <w:rPr>
                <w:spacing w:val="-10"/>
                <w:sz w:val="22"/>
              </w:rPr>
              <w:t>1</w:t>
            </w:r>
          </w:p>
        </w:tc>
        <w:tc>
          <w:tcPr>
            <w:tcW w:w="1313" w:type="dxa"/>
          </w:tcPr>
          <w:p w14:paraId="2016270D">
            <w:pPr>
              <w:pStyle w:val="16"/>
              <w:spacing w:before="41"/>
              <w:ind w:left="12"/>
              <w:jc w:val="center"/>
              <w:rPr>
                <w:sz w:val="22"/>
              </w:rPr>
            </w:pPr>
            <w:r>
              <w:rPr>
                <w:sz w:val="22"/>
              </w:rPr>
              <w:t>ZT-1-</w:t>
            </w:r>
            <w:r>
              <w:rPr>
                <w:spacing w:val="-10"/>
                <w:sz w:val="22"/>
              </w:rPr>
              <w:t>1</w:t>
            </w:r>
          </w:p>
        </w:tc>
        <w:tc>
          <w:tcPr>
            <w:tcW w:w="2362" w:type="dxa"/>
          </w:tcPr>
          <w:p w14:paraId="51331493">
            <w:pPr>
              <w:pStyle w:val="16"/>
              <w:spacing w:before="41"/>
              <w:ind w:left="108"/>
              <w:rPr>
                <w:sz w:val="22"/>
              </w:rPr>
            </w:pPr>
            <w:r>
              <w:rPr>
                <w:sz w:val="22"/>
              </w:rPr>
              <w:t>Feed hopper</w:t>
            </w:r>
          </w:p>
        </w:tc>
        <w:tc>
          <w:tcPr>
            <w:tcW w:w="3442" w:type="dxa"/>
          </w:tcPr>
          <w:p w14:paraId="2176426D">
            <w:pPr>
              <w:pStyle w:val="16"/>
              <w:rPr>
                <w:rFonts w:ascii="Times New Roman"/>
                <w:sz w:val="22"/>
              </w:rPr>
            </w:pPr>
          </w:p>
        </w:tc>
        <w:tc>
          <w:tcPr>
            <w:tcW w:w="1311" w:type="dxa"/>
          </w:tcPr>
          <w:p w14:paraId="3738B240">
            <w:pPr>
              <w:pStyle w:val="16"/>
              <w:spacing w:before="41"/>
              <w:ind w:left="11"/>
              <w:jc w:val="center"/>
              <w:rPr>
                <w:sz w:val="22"/>
              </w:rPr>
            </w:pPr>
            <w:r>
              <w:rPr>
                <w:spacing w:val="-10"/>
                <w:sz w:val="22"/>
              </w:rPr>
              <w:t>1</w:t>
            </w:r>
          </w:p>
        </w:tc>
      </w:tr>
      <w:tr w14:paraId="46E3B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313" w:type="dxa"/>
          </w:tcPr>
          <w:p w14:paraId="0A5C63CC">
            <w:pPr>
              <w:pStyle w:val="16"/>
              <w:spacing w:before="22"/>
              <w:ind w:left="7"/>
              <w:jc w:val="center"/>
              <w:rPr>
                <w:sz w:val="22"/>
              </w:rPr>
            </w:pPr>
            <w:r>
              <w:rPr>
                <w:spacing w:val="-10"/>
                <w:sz w:val="22"/>
              </w:rPr>
              <w:t>2</w:t>
            </w:r>
          </w:p>
        </w:tc>
        <w:tc>
          <w:tcPr>
            <w:tcW w:w="1313" w:type="dxa"/>
          </w:tcPr>
          <w:p w14:paraId="1944FF71">
            <w:pPr>
              <w:pStyle w:val="16"/>
              <w:spacing w:before="22"/>
              <w:ind w:left="12"/>
              <w:jc w:val="center"/>
              <w:rPr>
                <w:sz w:val="22"/>
              </w:rPr>
            </w:pPr>
            <w:r>
              <w:rPr>
                <w:sz w:val="22"/>
              </w:rPr>
              <w:t>ZT-1-</w:t>
            </w:r>
            <w:r>
              <w:rPr>
                <w:spacing w:val="-10"/>
                <w:sz w:val="22"/>
              </w:rPr>
              <w:t>2</w:t>
            </w:r>
          </w:p>
        </w:tc>
        <w:tc>
          <w:tcPr>
            <w:tcW w:w="2362" w:type="dxa"/>
          </w:tcPr>
          <w:p w14:paraId="4DE6756D">
            <w:pPr>
              <w:pStyle w:val="16"/>
              <w:spacing w:before="22"/>
              <w:ind w:left="108"/>
              <w:rPr>
                <w:sz w:val="22"/>
              </w:rPr>
            </w:pPr>
            <w:r>
              <w:rPr>
                <w:sz w:val="22"/>
              </w:rPr>
              <w:t>Traveling grab crane</w:t>
            </w:r>
          </w:p>
        </w:tc>
        <w:tc>
          <w:tcPr>
            <w:tcW w:w="3442" w:type="dxa"/>
          </w:tcPr>
          <w:p w14:paraId="664BC474">
            <w:pPr>
              <w:pStyle w:val="16"/>
              <w:rPr>
                <w:rFonts w:ascii="Times New Roman"/>
                <w:sz w:val="22"/>
              </w:rPr>
            </w:pPr>
          </w:p>
        </w:tc>
        <w:tc>
          <w:tcPr>
            <w:tcW w:w="1311" w:type="dxa"/>
          </w:tcPr>
          <w:p w14:paraId="5079EE04">
            <w:pPr>
              <w:pStyle w:val="16"/>
              <w:spacing w:before="22"/>
              <w:ind w:left="11"/>
              <w:jc w:val="center"/>
              <w:rPr>
                <w:sz w:val="22"/>
              </w:rPr>
            </w:pPr>
            <w:r>
              <w:rPr>
                <w:spacing w:val="-10"/>
                <w:sz w:val="22"/>
              </w:rPr>
              <w:t>1</w:t>
            </w:r>
          </w:p>
        </w:tc>
      </w:tr>
      <w:tr w14:paraId="6AC94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313" w:type="dxa"/>
          </w:tcPr>
          <w:p w14:paraId="1CB0CD32">
            <w:pPr>
              <w:pStyle w:val="16"/>
              <w:spacing w:before="46"/>
              <w:ind w:left="7"/>
              <w:jc w:val="center"/>
              <w:rPr>
                <w:sz w:val="22"/>
              </w:rPr>
            </w:pPr>
            <w:r>
              <w:rPr>
                <w:spacing w:val="-10"/>
                <w:sz w:val="22"/>
              </w:rPr>
              <w:t>3</w:t>
            </w:r>
          </w:p>
        </w:tc>
        <w:tc>
          <w:tcPr>
            <w:tcW w:w="1313" w:type="dxa"/>
          </w:tcPr>
          <w:p w14:paraId="426190F2">
            <w:pPr>
              <w:pStyle w:val="16"/>
              <w:spacing w:before="46"/>
              <w:ind w:left="12"/>
              <w:jc w:val="center"/>
              <w:rPr>
                <w:sz w:val="22"/>
              </w:rPr>
            </w:pPr>
            <w:r>
              <w:rPr>
                <w:sz w:val="22"/>
              </w:rPr>
              <w:t>ZT-1-</w:t>
            </w:r>
            <w:r>
              <w:rPr>
                <w:spacing w:val="-10"/>
                <w:sz w:val="22"/>
              </w:rPr>
              <w:t>3</w:t>
            </w:r>
          </w:p>
        </w:tc>
        <w:tc>
          <w:tcPr>
            <w:tcW w:w="2362" w:type="dxa"/>
          </w:tcPr>
          <w:p w14:paraId="0492E0EC">
            <w:pPr>
              <w:pStyle w:val="16"/>
              <w:spacing w:before="46"/>
              <w:ind w:left="108"/>
              <w:rPr>
                <w:sz w:val="22"/>
              </w:rPr>
            </w:pPr>
            <w:r>
              <w:rPr>
                <w:sz w:val="22"/>
              </w:rPr>
              <w:t>Hydraulic pusher system</w:t>
            </w:r>
          </w:p>
        </w:tc>
        <w:tc>
          <w:tcPr>
            <w:tcW w:w="3442" w:type="dxa"/>
          </w:tcPr>
          <w:p w14:paraId="21EB770B">
            <w:pPr>
              <w:pStyle w:val="16"/>
              <w:rPr>
                <w:rFonts w:ascii="Times New Roman"/>
                <w:sz w:val="22"/>
              </w:rPr>
            </w:pPr>
          </w:p>
        </w:tc>
        <w:tc>
          <w:tcPr>
            <w:tcW w:w="1311" w:type="dxa"/>
          </w:tcPr>
          <w:p w14:paraId="7A99B472">
            <w:pPr>
              <w:pStyle w:val="16"/>
              <w:spacing w:before="46"/>
              <w:ind w:left="11"/>
              <w:jc w:val="center"/>
              <w:rPr>
                <w:sz w:val="22"/>
              </w:rPr>
            </w:pPr>
            <w:r>
              <w:rPr>
                <w:spacing w:val="-10"/>
                <w:sz w:val="22"/>
              </w:rPr>
              <w:t>1</w:t>
            </w:r>
          </w:p>
        </w:tc>
      </w:tr>
      <w:tr w14:paraId="0FC68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9741" w:type="dxa"/>
            <w:gridSpan w:val="5"/>
            <w:tcBorders>
              <w:right w:val="nil"/>
            </w:tcBorders>
          </w:tcPr>
          <w:p w14:paraId="3FAD9155">
            <w:pPr>
              <w:pStyle w:val="16"/>
              <w:rPr>
                <w:rFonts w:ascii="Times New Roman"/>
                <w:sz w:val="22"/>
              </w:rPr>
            </w:pPr>
          </w:p>
        </w:tc>
      </w:tr>
      <w:tr w14:paraId="0C5F7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313" w:type="dxa"/>
            <w:shd w:val="clear" w:color="auto" w:fill="D9E0F1"/>
          </w:tcPr>
          <w:p w14:paraId="00377B62">
            <w:pPr>
              <w:pStyle w:val="16"/>
              <w:spacing w:before="147"/>
              <w:ind w:left="10"/>
              <w:jc w:val="center"/>
              <w:rPr>
                <w:sz w:val="28"/>
              </w:rPr>
            </w:pPr>
            <w:r>
              <w:rPr>
                <w:sz w:val="28"/>
              </w:rPr>
              <w:t>II</w:t>
            </w:r>
          </w:p>
        </w:tc>
        <w:tc>
          <w:tcPr>
            <w:tcW w:w="8428" w:type="dxa"/>
            <w:gridSpan w:val="4"/>
            <w:tcBorders>
              <w:right w:val="nil"/>
            </w:tcBorders>
            <w:shd w:val="clear" w:color="auto" w:fill="D9E0F1"/>
          </w:tcPr>
          <w:p w14:paraId="1A33917D">
            <w:pPr>
              <w:pStyle w:val="16"/>
              <w:spacing w:before="125"/>
              <w:ind w:left="10"/>
              <w:jc w:val="center"/>
              <w:rPr>
                <w:sz w:val="28"/>
              </w:rPr>
            </w:pPr>
            <w:r>
              <w:rPr>
                <w:sz w:val="28"/>
              </w:rPr>
              <w:t>Pyrolysis Gasification System</w:t>
            </w:r>
          </w:p>
        </w:tc>
      </w:tr>
      <w:tr w14:paraId="2FDC3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313" w:type="dxa"/>
          </w:tcPr>
          <w:p w14:paraId="61E006EF">
            <w:pPr>
              <w:pStyle w:val="16"/>
              <w:spacing w:before="185"/>
              <w:ind w:left="7"/>
              <w:jc w:val="center"/>
              <w:rPr>
                <w:sz w:val="22"/>
              </w:rPr>
            </w:pPr>
            <w:r>
              <w:rPr>
                <w:spacing w:val="-10"/>
                <w:sz w:val="22"/>
              </w:rPr>
              <w:t>1</w:t>
            </w:r>
          </w:p>
        </w:tc>
        <w:tc>
          <w:tcPr>
            <w:tcW w:w="1313" w:type="dxa"/>
          </w:tcPr>
          <w:p w14:paraId="6468BD91">
            <w:pPr>
              <w:pStyle w:val="16"/>
              <w:spacing w:before="185"/>
              <w:ind w:left="12"/>
              <w:jc w:val="center"/>
              <w:rPr>
                <w:sz w:val="22"/>
              </w:rPr>
            </w:pPr>
            <w:r>
              <w:rPr>
                <w:sz w:val="22"/>
              </w:rPr>
              <w:t>ZT-2-</w:t>
            </w:r>
            <w:r>
              <w:rPr>
                <w:spacing w:val="-10"/>
                <w:sz w:val="22"/>
              </w:rPr>
              <w:t>1</w:t>
            </w:r>
          </w:p>
        </w:tc>
        <w:tc>
          <w:tcPr>
            <w:tcW w:w="2362" w:type="dxa"/>
          </w:tcPr>
          <w:p w14:paraId="473E8F4E">
            <w:pPr>
              <w:pStyle w:val="16"/>
              <w:spacing w:before="22"/>
              <w:ind w:left="108"/>
              <w:rPr>
                <w:sz w:val="22"/>
              </w:rPr>
            </w:pPr>
            <w:r>
              <w:rPr>
                <w:sz w:val="22"/>
              </w:rPr>
              <w:t>Chain grate pyrolysis gasifier</w:t>
            </w:r>
            <w:r>
              <w:rPr>
                <w:sz w:val="22"/>
              </w:rPr>
              <w:t xml:space="preserve"> (inclu</w:t>
            </w:r>
            <w:r>
              <w:rPr>
                <w:sz w:val="22"/>
              </w:rPr>
              <w:t>ding</w:t>
            </w:r>
          </w:p>
          <w:p w14:paraId="5F516F08">
            <w:pPr>
              <w:pStyle w:val="16"/>
              <w:spacing w:before="44"/>
              <w:ind w:left="108"/>
              <w:rPr>
                <w:sz w:val="22"/>
              </w:rPr>
            </w:pPr>
            <w:r>
              <w:rPr>
                <w:sz w:val="22"/>
              </w:rPr>
              <w:t>secondary combustion</w:t>
            </w:r>
            <w:r>
              <w:rPr>
                <w:sz w:val="22"/>
              </w:rPr>
              <w:t xml:space="preserve"> chamber)</w:t>
            </w:r>
          </w:p>
        </w:tc>
        <w:tc>
          <w:tcPr>
            <w:tcW w:w="3442" w:type="dxa"/>
          </w:tcPr>
          <w:p w14:paraId="2BCBD2E1">
            <w:pPr>
              <w:pStyle w:val="16"/>
              <w:spacing w:before="189"/>
              <w:ind w:left="106"/>
              <w:rPr>
                <w:rFonts w:ascii="Segoe UI Symbol" w:hAnsi="Segoe UI Symbol" w:eastAsia="Segoe UI Symbol"/>
                <w:sz w:val="20"/>
              </w:rPr>
            </w:pPr>
            <w:r>
              <w:rPr>
                <w:sz w:val="20"/>
              </w:rPr>
              <w:t>Processing</w:t>
            </w:r>
            <w:r>
              <w:rPr>
                <w:rFonts w:ascii="Times New Roman" w:hAnsi="Times New Roman" w:eastAsia="Times New Roman"/>
                <w:sz w:val="20"/>
              </w:rPr>
              <w:t xml:space="preserve"> capacity</w:t>
            </w:r>
            <w:r>
              <w:rPr>
                <w:rFonts w:ascii="Times New Roman" w:hAnsi="Times New Roman" w:eastAsia="Times New Roman"/>
                <w:spacing w:val="3"/>
                <w:sz w:val="20"/>
              </w:rPr>
              <w:t/>
            </w:r>
            <w:r>
              <w:rPr>
                <w:sz w:val="20"/>
              </w:rPr>
              <w:t xml:space="preserve"> 5</w:t>
            </w:r>
            <w:r>
              <w:rPr>
                <w:rFonts w:ascii="Times New Roman" w:hAnsi="Times New Roman" w:eastAsia="Times New Roman"/>
                <w:sz w:val="20"/>
              </w:rPr>
              <w:t xml:space="preserve"> tons/day,</w:t>
            </w:r>
            <w:r>
              <w:rPr>
                <w:sz w:val="20"/>
              </w:rPr>
              <w:t xml:space="preserve"> flue gas outlet temperature</w:t>
            </w:r>
            <w:r>
              <w:rPr>
                <w:rFonts w:ascii="Times New Roman" w:hAnsi="Times New Roman" w:eastAsia="Times New Roman"/>
                <w:sz w:val="20"/>
              </w:rPr>
              <w:t xml:space="preserve"> above</w:t>
            </w:r>
            <w:r>
              <w:rPr>
                <w:rFonts w:ascii="Segoe UI Symbol" w:hAnsi="Segoe UI Symbol" w:eastAsia="Segoe UI Symbol"/>
                <w:sz w:val="20"/>
              </w:rPr>
              <w:t xml:space="preserve"> 900℃</w:t>
            </w:r>
          </w:p>
        </w:tc>
        <w:tc>
          <w:tcPr>
            <w:tcW w:w="1311" w:type="dxa"/>
          </w:tcPr>
          <w:p w14:paraId="57D50A4B">
            <w:pPr>
              <w:pStyle w:val="16"/>
              <w:spacing w:before="185"/>
              <w:ind w:left="11"/>
              <w:jc w:val="center"/>
              <w:rPr>
                <w:sz w:val="22"/>
              </w:rPr>
            </w:pPr>
            <w:r>
              <w:rPr>
                <w:spacing w:val="-10"/>
                <w:sz w:val="22"/>
              </w:rPr>
              <w:t>1</w:t>
            </w:r>
          </w:p>
        </w:tc>
      </w:tr>
    </w:tbl>
    <w:p w14:paraId="3EE0EACA">
      <w:pPr>
        <w:pStyle w:val="16"/>
        <w:spacing w:after="0"/>
        <w:jc w:val="center"/>
        <w:rPr>
          <w:sz w:val="22"/>
        </w:rPr>
        <w:sectPr>
          <w:pgSz w:w="11910" w:h="16840"/>
          <w:pgMar w:top="1400" w:right="283" w:bottom="1556" w:left="850" w:header="761" w:footer="628" w:gutter="0"/>
          <w:cols w:space="720" w:num="1"/>
        </w:sectPr>
      </w:pPr>
    </w:p>
    <w:tbl>
      <w:tblPr>
        <w:tblStyle w:val="12"/>
        <w:tblW w:w="0" w:type="auto"/>
        <w:tblInd w:w="1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13"/>
        <w:gridCol w:w="1313"/>
        <w:gridCol w:w="2362"/>
        <w:gridCol w:w="3442"/>
        <w:gridCol w:w="1311"/>
      </w:tblGrid>
      <w:tr w14:paraId="707933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7" w:hRule="atLeast"/>
        </w:trPr>
        <w:tc>
          <w:tcPr>
            <w:tcW w:w="1313" w:type="dxa"/>
            <w:tcBorders>
              <w:left w:val="single" w:color="000000" w:sz="4" w:space="0"/>
              <w:bottom w:val="single" w:color="000000" w:sz="4" w:space="0"/>
              <w:right w:val="single" w:color="000000" w:sz="4" w:space="0"/>
            </w:tcBorders>
          </w:tcPr>
          <w:p w14:paraId="438798CC">
            <w:pPr>
              <w:pStyle w:val="16"/>
              <w:spacing w:before="89"/>
              <w:ind w:left="7"/>
              <w:jc w:val="center"/>
              <w:rPr>
                <w:sz w:val="22"/>
              </w:rPr>
            </w:pPr>
            <w:r>
              <w:rPr>
                <w:spacing w:val="-10"/>
                <w:sz w:val="22"/>
              </w:rPr>
              <w:t>2</w:t>
            </w:r>
          </w:p>
        </w:tc>
        <w:tc>
          <w:tcPr>
            <w:tcW w:w="1313" w:type="dxa"/>
            <w:tcBorders>
              <w:left w:val="single" w:color="000000" w:sz="4" w:space="0"/>
              <w:bottom w:val="single" w:color="000000" w:sz="4" w:space="0"/>
              <w:right w:val="single" w:color="000000" w:sz="4" w:space="0"/>
            </w:tcBorders>
          </w:tcPr>
          <w:p w14:paraId="1EB355F1">
            <w:pPr>
              <w:pStyle w:val="16"/>
              <w:spacing w:before="89"/>
              <w:ind w:left="12"/>
              <w:jc w:val="center"/>
              <w:rPr>
                <w:sz w:val="22"/>
              </w:rPr>
            </w:pPr>
            <w:r>
              <w:rPr>
                <w:sz w:val="22"/>
              </w:rPr>
              <w:t>ZT-2-</w:t>
            </w:r>
            <w:r>
              <w:rPr>
                <w:spacing w:val="-10"/>
                <w:sz w:val="22"/>
              </w:rPr>
              <w:t>2</w:t>
            </w:r>
          </w:p>
        </w:tc>
        <w:tc>
          <w:tcPr>
            <w:tcW w:w="2362" w:type="dxa"/>
            <w:tcBorders>
              <w:left w:val="single" w:color="000000" w:sz="4" w:space="0"/>
              <w:bottom w:val="single" w:color="000000" w:sz="4" w:space="0"/>
              <w:right w:val="single" w:color="000000" w:sz="4" w:space="0"/>
            </w:tcBorders>
          </w:tcPr>
          <w:p w14:paraId="27DAC655">
            <w:pPr>
              <w:pStyle w:val="16"/>
              <w:spacing w:before="89"/>
              <w:ind w:left="108"/>
              <w:rPr>
                <w:sz w:val="22"/>
              </w:rPr>
            </w:pPr>
            <w:r>
              <w:rPr>
                <w:sz w:val="22"/>
              </w:rPr>
              <w:t>Thermal insulation</w:t>
            </w:r>
          </w:p>
        </w:tc>
        <w:tc>
          <w:tcPr>
            <w:tcW w:w="3442" w:type="dxa"/>
            <w:tcBorders>
              <w:left w:val="single" w:color="000000" w:sz="4" w:space="0"/>
              <w:bottom w:val="single" w:color="000000" w:sz="4" w:space="0"/>
              <w:right w:val="single" w:color="000000" w:sz="4" w:space="0"/>
            </w:tcBorders>
          </w:tcPr>
          <w:p w14:paraId="329E3E1A">
            <w:pPr>
              <w:pStyle w:val="16"/>
              <w:rPr>
                <w:rFonts w:ascii="Times New Roman"/>
                <w:sz w:val="20"/>
              </w:rPr>
            </w:pPr>
          </w:p>
        </w:tc>
        <w:tc>
          <w:tcPr>
            <w:tcW w:w="1311" w:type="dxa"/>
            <w:tcBorders>
              <w:left w:val="single" w:color="000000" w:sz="4" w:space="0"/>
              <w:bottom w:val="single" w:color="000000" w:sz="4" w:space="0"/>
              <w:right w:val="single" w:color="000000" w:sz="4" w:space="0"/>
            </w:tcBorders>
          </w:tcPr>
          <w:p w14:paraId="7B5E6423">
            <w:pPr>
              <w:pStyle w:val="16"/>
              <w:spacing w:before="89"/>
              <w:ind w:left="11"/>
              <w:jc w:val="center"/>
              <w:rPr>
                <w:sz w:val="22"/>
              </w:rPr>
            </w:pPr>
            <w:r>
              <w:rPr>
                <w:spacing w:val="-10"/>
                <w:sz w:val="22"/>
              </w:rPr>
              <w:t>1</w:t>
            </w:r>
          </w:p>
        </w:tc>
      </w:tr>
      <w:tr w14:paraId="4CFFA4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0" w:hRule="atLeast"/>
        </w:trPr>
        <w:tc>
          <w:tcPr>
            <w:tcW w:w="1313" w:type="dxa"/>
            <w:tcBorders>
              <w:top w:val="single" w:color="000000" w:sz="4" w:space="0"/>
              <w:left w:val="single" w:color="000000" w:sz="4" w:space="0"/>
              <w:bottom w:val="single" w:color="000000" w:sz="4" w:space="0"/>
              <w:right w:val="single" w:color="000000" w:sz="4" w:space="0"/>
            </w:tcBorders>
          </w:tcPr>
          <w:p w14:paraId="58A5458A">
            <w:pPr>
              <w:pStyle w:val="16"/>
              <w:spacing w:before="185"/>
              <w:ind w:left="7"/>
              <w:jc w:val="center"/>
              <w:rPr>
                <w:sz w:val="22"/>
              </w:rPr>
            </w:pPr>
            <w:r>
              <w:rPr>
                <w:spacing w:val="-10"/>
                <w:sz w:val="22"/>
              </w:rPr>
              <w:t>3</w:t>
            </w:r>
          </w:p>
        </w:tc>
        <w:tc>
          <w:tcPr>
            <w:tcW w:w="1313" w:type="dxa"/>
            <w:tcBorders>
              <w:top w:val="single" w:color="000000" w:sz="4" w:space="0"/>
              <w:left w:val="single" w:color="000000" w:sz="4" w:space="0"/>
              <w:bottom w:val="single" w:color="000000" w:sz="4" w:space="0"/>
              <w:right w:val="single" w:color="000000" w:sz="4" w:space="0"/>
            </w:tcBorders>
          </w:tcPr>
          <w:p w14:paraId="35F859C5">
            <w:pPr>
              <w:pStyle w:val="16"/>
              <w:spacing w:before="185"/>
              <w:ind w:left="12"/>
              <w:jc w:val="center"/>
              <w:rPr>
                <w:sz w:val="22"/>
              </w:rPr>
            </w:pPr>
            <w:r>
              <w:rPr>
                <w:sz w:val="22"/>
              </w:rPr>
              <w:t>ZT-2-</w:t>
            </w:r>
            <w:r>
              <w:rPr>
                <w:spacing w:val="-10"/>
                <w:sz w:val="22"/>
              </w:rPr>
              <w:t>3</w:t>
            </w:r>
          </w:p>
        </w:tc>
        <w:tc>
          <w:tcPr>
            <w:tcW w:w="2362" w:type="dxa"/>
            <w:tcBorders>
              <w:top w:val="single" w:color="000000" w:sz="4" w:space="0"/>
              <w:left w:val="single" w:color="000000" w:sz="4" w:space="0"/>
              <w:bottom w:val="single" w:color="000000" w:sz="4" w:space="0"/>
              <w:right w:val="single" w:color="000000" w:sz="4" w:space="0"/>
            </w:tcBorders>
          </w:tcPr>
          <w:p w14:paraId="74CE67A9">
            <w:pPr>
              <w:pStyle w:val="16"/>
              <w:spacing w:before="185"/>
              <w:ind w:left="108"/>
              <w:rPr>
                <w:sz w:val="22"/>
              </w:rPr>
            </w:pPr>
            <w:r>
              <w:rPr>
                <w:sz w:val="22"/>
              </w:rPr>
              <w:t>Blower</w:t>
            </w:r>
          </w:p>
        </w:tc>
        <w:tc>
          <w:tcPr>
            <w:tcW w:w="3442" w:type="dxa"/>
            <w:tcBorders>
              <w:top w:val="single" w:color="000000" w:sz="4" w:space="0"/>
              <w:left w:val="single" w:color="000000" w:sz="4" w:space="0"/>
              <w:bottom w:val="single" w:color="000000" w:sz="4" w:space="0"/>
              <w:right w:val="single" w:color="000000" w:sz="4" w:space="0"/>
            </w:tcBorders>
          </w:tcPr>
          <w:p w14:paraId="74E88EFA">
            <w:pPr>
              <w:pStyle w:val="16"/>
              <w:tabs>
                <w:tab w:val="left" w:pos="1865"/>
              </w:tabs>
              <w:spacing w:before="35"/>
              <w:ind w:left="106"/>
              <w:rPr>
                <w:rFonts w:ascii="Times New Roman" w:eastAsia="Times New Roman"/>
                <w:sz w:val="20"/>
              </w:rPr>
            </w:pPr>
            <w:r>
              <w:rPr>
                <w:sz w:val="20"/>
              </w:rPr>
              <w:t>Air</w:t>
            </w:r>
            <w:r>
              <w:rPr>
                <w:rFonts w:ascii="Times New Roman" w:eastAsia="Times New Roman"/>
                <w:sz w:val="20"/>
              </w:rPr>
              <w:t xml:space="preserve"> volume: 3000Nm3/h</w:t>
            </w:r>
            <w:r>
              <w:rPr>
                <w:rFonts w:ascii="Times New Roman" w:eastAsia="Times New Roman"/>
                <w:sz w:val="20"/>
              </w:rPr>
              <w:tab/>
            </w:r>
            <w:r>
              <w:rPr>
                <w:sz w:val="20"/>
              </w:rPr>
              <w:t>Air</w:t>
            </w:r>
            <w:r>
              <w:rPr>
                <w:rFonts w:ascii="Times New Roman" w:eastAsia="Times New Roman"/>
                <w:sz w:val="20"/>
              </w:rPr>
              <w:t xml:space="preserve"> pressure: 4500pa</w:t>
            </w:r>
          </w:p>
          <w:p w14:paraId="0CBC6B1A">
            <w:pPr>
              <w:pStyle w:val="16"/>
              <w:spacing w:before="81"/>
              <w:ind w:left="106"/>
              <w:rPr>
                <w:rFonts w:ascii="Times New Roman"/>
                <w:sz w:val="20"/>
              </w:rPr>
            </w:pPr>
            <w:r>
              <w:rPr>
                <w:rFonts w:ascii="Times New Roman"/>
                <w:spacing w:val="-2"/>
                <w:sz w:val="20"/>
              </w:rPr>
              <w:t>5.5KW</w:t>
            </w:r>
          </w:p>
        </w:tc>
        <w:tc>
          <w:tcPr>
            <w:tcW w:w="1311" w:type="dxa"/>
            <w:tcBorders>
              <w:top w:val="single" w:color="000000" w:sz="4" w:space="0"/>
              <w:left w:val="single" w:color="000000" w:sz="4" w:space="0"/>
              <w:bottom w:val="single" w:color="000000" w:sz="4" w:space="0"/>
              <w:right w:val="single" w:color="000000" w:sz="4" w:space="0"/>
            </w:tcBorders>
          </w:tcPr>
          <w:p w14:paraId="0DF85EF0">
            <w:pPr>
              <w:pStyle w:val="16"/>
              <w:spacing w:before="185"/>
              <w:ind w:left="11"/>
              <w:jc w:val="center"/>
              <w:rPr>
                <w:sz w:val="22"/>
              </w:rPr>
            </w:pPr>
            <w:r>
              <w:rPr>
                <w:spacing w:val="-10"/>
                <w:sz w:val="22"/>
              </w:rPr>
              <w:t>2</w:t>
            </w:r>
          </w:p>
        </w:tc>
      </w:tr>
      <w:tr w14:paraId="636060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1313" w:type="dxa"/>
            <w:tcBorders>
              <w:top w:val="single" w:color="000000" w:sz="4" w:space="0"/>
              <w:left w:val="single" w:color="000000" w:sz="4" w:space="0"/>
              <w:bottom w:val="single" w:color="000000" w:sz="4" w:space="0"/>
              <w:right w:val="single" w:color="000000" w:sz="4" w:space="0"/>
            </w:tcBorders>
          </w:tcPr>
          <w:p w14:paraId="1A1CA397">
            <w:pPr>
              <w:pStyle w:val="16"/>
              <w:spacing w:before="185"/>
              <w:ind w:left="7"/>
              <w:jc w:val="center"/>
              <w:rPr>
                <w:sz w:val="22"/>
              </w:rPr>
            </w:pPr>
            <w:r>
              <w:rPr>
                <w:spacing w:val="-10"/>
                <w:sz w:val="22"/>
              </w:rPr>
              <w:t>4</w:t>
            </w:r>
          </w:p>
        </w:tc>
        <w:tc>
          <w:tcPr>
            <w:tcW w:w="1313" w:type="dxa"/>
            <w:tcBorders>
              <w:top w:val="single" w:color="000000" w:sz="4" w:space="0"/>
              <w:left w:val="single" w:color="000000" w:sz="4" w:space="0"/>
              <w:bottom w:val="single" w:color="000000" w:sz="4" w:space="0"/>
              <w:right w:val="single" w:color="000000" w:sz="4" w:space="0"/>
            </w:tcBorders>
          </w:tcPr>
          <w:p w14:paraId="5CCC7578">
            <w:pPr>
              <w:pStyle w:val="16"/>
              <w:spacing w:before="185"/>
              <w:ind w:left="12"/>
              <w:jc w:val="center"/>
              <w:rPr>
                <w:sz w:val="22"/>
              </w:rPr>
            </w:pPr>
            <w:r>
              <w:rPr>
                <w:sz w:val="22"/>
              </w:rPr>
              <w:t>ZT-2-</w:t>
            </w:r>
            <w:r>
              <w:rPr>
                <w:spacing w:val="-10"/>
                <w:sz w:val="22"/>
              </w:rPr>
              <w:t>4</w:t>
            </w:r>
          </w:p>
        </w:tc>
        <w:tc>
          <w:tcPr>
            <w:tcW w:w="2362" w:type="dxa"/>
            <w:tcBorders>
              <w:top w:val="single" w:color="000000" w:sz="4" w:space="0"/>
              <w:left w:val="single" w:color="000000" w:sz="4" w:space="0"/>
              <w:bottom w:val="single" w:color="000000" w:sz="4" w:space="0"/>
              <w:right w:val="single" w:color="000000" w:sz="4" w:space="0"/>
            </w:tcBorders>
          </w:tcPr>
          <w:p w14:paraId="4FB1B34B">
            <w:pPr>
              <w:pStyle w:val="16"/>
              <w:spacing w:before="22"/>
              <w:ind w:left="108"/>
              <w:rPr>
                <w:sz w:val="22"/>
              </w:rPr>
            </w:pPr>
            <w:r>
              <w:rPr>
                <w:sz w:val="22"/>
              </w:rPr>
              <w:t>Combustion-support system</w:t>
            </w:r>
            <w:r>
              <w:rPr>
                <w:sz w:val="22"/>
              </w:rPr>
              <w:t xml:space="preserve"> (including burner,</w:t>
            </w:r>
          </w:p>
          <w:p w14:paraId="14B18FE5">
            <w:pPr>
              <w:pStyle w:val="16"/>
              <w:spacing w:before="44"/>
              <w:ind w:left="108"/>
              <w:rPr>
                <w:sz w:val="22"/>
              </w:rPr>
            </w:pPr>
            <w:r>
              <w:rPr>
                <w:sz w:val="22"/>
              </w:rPr>
              <w:t>oil</w:t>
            </w:r>
            <w:r>
              <w:rPr>
                <w:sz w:val="22"/>
              </w:rPr>
              <w:t xml:space="preserve"> tank)</w:t>
            </w:r>
          </w:p>
        </w:tc>
        <w:tc>
          <w:tcPr>
            <w:tcW w:w="3442" w:type="dxa"/>
            <w:tcBorders>
              <w:top w:val="single" w:color="000000" w:sz="4" w:space="0"/>
              <w:left w:val="single" w:color="000000" w:sz="4" w:space="0"/>
              <w:bottom w:val="single" w:color="000000" w:sz="4" w:space="0"/>
              <w:right w:val="single" w:color="000000" w:sz="4" w:space="0"/>
            </w:tcBorders>
          </w:tcPr>
          <w:p w14:paraId="205997C5">
            <w:pPr>
              <w:pStyle w:val="16"/>
              <w:spacing w:before="35"/>
              <w:ind w:left="106"/>
              <w:rPr>
                <w:rFonts w:ascii="Times New Roman" w:eastAsia="Times New Roman"/>
                <w:sz w:val="20"/>
              </w:rPr>
            </w:pPr>
            <w:r>
              <w:rPr>
                <w:sz w:val="20"/>
              </w:rPr>
              <w:t>Ignition burner</w:t>
            </w:r>
            <w:r>
              <w:rPr>
                <w:rFonts w:ascii="Times New Roman" w:eastAsia="Times New Roman"/>
                <w:sz w:val="20"/>
              </w:rPr>
              <w:t xml:space="preserve"> 0.75kw,</w:t>
            </w:r>
            <w:r>
              <w:rPr>
                <w:sz w:val="20"/>
              </w:rPr>
              <w:t xml:space="preserve"> auxiliary burner</w:t>
            </w:r>
            <w:r>
              <w:rPr>
                <w:rFonts w:ascii="Times New Roman" w:eastAsia="Times New Roman"/>
                <w:sz w:val="20"/>
              </w:rPr>
              <w:t xml:space="preserve"> 2.6</w:t>
            </w:r>
          </w:p>
          <w:p w14:paraId="24C39835">
            <w:pPr>
              <w:pStyle w:val="16"/>
              <w:spacing w:before="70"/>
              <w:ind w:left="106"/>
              <w:rPr>
                <w:sz w:val="20"/>
              </w:rPr>
            </w:pPr>
            <w:r>
              <w:rPr>
                <w:sz w:val="20"/>
              </w:rPr>
              <w:t>pump</w:t>
            </w:r>
            <w:r>
              <w:rPr>
                <w:rFonts w:ascii="Times New Roman" w:eastAsia="Times New Roman"/>
                <w:sz w:val="20"/>
              </w:rPr>
              <w:t xml:space="preserve"> 0.37, with</w:t>
            </w:r>
            <w:r>
              <w:rPr>
                <w:sz w:val="20"/>
              </w:rPr>
              <w:t xml:space="preserve"> storage tank</w:t>
            </w:r>
          </w:p>
        </w:tc>
        <w:tc>
          <w:tcPr>
            <w:tcW w:w="1311" w:type="dxa"/>
            <w:tcBorders>
              <w:top w:val="single" w:color="000000" w:sz="4" w:space="0"/>
              <w:left w:val="single" w:color="000000" w:sz="4" w:space="0"/>
              <w:bottom w:val="single" w:color="000000" w:sz="4" w:space="0"/>
              <w:right w:val="single" w:color="000000" w:sz="4" w:space="0"/>
            </w:tcBorders>
          </w:tcPr>
          <w:p w14:paraId="24EFAED4">
            <w:pPr>
              <w:pStyle w:val="16"/>
              <w:spacing w:before="185"/>
              <w:ind w:left="11"/>
              <w:jc w:val="center"/>
              <w:rPr>
                <w:sz w:val="22"/>
              </w:rPr>
            </w:pPr>
            <w:r>
              <w:rPr>
                <w:spacing w:val="-10"/>
                <w:sz w:val="22"/>
              </w:rPr>
              <w:t>1</w:t>
            </w:r>
          </w:p>
        </w:tc>
      </w:tr>
      <w:tr w14:paraId="464179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5" w:hRule="atLeast"/>
        </w:trPr>
        <w:tc>
          <w:tcPr>
            <w:tcW w:w="1313" w:type="dxa"/>
            <w:tcBorders>
              <w:top w:val="single" w:color="000000" w:sz="4" w:space="0"/>
              <w:left w:val="single" w:color="000000" w:sz="4" w:space="0"/>
              <w:bottom w:val="single" w:color="000000" w:sz="4" w:space="0"/>
              <w:right w:val="single" w:color="000000" w:sz="4" w:space="0"/>
            </w:tcBorders>
          </w:tcPr>
          <w:p w14:paraId="765DEE2E">
            <w:pPr>
              <w:pStyle w:val="16"/>
              <w:spacing w:before="22"/>
              <w:ind w:left="7"/>
              <w:jc w:val="center"/>
              <w:rPr>
                <w:sz w:val="22"/>
              </w:rPr>
            </w:pPr>
            <w:r>
              <w:rPr>
                <w:spacing w:val="-10"/>
                <w:sz w:val="22"/>
              </w:rPr>
              <w:t>5</w:t>
            </w:r>
          </w:p>
        </w:tc>
        <w:tc>
          <w:tcPr>
            <w:tcW w:w="1313" w:type="dxa"/>
            <w:tcBorders>
              <w:top w:val="single" w:color="000000" w:sz="4" w:space="0"/>
              <w:left w:val="single" w:color="000000" w:sz="4" w:space="0"/>
              <w:bottom w:val="single" w:color="000000" w:sz="4" w:space="0"/>
              <w:right w:val="single" w:color="000000" w:sz="4" w:space="0"/>
            </w:tcBorders>
          </w:tcPr>
          <w:p w14:paraId="4DF2719F">
            <w:pPr>
              <w:pStyle w:val="16"/>
              <w:spacing w:before="22"/>
              <w:ind w:left="12"/>
              <w:jc w:val="center"/>
              <w:rPr>
                <w:sz w:val="22"/>
              </w:rPr>
            </w:pPr>
            <w:r>
              <w:rPr>
                <w:sz w:val="22"/>
              </w:rPr>
              <w:t>ZT-2-</w:t>
            </w:r>
            <w:r>
              <w:rPr>
                <w:spacing w:val="-10"/>
                <w:sz w:val="22"/>
              </w:rPr>
              <w:t>5</w:t>
            </w:r>
          </w:p>
        </w:tc>
        <w:tc>
          <w:tcPr>
            <w:tcW w:w="2362" w:type="dxa"/>
            <w:tcBorders>
              <w:top w:val="single" w:color="000000" w:sz="4" w:space="0"/>
              <w:left w:val="single" w:color="000000" w:sz="4" w:space="0"/>
              <w:bottom w:val="single" w:color="000000" w:sz="4" w:space="0"/>
              <w:right w:val="single" w:color="000000" w:sz="4" w:space="0"/>
            </w:tcBorders>
          </w:tcPr>
          <w:p w14:paraId="1D8CAE91">
            <w:pPr>
              <w:pStyle w:val="16"/>
              <w:spacing w:before="22"/>
              <w:ind w:left="108"/>
              <w:rPr>
                <w:sz w:val="22"/>
              </w:rPr>
            </w:pPr>
            <w:r>
              <w:rPr>
                <w:sz w:val="22"/>
              </w:rPr>
              <w:t>Slag removal system</w:t>
            </w:r>
          </w:p>
        </w:tc>
        <w:tc>
          <w:tcPr>
            <w:tcW w:w="3442" w:type="dxa"/>
            <w:tcBorders>
              <w:top w:val="single" w:color="000000" w:sz="4" w:space="0"/>
              <w:left w:val="single" w:color="000000" w:sz="4" w:space="0"/>
              <w:bottom w:val="single" w:color="000000" w:sz="4" w:space="0"/>
              <w:right w:val="single" w:color="000000" w:sz="4" w:space="0"/>
            </w:tcBorders>
          </w:tcPr>
          <w:p w14:paraId="21A9202D">
            <w:pPr>
              <w:pStyle w:val="16"/>
              <w:spacing w:before="48"/>
              <w:ind w:left="106"/>
              <w:rPr>
                <w:rFonts w:ascii="Times New Roman"/>
                <w:sz w:val="20"/>
              </w:rPr>
            </w:pPr>
            <w:r>
              <w:rPr>
                <w:rFonts w:ascii="Times New Roman"/>
                <w:spacing w:val="-2"/>
                <w:sz w:val="20"/>
              </w:rPr>
              <w:t>7.5Kw</w:t>
            </w:r>
          </w:p>
        </w:tc>
        <w:tc>
          <w:tcPr>
            <w:tcW w:w="1311" w:type="dxa"/>
            <w:tcBorders>
              <w:top w:val="single" w:color="000000" w:sz="4" w:space="0"/>
              <w:left w:val="single" w:color="000000" w:sz="4" w:space="0"/>
              <w:bottom w:val="single" w:color="000000" w:sz="4" w:space="0"/>
              <w:right w:val="single" w:color="000000" w:sz="4" w:space="0"/>
            </w:tcBorders>
          </w:tcPr>
          <w:p w14:paraId="1C03C91F">
            <w:pPr>
              <w:pStyle w:val="16"/>
              <w:spacing w:before="22"/>
              <w:ind w:left="11"/>
              <w:jc w:val="center"/>
              <w:rPr>
                <w:sz w:val="22"/>
              </w:rPr>
            </w:pPr>
            <w:r>
              <w:rPr>
                <w:spacing w:val="-10"/>
                <w:sz w:val="22"/>
              </w:rPr>
              <w:t>1</w:t>
            </w:r>
          </w:p>
        </w:tc>
      </w:tr>
      <w:tr w14:paraId="01C839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9741" w:type="dxa"/>
            <w:gridSpan w:val="5"/>
            <w:tcBorders>
              <w:top w:val="single" w:color="000000" w:sz="4" w:space="0"/>
              <w:left w:val="single" w:color="000000" w:sz="4" w:space="0"/>
              <w:bottom w:val="single" w:color="000000" w:sz="4" w:space="0"/>
              <w:right w:val="single" w:color="000000" w:sz="4" w:space="0"/>
            </w:tcBorders>
          </w:tcPr>
          <w:p w14:paraId="5F133BC7">
            <w:pPr>
              <w:pStyle w:val="16"/>
              <w:rPr>
                <w:rFonts w:ascii="Times New Roman"/>
                <w:sz w:val="20"/>
              </w:rPr>
            </w:pPr>
          </w:p>
        </w:tc>
      </w:tr>
      <w:tr w14:paraId="6A6E74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3" w:hRule="atLeast"/>
        </w:trPr>
        <w:tc>
          <w:tcPr>
            <w:tcW w:w="1313" w:type="dxa"/>
            <w:tcBorders>
              <w:top w:val="single" w:color="000000" w:sz="4" w:space="0"/>
              <w:left w:val="single" w:color="000000" w:sz="4" w:space="0"/>
              <w:bottom w:val="single" w:color="000000" w:sz="4" w:space="0"/>
              <w:right w:val="single" w:color="000000" w:sz="4" w:space="0"/>
            </w:tcBorders>
            <w:shd w:val="clear" w:color="auto" w:fill="D9E0F1"/>
          </w:tcPr>
          <w:p w14:paraId="661E66CD">
            <w:pPr>
              <w:pStyle w:val="16"/>
              <w:spacing w:before="147"/>
              <w:ind w:left="10"/>
              <w:jc w:val="center"/>
              <w:rPr>
                <w:sz w:val="28"/>
              </w:rPr>
            </w:pPr>
            <w:r>
              <w:rPr>
                <w:sz w:val="28"/>
              </w:rPr>
              <w:t>III</w:t>
            </w:r>
          </w:p>
        </w:tc>
        <w:tc>
          <w:tcPr>
            <w:tcW w:w="8428" w:type="dxa"/>
            <w:gridSpan w:val="4"/>
            <w:tcBorders>
              <w:top w:val="single" w:color="000000" w:sz="4" w:space="0"/>
              <w:left w:val="single" w:color="000000" w:sz="4" w:space="0"/>
              <w:bottom w:val="single" w:color="000000" w:sz="4" w:space="0"/>
              <w:right w:val="nil"/>
            </w:tcBorders>
            <w:shd w:val="clear" w:color="auto" w:fill="D9E0F1"/>
          </w:tcPr>
          <w:p w14:paraId="7E52D021">
            <w:pPr>
              <w:pStyle w:val="16"/>
              <w:spacing w:before="125"/>
              <w:ind w:left="10"/>
              <w:jc w:val="center"/>
              <w:rPr>
                <w:sz w:val="28"/>
              </w:rPr>
            </w:pPr>
            <w:r>
              <w:rPr>
                <w:sz w:val="28"/>
              </w:rPr>
              <w:t>Flue Gas Treatment System</w:t>
            </w:r>
          </w:p>
        </w:tc>
      </w:tr>
      <w:tr w14:paraId="4D04DA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02" w:hRule="atLeast"/>
        </w:trPr>
        <w:tc>
          <w:tcPr>
            <w:tcW w:w="1313" w:type="dxa"/>
            <w:tcBorders>
              <w:top w:val="single" w:color="000000" w:sz="4" w:space="0"/>
              <w:left w:val="single" w:color="000000" w:sz="4" w:space="0"/>
              <w:bottom w:val="single" w:color="000000" w:sz="4" w:space="0"/>
              <w:right w:val="single" w:color="000000" w:sz="4" w:space="0"/>
            </w:tcBorders>
          </w:tcPr>
          <w:p w14:paraId="683317E4">
            <w:pPr>
              <w:pStyle w:val="16"/>
              <w:spacing w:before="229"/>
              <w:rPr>
                <w:sz w:val="22"/>
              </w:rPr>
            </w:pPr>
          </w:p>
          <w:p w14:paraId="2FDD638D">
            <w:pPr>
              <w:pStyle w:val="16"/>
              <w:spacing w:before="1"/>
              <w:ind w:left="7"/>
              <w:jc w:val="center"/>
              <w:rPr>
                <w:sz w:val="22"/>
              </w:rPr>
            </w:pPr>
            <w:r>
              <w:rPr>
                <w:spacing w:val="-10"/>
                <w:sz w:val="22"/>
              </w:rPr>
              <w:t>1</w:t>
            </w:r>
          </w:p>
        </w:tc>
        <w:tc>
          <w:tcPr>
            <w:tcW w:w="1313" w:type="dxa"/>
            <w:tcBorders>
              <w:top w:val="single" w:color="000000" w:sz="4" w:space="0"/>
              <w:left w:val="single" w:color="000000" w:sz="4" w:space="0"/>
              <w:bottom w:val="single" w:color="000000" w:sz="4" w:space="0"/>
              <w:right w:val="single" w:color="000000" w:sz="4" w:space="0"/>
            </w:tcBorders>
          </w:tcPr>
          <w:p w14:paraId="59525108">
            <w:pPr>
              <w:pStyle w:val="16"/>
              <w:spacing w:before="229"/>
              <w:rPr>
                <w:sz w:val="22"/>
              </w:rPr>
            </w:pPr>
          </w:p>
          <w:p w14:paraId="7068CDC6">
            <w:pPr>
              <w:pStyle w:val="16"/>
              <w:spacing w:before="1"/>
              <w:ind w:left="12"/>
              <w:jc w:val="center"/>
              <w:rPr>
                <w:sz w:val="22"/>
              </w:rPr>
            </w:pPr>
            <w:r>
              <w:rPr>
                <w:sz w:val="22"/>
              </w:rPr>
              <w:t>ZT-3-</w:t>
            </w:r>
            <w:r>
              <w:rPr>
                <w:spacing w:val="-10"/>
                <w:sz w:val="22"/>
              </w:rPr>
              <w:t>1</w:t>
            </w:r>
          </w:p>
        </w:tc>
        <w:tc>
          <w:tcPr>
            <w:tcW w:w="2362" w:type="dxa"/>
            <w:tcBorders>
              <w:top w:val="single" w:color="000000" w:sz="4" w:space="0"/>
              <w:left w:val="single" w:color="000000" w:sz="4" w:space="0"/>
              <w:bottom w:val="single" w:color="000000" w:sz="4" w:space="0"/>
              <w:right w:val="single" w:color="000000" w:sz="4" w:space="0"/>
            </w:tcBorders>
          </w:tcPr>
          <w:p w14:paraId="03D26F8C">
            <w:pPr>
              <w:pStyle w:val="16"/>
              <w:spacing w:before="229"/>
              <w:rPr>
                <w:sz w:val="22"/>
              </w:rPr>
            </w:pPr>
          </w:p>
          <w:p w14:paraId="34BBACE3">
            <w:pPr>
              <w:pStyle w:val="16"/>
              <w:spacing w:before="1"/>
              <w:ind w:left="108"/>
              <w:rPr>
                <w:sz w:val="22"/>
              </w:rPr>
            </w:pPr>
            <w:r>
              <w:rPr>
                <w:sz w:val="22"/>
              </w:rPr>
              <w:t>SNCR</w:t>
            </w:r>
            <w:r>
              <w:rPr>
                <w:sz w:val="22"/>
              </w:rPr>
              <w:t xml:space="preserve"> denitration unit</w:t>
            </w:r>
          </w:p>
        </w:tc>
        <w:tc>
          <w:tcPr>
            <w:tcW w:w="3442" w:type="dxa"/>
            <w:tcBorders>
              <w:top w:val="single" w:color="000000" w:sz="4" w:space="0"/>
              <w:left w:val="single" w:color="000000" w:sz="4" w:space="0"/>
              <w:bottom w:val="single" w:color="000000" w:sz="4" w:space="0"/>
              <w:right w:val="single" w:color="000000" w:sz="4" w:space="0"/>
            </w:tcBorders>
          </w:tcPr>
          <w:p w14:paraId="19C13C72">
            <w:pPr>
              <w:pStyle w:val="16"/>
              <w:spacing w:before="35" w:line="304" w:lineRule="auto"/>
              <w:ind w:left="106" w:right="172"/>
              <w:jc w:val="both"/>
              <w:rPr>
                <w:sz w:val="20"/>
              </w:rPr>
            </w:pPr>
            <w:r>
              <w:rPr>
                <w:sz w:val="20"/>
              </w:rPr>
              <w:t>Including injection pump and storage</w:t>
            </w:r>
            <w:r>
              <w:rPr>
                <w:sz w:val="20"/>
              </w:rPr>
              <w:t xml:space="preserve"> tank; efficiency 20-50%;</w:t>
            </w:r>
            <w:r>
              <w:rPr>
                <w:sz w:val="20"/>
              </w:rPr>
              <w:t xml:space="preserve"> including injection pump, solution</w:t>
            </w:r>
            <w:r>
              <w:rPr>
                <w:sz w:val="20"/>
              </w:rPr>
              <w:t xml:space="preserve"> preparation</w:t>
            </w:r>
            <w:r>
              <w:rPr>
                <w:spacing w:val="-25"/>
                <w:sz w:val="20"/>
              </w:rPr>
              <w:t/>
            </w:r>
            <w:r>
              <w:rPr>
                <w:sz w:val="20"/>
              </w:rPr>
              <w:t xml:space="preserve"> and storage tank 2m3,</w:t>
            </w:r>
            <w:r>
              <w:rPr>
                <w:sz w:val="20"/>
              </w:rPr>
              <w:t xml:space="preserve"> concentration 5%-10%; designed flue</w:t>
            </w:r>
            <w:r>
              <w:rPr>
                <w:sz w:val="20"/>
              </w:rPr>
              <w:t xml:space="preserve"> gas volume 3000Nm3/h,</w:t>
            </w:r>
            <w:r>
              <w:rPr>
                <w:sz w:val="20"/>
              </w:rPr>
              <w:t xml:space="preserve"> calculated</w:t>
            </w:r>
          </w:p>
          <w:p w14:paraId="499B9533">
            <w:pPr>
              <w:pStyle w:val="16"/>
              <w:ind w:left="106"/>
              <w:jc w:val="both"/>
              <w:rPr>
                <w:sz w:val="20"/>
              </w:rPr>
            </w:pPr>
            <w:r>
              <w:rPr>
                <w:sz w:val="20"/>
              </w:rPr>
              <w:t>as</w:t>
            </w:r>
            <w:r>
              <w:rPr>
                <w:spacing w:val="-10"/>
                <w:sz w:val="20"/>
              </w:rPr>
              <w:t/>
            </w:r>
            <w:r>
              <w:rPr>
                <w:sz w:val="20"/>
              </w:rPr>
              <w:t xml:space="preserve"> NO</w:t>
            </w:r>
            <w:r>
              <w:rPr>
                <w:sz w:val="20"/>
              </w:rPr>
              <w:t xml:space="preserve"> 400mg/Nm3</w:t>
            </w:r>
          </w:p>
        </w:tc>
        <w:tc>
          <w:tcPr>
            <w:tcW w:w="1311" w:type="dxa"/>
            <w:tcBorders>
              <w:top w:val="single" w:color="000000" w:sz="4" w:space="0"/>
              <w:left w:val="single" w:color="000000" w:sz="4" w:space="0"/>
              <w:bottom w:val="single" w:color="000000" w:sz="4" w:space="0"/>
              <w:right w:val="single" w:color="000000" w:sz="4" w:space="0"/>
            </w:tcBorders>
          </w:tcPr>
          <w:p w14:paraId="2B4728FF">
            <w:pPr>
              <w:pStyle w:val="16"/>
              <w:spacing w:before="229"/>
              <w:rPr>
                <w:sz w:val="22"/>
              </w:rPr>
            </w:pPr>
          </w:p>
          <w:p w14:paraId="0682F990">
            <w:pPr>
              <w:pStyle w:val="16"/>
              <w:spacing w:before="1"/>
              <w:ind w:left="11"/>
              <w:jc w:val="center"/>
              <w:rPr>
                <w:sz w:val="22"/>
              </w:rPr>
            </w:pPr>
            <w:r>
              <w:rPr>
                <w:spacing w:val="-10"/>
                <w:sz w:val="22"/>
              </w:rPr>
              <w:t>1</w:t>
            </w:r>
          </w:p>
        </w:tc>
      </w:tr>
      <w:tr w14:paraId="24DF17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6" w:hRule="atLeast"/>
        </w:trPr>
        <w:tc>
          <w:tcPr>
            <w:tcW w:w="1313" w:type="dxa"/>
            <w:tcBorders>
              <w:top w:val="single" w:color="000000" w:sz="4" w:space="0"/>
              <w:left w:val="single" w:color="000000" w:sz="4" w:space="0"/>
              <w:bottom w:val="single" w:color="000000" w:sz="4" w:space="0"/>
              <w:right w:val="single" w:color="000000" w:sz="4" w:space="0"/>
            </w:tcBorders>
          </w:tcPr>
          <w:p w14:paraId="4872274B">
            <w:pPr>
              <w:pStyle w:val="16"/>
              <w:spacing w:before="197"/>
              <w:ind w:left="7"/>
              <w:jc w:val="center"/>
              <w:rPr>
                <w:sz w:val="22"/>
              </w:rPr>
            </w:pPr>
            <w:r>
              <w:rPr>
                <w:spacing w:val="-10"/>
                <w:sz w:val="22"/>
              </w:rPr>
              <w:t>2</w:t>
            </w:r>
          </w:p>
        </w:tc>
        <w:tc>
          <w:tcPr>
            <w:tcW w:w="1313" w:type="dxa"/>
            <w:tcBorders>
              <w:top w:val="single" w:color="000000" w:sz="4" w:space="0"/>
              <w:left w:val="single" w:color="000000" w:sz="4" w:space="0"/>
              <w:bottom w:val="single" w:color="000000" w:sz="4" w:space="0"/>
              <w:right w:val="single" w:color="000000" w:sz="4" w:space="0"/>
            </w:tcBorders>
          </w:tcPr>
          <w:p w14:paraId="4A9BB840">
            <w:pPr>
              <w:pStyle w:val="16"/>
              <w:spacing w:before="197"/>
              <w:ind w:left="12"/>
              <w:jc w:val="center"/>
              <w:rPr>
                <w:sz w:val="22"/>
              </w:rPr>
            </w:pPr>
            <w:r>
              <w:rPr>
                <w:sz w:val="22"/>
              </w:rPr>
              <w:t>ZT-3-</w:t>
            </w:r>
            <w:r>
              <w:rPr>
                <w:spacing w:val="-10"/>
                <w:sz w:val="22"/>
              </w:rPr>
              <w:t>2</w:t>
            </w:r>
          </w:p>
        </w:tc>
        <w:tc>
          <w:tcPr>
            <w:tcW w:w="2362" w:type="dxa"/>
            <w:tcBorders>
              <w:top w:val="single" w:color="000000" w:sz="4" w:space="0"/>
              <w:left w:val="single" w:color="000000" w:sz="4" w:space="0"/>
              <w:bottom w:val="single" w:color="000000" w:sz="4" w:space="0"/>
              <w:right w:val="single" w:color="000000" w:sz="4" w:space="0"/>
            </w:tcBorders>
          </w:tcPr>
          <w:p w14:paraId="2CDAA4FC">
            <w:pPr>
              <w:pStyle w:val="16"/>
              <w:spacing w:before="197"/>
              <w:ind w:left="108"/>
              <w:rPr>
                <w:sz w:val="22"/>
              </w:rPr>
            </w:pPr>
            <w:r>
              <w:rPr>
                <w:sz w:val="22"/>
              </w:rPr>
              <w:t>Air-cooled heat exchanger</w:t>
            </w:r>
          </w:p>
        </w:tc>
        <w:tc>
          <w:tcPr>
            <w:tcW w:w="3442" w:type="dxa"/>
            <w:tcBorders>
              <w:top w:val="single" w:color="000000" w:sz="4" w:space="0"/>
              <w:left w:val="single" w:color="000000" w:sz="4" w:space="0"/>
              <w:bottom w:val="single" w:color="000000" w:sz="4" w:space="0"/>
              <w:right w:val="single" w:color="000000" w:sz="4" w:space="0"/>
            </w:tcBorders>
          </w:tcPr>
          <w:p w14:paraId="719BFED8">
            <w:pPr>
              <w:pStyle w:val="16"/>
              <w:spacing w:before="38"/>
              <w:ind w:left="106"/>
              <w:rPr>
                <w:sz w:val="20"/>
              </w:rPr>
            </w:pPr>
            <w:r>
              <w:rPr>
                <w:sz w:val="20"/>
              </w:rPr>
              <w:t>Inlet flue gas temperature</w:t>
            </w:r>
            <w:r>
              <w:rPr>
                <w:rFonts w:ascii="Times New Roman" w:hAnsi="Times New Roman" w:eastAsia="Times New Roman"/>
                <w:sz w:val="20"/>
              </w:rPr>
              <w:t xml:space="preserve"> 900℃,</w:t>
            </w:r>
            <w:r>
              <w:rPr>
                <w:rFonts w:ascii="Segoe UI Symbol" w:hAnsi="Segoe UI Symbol" w:eastAsia="Segoe UI Symbol"/>
                <w:sz w:val="20"/>
              </w:rPr>
              <w:t xml:space="preserve"> flue</w:t>
            </w:r>
            <w:r>
              <w:rPr>
                <w:sz w:val="20"/>
              </w:rPr>
              <w:t xml:space="preserve"> gas volume</w:t>
            </w:r>
          </w:p>
          <w:p w14:paraId="22633ABE">
            <w:pPr>
              <w:pStyle w:val="16"/>
              <w:spacing w:before="54"/>
              <w:ind w:left="106"/>
              <w:rPr>
                <w:rFonts w:ascii="Segoe UI Symbol" w:hAnsi="Segoe UI Symbol" w:eastAsia="Segoe UI Symbol"/>
                <w:sz w:val="20"/>
              </w:rPr>
            </w:pPr>
            <w:r>
              <w:rPr>
                <w:rFonts w:ascii="Times New Roman" w:hAnsi="Times New Roman" w:eastAsia="Times New Roman"/>
                <w:sz w:val="20"/>
              </w:rPr>
              <w:t>3000Nm3/h, outlet</w:t>
            </w:r>
            <w:r>
              <w:rPr>
                <w:sz w:val="20"/>
              </w:rPr>
              <w:t xml:space="preserve"> flue gas temperature</w:t>
            </w:r>
            <w:r>
              <w:rPr>
                <w:rFonts w:ascii="Times New Roman" w:hAnsi="Times New Roman" w:eastAsia="Times New Roman"/>
                <w:sz w:val="20"/>
              </w:rPr>
              <w:t xml:space="preserve"> 75</w:t>
            </w:r>
            <w:r>
              <w:rPr>
                <w:rFonts w:ascii="Segoe UI Symbol" w:hAnsi="Segoe UI Symbol" w:eastAsia="Segoe UI Symbol"/>
                <w:sz w:val="20"/>
              </w:rPr>
              <w:t>0℃</w:t>
            </w:r>
          </w:p>
        </w:tc>
        <w:tc>
          <w:tcPr>
            <w:tcW w:w="1311" w:type="dxa"/>
            <w:tcBorders>
              <w:top w:val="single" w:color="000000" w:sz="4" w:space="0"/>
              <w:left w:val="single" w:color="000000" w:sz="4" w:space="0"/>
              <w:bottom w:val="single" w:color="000000" w:sz="4" w:space="0"/>
              <w:right w:val="single" w:color="000000" w:sz="4" w:space="0"/>
            </w:tcBorders>
          </w:tcPr>
          <w:p w14:paraId="3D105B18">
            <w:pPr>
              <w:pStyle w:val="16"/>
              <w:spacing w:before="197"/>
              <w:ind w:left="11"/>
              <w:jc w:val="center"/>
              <w:rPr>
                <w:sz w:val="22"/>
              </w:rPr>
            </w:pPr>
            <w:r>
              <w:rPr>
                <w:spacing w:val="-10"/>
                <w:sz w:val="22"/>
              </w:rPr>
              <w:t>1</w:t>
            </w:r>
          </w:p>
        </w:tc>
      </w:tr>
      <w:tr w14:paraId="3B01F5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4" w:hRule="atLeast"/>
        </w:trPr>
        <w:tc>
          <w:tcPr>
            <w:tcW w:w="1313" w:type="dxa"/>
            <w:tcBorders>
              <w:top w:val="single" w:color="000000" w:sz="4" w:space="0"/>
              <w:left w:val="single" w:color="000000" w:sz="4" w:space="0"/>
              <w:bottom w:val="single" w:color="000000" w:sz="4" w:space="0"/>
              <w:right w:val="single" w:color="000000" w:sz="4" w:space="0"/>
            </w:tcBorders>
          </w:tcPr>
          <w:p w14:paraId="7A16B084">
            <w:pPr>
              <w:pStyle w:val="16"/>
              <w:spacing w:before="197"/>
              <w:ind w:left="7"/>
              <w:jc w:val="center"/>
              <w:rPr>
                <w:sz w:val="22"/>
              </w:rPr>
            </w:pPr>
            <w:r>
              <w:rPr>
                <w:spacing w:val="-10"/>
                <w:sz w:val="22"/>
              </w:rPr>
              <w:t>3</w:t>
            </w:r>
          </w:p>
        </w:tc>
        <w:tc>
          <w:tcPr>
            <w:tcW w:w="1313" w:type="dxa"/>
            <w:tcBorders>
              <w:top w:val="single" w:color="000000" w:sz="4" w:space="0"/>
              <w:left w:val="single" w:color="000000" w:sz="4" w:space="0"/>
              <w:bottom w:val="single" w:color="000000" w:sz="4" w:space="0"/>
              <w:right w:val="single" w:color="000000" w:sz="4" w:space="0"/>
            </w:tcBorders>
          </w:tcPr>
          <w:p w14:paraId="34AA3774">
            <w:pPr>
              <w:pStyle w:val="16"/>
              <w:spacing w:before="197"/>
              <w:ind w:left="12"/>
              <w:jc w:val="center"/>
              <w:rPr>
                <w:sz w:val="22"/>
              </w:rPr>
            </w:pPr>
            <w:r>
              <w:rPr>
                <w:sz w:val="22"/>
              </w:rPr>
              <w:t>ZT-3-</w:t>
            </w:r>
            <w:r>
              <w:rPr>
                <w:spacing w:val="-10"/>
                <w:sz w:val="22"/>
              </w:rPr>
              <w:t>3</w:t>
            </w:r>
          </w:p>
        </w:tc>
        <w:tc>
          <w:tcPr>
            <w:tcW w:w="2362" w:type="dxa"/>
            <w:tcBorders>
              <w:top w:val="single" w:color="000000" w:sz="4" w:space="0"/>
              <w:left w:val="single" w:color="000000" w:sz="4" w:space="0"/>
              <w:bottom w:val="single" w:color="000000" w:sz="4" w:space="0"/>
              <w:right w:val="single" w:color="000000" w:sz="4" w:space="0"/>
            </w:tcBorders>
          </w:tcPr>
          <w:p w14:paraId="1F0BBCB5">
            <w:pPr>
              <w:pStyle w:val="16"/>
              <w:spacing w:before="197"/>
              <w:ind w:left="108"/>
              <w:rPr>
                <w:sz w:val="22"/>
              </w:rPr>
            </w:pPr>
            <w:r>
              <w:rPr>
                <w:sz w:val="22"/>
              </w:rPr>
              <w:t>Water-cooled heat exchanger</w:t>
            </w:r>
          </w:p>
        </w:tc>
        <w:tc>
          <w:tcPr>
            <w:tcW w:w="3442" w:type="dxa"/>
            <w:tcBorders>
              <w:top w:val="single" w:color="000000" w:sz="4" w:space="0"/>
              <w:left w:val="single" w:color="000000" w:sz="4" w:space="0"/>
              <w:bottom w:val="single" w:color="000000" w:sz="4" w:space="0"/>
              <w:right w:val="single" w:color="000000" w:sz="4" w:space="0"/>
            </w:tcBorders>
          </w:tcPr>
          <w:p w14:paraId="25CC9EAF">
            <w:pPr>
              <w:pStyle w:val="16"/>
              <w:spacing w:before="201"/>
              <w:ind w:left="106"/>
              <w:rPr>
                <w:rFonts w:ascii="Segoe UI Symbol" w:hAnsi="Segoe UI Symbol" w:eastAsia="Segoe UI Symbol"/>
                <w:sz w:val="20"/>
              </w:rPr>
            </w:pPr>
            <w:r>
              <w:rPr>
                <w:sz w:val="20"/>
              </w:rPr>
              <w:t>Inlet flue gas</w:t>
            </w:r>
            <w:r>
              <w:rPr>
                <w:rFonts w:ascii="Times New Roman" w:hAnsi="Times New Roman" w:eastAsia="Times New Roman"/>
                <w:sz w:val="20"/>
              </w:rPr>
              <w:t xml:space="preserve"> temperature 750,℃,</w:t>
            </w:r>
            <w:r>
              <w:rPr>
                <w:rFonts w:ascii="Segoe UI Symbol" w:hAnsi="Segoe UI Symbol" w:eastAsia="Segoe UI Symbol"/>
                <w:sz w:val="20"/>
              </w:rPr>
              <w:t xml:space="preserve"> outlet</w:t>
            </w:r>
            <w:r>
              <w:rPr>
                <w:sz w:val="20"/>
              </w:rPr>
              <w:t xml:space="preserve"> flue gas</w:t>
            </w:r>
            <w:r>
              <w:rPr>
                <w:rFonts w:ascii="Times New Roman" w:hAnsi="Times New Roman" w:eastAsia="Times New Roman"/>
                <w:sz w:val="20"/>
              </w:rPr>
              <w:t xml:space="preserve"> temperature</w:t>
            </w:r>
            <w:r>
              <w:rPr>
                <w:rFonts w:ascii="Segoe UI Symbol" w:hAnsi="Segoe UI Symbol" w:eastAsia="Segoe UI Symbol"/>
                <w:sz w:val="20"/>
              </w:rPr>
              <w:t xml:space="preserve"> 400℃</w:t>
            </w:r>
          </w:p>
        </w:tc>
        <w:tc>
          <w:tcPr>
            <w:tcW w:w="1311" w:type="dxa"/>
            <w:tcBorders>
              <w:top w:val="single" w:color="000000" w:sz="4" w:space="0"/>
              <w:left w:val="single" w:color="000000" w:sz="4" w:space="0"/>
              <w:bottom w:val="single" w:color="000000" w:sz="4" w:space="0"/>
              <w:right w:val="single" w:color="000000" w:sz="4" w:space="0"/>
            </w:tcBorders>
          </w:tcPr>
          <w:p w14:paraId="18B19B11">
            <w:pPr>
              <w:pStyle w:val="16"/>
              <w:spacing w:before="197"/>
              <w:ind w:left="11"/>
              <w:jc w:val="center"/>
              <w:rPr>
                <w:sz w:val="22"/>
              </w:rPr>
            </w:pPr>
            <w:r>
              <w:rPr>
                <w:spacing w:val="-10"/>
                <w:sz w:val="22"/>
              </w:rPr>
              <w:t>1</w:t>
            </w:r>
          </w:p>
        </w:tc>
      </w:tr>
      <w:tr w14:paraId="7AFD71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6" w:hRule="atLeast"/>
        </w:trPr>
        <w:tc>
          <w:tcPr>
            <w:tcW w:w="1313" w:type="dxa"/>
            <w:tcBorders>
              <w:top w:val="single" w:color="000000" w:sz="4" w:space="0"/>
              <w:left w:val="single" w:color="000000" w:sz="4" w:space="0"/>
              <w:bottom w:val="single" w:color="000000" w:sz="4" w:space="0"/>
              <w:right w:val="single" w:color="000000" w:sz="4" w:space="0"/>
            </w:tcBorders>
          </w:tcPr>
          <w:p w14:paraId="3E36C380">
            <w:pPr>
              <w:pStyle w:val="16"/>
              <w:spacing w:before="198"/>
              <w:ind w:left="7"/>
              <w:jc w:val="center"/>
              <w:rPr>
                <w:sz w:val="22"/>
              </w:rPr>
            </w:pPr>
            <w:r>
              <w:rPr>
                <w:spacing w:val="-10"/>
                <w:sz w:val="22"/>
              </w:rPr>
              <w:t>4</w:t>
            </w:r>
          </w:p>
        </w:tc>
        <w:tc>
          <w:tcPr>
            <w:tcW w:w="1313" w:type="dxa"/>
            <w:tcBorders>
              <w:top w:val="single" w:color="000000" w:sz="4" w:space="0"/>
              <w:left w:val="single" w:color="000000" w:sz="4" w:space="0"/>
              <w:bottom w:val="single" w:color="000000" w:sz="4" w:space="0"/>
              <w:right w:val="single" w:color="000000" w:sz="4" w:space="0"/>
            </w:tcBorders>
          </w:tcPr>
          <w:p w14:paraId="5C94F3CD">
            <w:pPr>
              <w:pStyle w:val="16"/>
              <w:spacing w:before="198"/>
              <w:ind w:left="12"/>
              <w:jc w:val="center"/>
              <w:rPr>
                <w:sz w:val="22"/>
              </w:rPr>
            </w:pPr>
            <w:r>
              <w:rPr>
                <w:sz w:val="22"/>
              </w:rPr>
              <w:t>ZT-3-</w:t>
            </w:r>
            <w:r>
              <w:rPr>
                <w:spacing w:val="-10"/>
                <w:sz w:val="22"/>
              </w:rPr>
              <w:t>4</w:t>
            </w:r>
          </w:p>
        </w:tc>
        <w:tc>
          <w:tcPr>
            <w:tcW w:w="2362" w:type="dxa"/>
            <w:tcBorders>
              <w:top w:val="single" w:color="000000" w:sz="4" w:space="0"/>
              <w:left w:val="single" w:color="000000" w:sz="4" w:space="0"/>
              <w:bottom w:val="single" w:color="000000" w:sz="4" w:space="0"/>
              <w:right w:val="single" w:color="000000" w:sz="4" w:space="0"/>
            </w:tcBorders>
          </w:tcPr>
          <w:p w14:paraId="2C324064">
            <w:pPr>
              <w:pStyle w:val="16"/>
              <w:spacing w:before="198"/>
              <w:ind w:left="108"/>
              <w:rPr>
                <w:sz w:val="22"/>
              </w:rPr>
            </w:pPr>
            <w:r>
              <w:rPr>
                <w:sz w:val="22"/>
              </w:rPr>
              <w:t>Cooling tower</w:t>
            </w:r>
          </w:p>
        </w:tc>
        <w:tc>
          <w:tcPr>
            <w:tcW w:w="3442" w:type="dxa"/>
            <w:tcBorders>
              <w:top w:val="single" w:color="000000" w:sz="4" w:space="0"/>
              <w:left w:val="single" w:color="000000" w:sz="4" w:space="0"/>
              <w:bottom w:val="single" w:color="000000" w:sz="4" w:space="0"/>
              <w:right w:val="single" w:color="000000" w:sz="4" w:space="0"/>
            </w:tcBorders>
          </w:tcPr>
          <w:p w14:paraId="59EB2FE1">
            <w:pPr>
              <w:pStyle w:val="16"/>
              <w:spacing w:before="210"/>
              <w:ind w:left="106"/>
              <w:rPr>
                <w:sz w:val="20"/>
              </w:rPr>
            </w:pPr>
            <w:r>
              <w:rPr>
                <w:sz w:val="20"/>
              </w:rPr>
              <w:t>With water pump, circulating</w:t>
            </w:r>
            <w:r>
              <w:rPr>
                <w:spacing w:val="45"/>
                <w:w w:val="150"/>
                <w:sz w:val="20"/>
              </w:rPr>
              <w:t/>
            </w:r>
            <w:r>
              <w:rPr>
                <w:sz w:val="20"/>
              </w:rPr>
              <w:t xml:space="preserve"> water 30T/h</w:t>
            </w:r>
          </w:p>
        </w:tc>
        <w:tc>
          <w:tcPr>
            <w:tcW w:w="1311" w:type="dxa"/>
            <w:tcBorders>
              <w:top w:val="single" w:color="000000" w:sz="4" w:space="0"/>
              <w:left w:val="single" w:color="000000" w:sz="4" w:space="0"/>
              <w:bottom w:val="single" w:color="000000" w:sz="4" w:space="0"/>
              <w:right w:val="single" w:color="000000" w:sz="4" w:space="0"/>
            </w:tcBorders>
          </w:tcPr>
          <w:p w14:paraId="5CBA58C9">
            <w:pPr>
              <w:pStyle w:val="16"/>
              <w:spacing w:before="198"/>
              <w:ind w:left="11"/>
              <w:jc w:val="center"/>
              <w:rPr>
                <w:sz w:val="22"/>
              </w:rPr>
            </w:pPr>
            <w:r>
              <w:rPr>
                <w:spacing w:val="-10"/>
                <w:sz w:val="22"/>
              </w:rPr>
              <w:t>1</w:t>
            </w:r>
          </w:p>
        </w:tc>
      </w:tr>
      <w:tr w14:paraId="6584CE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76" w:hRule="atLeast"/>
        </w:trPr>
        <w:tc>
          <w:tcPr>
            <w:tcW w:w="1313" w:type="dxa"/>
            <w:tcBorders>
              <w:top w:val="single" w:color="000000" w:sz="4" w:space="0"/>
              <w:left w:val="single" w:color="000000" w:sz="4" w:space="0"/>
              <w:bottom w:val="single" w:color="000000" w:sz="4" w:space="0"/>
              <w:right w:val="single" w:color="000000" w:sz="4" w:space="0"/>
            </w:tcBorders>
          </w:tcPr>
          <w:p w14:paraId="00CDB98E">
            <w:pPr>
              <w:pStyle w:val="16"/>
              <w:spacing w:before="66"/>
              <w:rPr>
                <w:sz w:val="22"/>
              </w:rPr>
            </w:pPr>
          </w:p>
          <w:p w14:paraId="532B6472">
            <w:pPr>
              <w:pStyle w:val="16"/>
              <w:ind w:left="7"/>
              <w:jc w:val="center"/>
              <w:rPr>
                <w:sz w:val="22"/>
              </w:rPr>
            </w:pPr>
            <w:r>
              <w:rPr>
                <w:spacing w:val="-10"/>
                <w:sz w:val="22"/>
              </w:rPr>
              <w:t>5</w:t>
            </w:r>
          </w:p>
        </w:tc>
        <w:tc>
          <w:tcPr>
            <w:tcW w:w="1313" w:type="dxa"/>
            <w:tcBorders>
              <w:top w:val="single" w:color="000000" w:sz="4" w:space="0"/>
              <w:left w:val="single" w:color="000000" w:sz="4" w:space="0"/>
              <w:bottom w:val="single" w:color="000000" w:sz="4" w:space="0"/>
              <w:right w:val="single" w:color="000000" w:sz="4" w:space="0"/>
            </w:tcBorders>
          </w:tcPr>
          <w:p w14:paraId="00420A37">
            <w:pPr>
              <w:pStyle w:val="16"/>
              <w:spacing w:before="66"/>
              <w:rPr>
                <w:sz w:val="22"/>
              </w:rPr>
            </w:pPr>
          </w:p>
          <w:p w14:paraId="56C7676B">
            <w:pPr>
              <w:pStyle w:val="16"/>
              <w:ind w:left="12"/>
              <w:jc w:val="center"/>
              <w:rPr>
                <w:sz w:val="22"/>
              </w:rPr>
            </w:pPr>
            <w:r>
              <w:rPr>
                <w:sz w:val="22"/>
              </w:rPr>
              <w:t>ZT-3-</w:t>
            </w:r>
            <w:r>
              <w:rPr>
                <w:spacing w:val="-10"/>
                <w:sz w:val="22"/>
              </w:rPr>
              <w:t>5</w:t>
            </w:r>
          </w:p>
        </w:tc>
        <w:tc>
          <w:tcPr>
            <w:tcW w:w="2362" w:type="dxa"/>
            <w:tcBorders>
              <w:top w:val="single" w:color="000000" w:sz="4" w:space="0"/>
              <w:left w:val="single" w:color="000000" w:sz="4" w:space="0"/>
              <w:bottom w:val="single" w:color="000000" w:sz="4" w:space="0"/>
              <w:right w:val="single" w:color="000000" w:sz="4" w:space="0"/>
            </w:tcBorders>
          </w:tcPr>
          <w:p w14:paraId="52D9C4C0">
            <w:pPr>
              <w:pStyle w:val="16"/>
              <w:spacing w:before="66"/>
              <w:rPr>
                <w:sz w:val="22"/>
              </w:rPr>
            </w:pPr>
          </w:p>
          <w:p w14:paraId="0F252DE4">
            <w:pPr>
              <w:pStyle w:val="16"/>
              <w:ind w:left="108"/>
              <w:rPr>
                <w:sz w:val="22"/>
              </w:rPr>
            </w:pPr>
            <w:r>
              <w:rPr>
                <w:sz w:val="22"/>
              </w:rPr>
              <w:t>Semi-dry quench tower</w:t>
            </w:r>
          </w:p>
        </w:tc>
        <w:tc>
          <w:tcPr>
            <w:tcW w:w="3442" w:type="dxa"/>
            <w:tcBorders>
              <w:top w:val="single" w:color="000000" w:sz="4" w:space="0"/>
              <w:left w:val="single" w:color="000000" w:sz="4" w:space="0"/>
              <w:bottom w:val="single" w:color="000000" w:sz="4" w:space="0"/>
              <w:right w:val="single" w:color="000000" w:sz="4" w:space="0"/>
            </w:tcBorders>
          </w:tcPr>
          <w:p w14:paraId="35560B84">
            <w:pPr>
              <w:pStyle w:val="16"/>
              <w:spacing w:before="35" w:line="304" w:lineRule="auto"/>
              <w:ind w:left="106" w:right="124"/>
              <w:rPr>
                <w:sz w:val="20"/>
              </w:rPr>
            </w:pPr>
            <w:r>
              <w:rPr>
                <w:sz w:val="20"/>
              </w:rPr>
              <w:t>Agitator</w:t>
            </w:r>
            <w:r>
              <w:rPr>
                <w:sz w:val="20"/>
              </w:rPr>
              <w:t xml:space="preserve"> 1.5KW, quench pump</w:t>
            </w:r>
            <w:r>
              <w:rPr>
                <w:sz w:val="20"/>
              </w:rPr>
              <w:t xml:space="preserve"> 0.55KW,</w:t>
            </w:r>
            <w:r>
              <w:rPr>
                <w:sz w:val="20"/>
              </w:rPr>
              <w:t xml:space="preserve"> quench ash discharge valve</w:t>
            </w:r>
            <w:r>
              <w:rPr>
                <w:sz w:val="20"/>
              </w:rPr>
              <w:t xml:space="preserve"> 1.5KW,</w:t>
            </w:r>
            <w:r>
              <w:rPr>
                <w:sz w:val="20"/>
              </w:rPr>
              <w:t xml:space="preserve"> including one complete</w:t>
            </w:r>
            <w:r>
              <w:rPr>
                <w:sz w:val="20"/>
              </w:rPr>
              <w:t xml:space="preserve"> supporting lime slurry</w:t>
            </w:r>
          </w:p>
          <w:p w14:paraId="0AB70D8D">
            <w:pPr>
              <w:pStyle w:val="16"/>
              <w:spacing w:line="256" w:lineRule="atLeast"/>
              <w:ind w:left="106"/>
              <w:rPr>
                <w:sz w:val="20"/>
              </w:rPr>
            </w:pPr>
            <w:r>
              <w:rPr>
                <w:sz w:val="20"/>
              </w:rPr>
              <w:t>preparation system</w:t>
            </w:r>
          </w:p>
        </w:tc>
        <w:tc>
          <w:tcPr>
            <w:tcW w:w="1311" w:type="dxa"/>
            <w:tcBorders>
              <w:top w:val="single" w:color="000000" w:sz="4" w:space="0"/>
              <w:left w:val="single" w:color="000000" w:sz="4" w:space="0"/>
              <w:bottom w:val="single" w:color="000000" w:sz="4" w:space="0"/>
              <w:right w:val="single" w:color="000000" w:sz="4" w:space="0"/>
            </w:tcBorders>
          </w:tcPr>
          <w:p w14:paraId="592A56BD">
            <w:pPr>
              <w:pStyle w:val="16"/>
              <w:spacing w:before="66"/>
              <w:rPr>
                <w:sz w:val="22"/>
              </w:rPr>
            </w:pPr>
          </w:p>
          <w:p w14:paraId="7769AD05">
            <w:pPr>
              <w:pStyle w:val="16"/>
              <w:ind w:left="11"/>
              <w:jc w:val="center"/>
              <w:rPr>
                <w:sz w:val="22"/>
              </w:rPr>
            </w:pPr>
            <w:r>
              <w:rPr>
                <w:spacing w:val="-10"/>
                <w:sz w:val="22"/>
              </w:rPr>
              <w:t>1</w:t>
            </w:r>
          </w:p>
        </w:tc>
      </w:tr>
      <w:tr w14:paraId="7C8CA2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6" w:hRule="atLeast"/>
        </w:trPr>
        <w:tc>
          <w:tcPr>
            <w:tcW w:w="1313" w:type="dxa"/>
            <w:tcBorders>
              <w:top w:val="single" w:color="000000" w:sz="4" w:space="0"/>
              <w:left w:val="single" w:color="000000" w:sz="4" w:space="0"/>
              <w:bottom w:val="single" w:color="000000" w:sz="4" w:space="0"/>
              <w:right w:val="single" w:color="000000" w:sz="4" w:space="0"/>
            </w:tcBorders>
          </w:tcPr>
          <w:p w14:paraId="1138F8B0">
            <w:pPr>
              <w:pStyle w:val="16"/>
              <w:spacing w:before="197"/>
              <w:ind w:left="7"/>
              <w:jc w:val="center"/>
              <w:rPr>
                <w:sz w:val="22"/>
              </w:rPr>
            </w:pPr>
            <w:r>
              <w:rPr>
                <w:spacing w:val="-10"/>
                <w:sz w:val="22"/>
              </w:rPr>
              <w:t>6</w:t>
            </w:r>
          </w:p>
        </w:tc>
        <w:tc>
          <w:tcPr>
            <w:tcW w:w="1313" w:type="dxa"/>
            <w:tcBorders>
              <w:top w:val="single" w:color="000000" w:sz="4" w:space="0"/>
              <w:left w:val="single" w:color="000000" w:sz="4" w:space="0"/>
              <w:bottom w:val="single" w:color="000000" w:sz="4" w:space="0"/>
              <w:right w:val="single" w:color="000000" w:sz="4" w:space="0"/>
            </w:tcBorders>
          </w:tcPr>
          <w:p w14:paraId="5F8A58E1">
            <w:pPr>
              <w:pStyle w:val="16"/>
              <w:spacing w:before="197"/>
              <w:ind w:left="12"/>
              <w:jc w:val="center"/>
              <w:rPr>
                <w:sz w:val="22"/>
              </w:rPr>
            </w:pPr>
            <w:r>
              <w:rPr>
                <w:sz w:val="22"/>
              </w:rPr>
              <w:t>ZT-3-</w:t>
            </w:r>
            <w:r>
              <w:rPr>
                <w:spacing w:val="-10"/>
                <w:sz w:val="22"/>
              </w:rPr>
              <w:t>6</w:t>
            </w:r>
          </w:p>
        </w:tc>
        <w:tc>
          <w:tcPr>
            <w:tcW w:w="2362" w:type="dxa"/>
            <w:tcBorders>
              <w:top w:val="single" w:color="000000" w:sz="4" w:space="0"/>
              <w:left w:val="single" w:color="000000" w:sz="4" w:space="0"/>
              <w:bottom w:val="single" w:color="000000" w:sz="4" w:space="0"/>
              <w:right w:val="single" w:color="000000" w:sz="4" w:space="0"/>
            </w:tcBorders>
          </w:tcPr>
          <w:p w14:paraId="6C56F6D5">
            <w:pPr>
              <w:pStyle w:val="16"/>
              <w:spacing w:before="197"/>
              <w:ind w:left="108"/>
              <w:rPr>
                <w:sz w:val="22"/>
              </w:rPr>
            </w:pPr>
            <w:r>
              <w:rPr>
                <w:sz w:val="22"/>
              </w:rPr>
              <w:t>Dry Flue Gas Treatment Device</w:t>
            </w:r>
          </w:p>
        </w:tc>
        <w:tc>
          <w:tcPr>
            <w:tcW w:w="3442" w:type="dxa"/>
            <w:tcBorders>
              <w:top w:val="single" w:color="000000" w:sz="4" w:space="0"/>
              <w:left w:val="single" w:color="000000" w:sz="4" w:space="0"/>
              <w:bottom w:val="single" w:color="000000" w:sz="4" w:space="0"/>
              <w:right w:val="single" w:color="000000" w:sz="4" w:space="0"/>
            </w:tcBorders>
          </w:tcPr>
          <w:p w14:paraId="15767D8C">
            <w:pPr>
              <w:pStyle w:val="16"/>
              <w:spacing w:before="47"/>
              <w:ind w:left="106"/>
              <w:rPr>
                <w:sz w:val="20"/>
              </w:rPr>
            </w:pPr>
            <w:r>
              <w:rPr>
                <w:sz w:val="20"/>
              </w:rPr>
              <w:t>Activated carbon and quicklime are mixed, proportioned and sprayed evenly into the</w:t>
            </w:r>
          </w:p>
          <w:p w14:paraId="6948443A">
            <w:pPr>
              <w:pStyle w:val="16"/>
              <w:spacing w:before="70"/>
              <w:ind w:left="106"/>
              <w:rPr>
                <w:sz w:val="20"/>
              </w:rPr>
            </w:pPr>
            <w:r>
              <w:rPr>
                <w:sz w:val="20"/>
              </w:rPr>
              <w:t>flue duct, star-type regulating valve</w:t>
            </w:r>
          </w:p>
        </w:tc>
        <w:tc>
          <w:tcPr>
            <w:tcW w:w="1311" w:type="dxa"/>
            <w:tcBorders>
              <w:top w:val="single" w:color="000000" w:sz="4" w:space="0"/>
              <w:left w:val="single" w:color="000000" w:sz="4" w:space="0"/>
              <w:bottom w:val="single" w:color="000000" w:sz="4" w:space="0"/>
              <w:right w:val="single" w:color="000000" w:sz="4" w:space="0"/>
            </w:tcBorders>
          </w:tcPr>
          <w:p w14:paraId="50B015CD">
            <w:pPr>
              <w:pStyle w:val="16"/>
              <w:spacing w:before="197"/>
              <w:ind w:left="11"/>
              <w:jc w:val="center"/>
              <w:rPr>
                <w:sz w:val="22"/>
              </w:rPr>
            </w:pPr>
            <w:r>
              <w:rPr>
                <w:spacing w:val="-10"/>
                <w:sz w:val="22"/>
              </w:rPr>
              <w:t>1</w:t>
            </w:r>
          </w:p>
        </w:tc>
      </w:tr>
      <w:tr w14:paraId="56DFA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03" w:hRule="atLeast"/>
        </w:trPr>
        <w:tc>
          <w:tcPr>
            <w:tcW w:w="1313" w:type="dxa"/>
            <w:tcBorders>
              <w:top w:val="single" w:color="000000" w:sz="4" w:space="0"/>
              <w:left w:val="single" w:color="000000" w:sz="4" w:space="0"/>
              <w:bottom w:val="single" w:color="000000" w:sz="4" w:space="0"/>
              <w:right w:val="single" w:color="000000" w:sz="4" w:space="0"/>
            </w:tcBorders>
          </w:tcPr>
          <w:p w14:paraId="222385E7">
            <w:pPr>
              <w:pStyle w:val="16"/>
              <w:spacing w:before="229"/>
              <w:rPr>
                <w:sz w:val="22"/>
              </w:rPr>
            </w:pPr>
          </w:p>
          <w:p w14:paraId="6C1180C5">
            <w:pPr>
              <w:pStyle w:val="16"/>
              <w:spacing w:before="1"/>
              <w:ind w:left="7"/>
              <w:jc w:val="center"/>
              <w:rPr>
                <w:sz w:val="22"/>
              </w:rPr>
            </w:pPr>
            <w:r>
              <w:rPr>
                <w:spacing w:val="-10"/>
                <w:sz w:val="22"/>
              </w:rPr>
              <w:t>7</w:t>
            </w:r>
          </w:p>
        </w:tc>
        <w:tc>
          <w:tcPr>
            <w:tcW w:w="1313" w:type="dxa"/>
            <w:tcBorders>
              <w:top w:val="single" w:color="000000" w:sz="4" w:space="0"/>
              <w:left w:val="single" w:color="000000" w:sz="4" w:space="0"/>
              <w:bottom w:val="single" w:color="000000" w:sz="4" w:space="0"/>
              <w:right w:val="single" w:color="000000" w:sz="4" w:space="0"/>
            </w:tcBorders>
          </w:tcPr>
          <w:p w14:paraId="36F1D98C">
            <w:pPr>
              <w:pStyle w:val="16"/>
              <w:spacing w:before="229"/>
              <w:rPr>
                <w:sz w:val="22"/>
              </w:rPr>
            </w:pPr>
          </w:p>
          <w:p w14:paraId="57D88B64">
            <w:pPr>
              <w:pStyle w:val="16"/>
              <w:spacing w:before="1"/>
              <w:ind w:left="12"/>
              <w:jc w:val="center"/>
              <w:rPr>
                <w:sz w:val="22"/>
              </w:rPr>
            </w:pPr>
            <w:r>
              <w:rPr>
                <w:sz w:val="22"/>
              </w:rPr>
              <w:t>ZT-3-</w:t>
            </w:r>
            <w:r>
              <w:rPr>
                <w:spacing w:val="-10"/>
                <w:sz w:val="22"/>
              </w:rPr>
              <w:t>7</w:t>
            </w:r>
          </w:p>
        </w:tc>
        <w:tc>
          <w:tcPr>
            <w:tcW w:w="2362" w:type="dxa"/>
            <w:tcBorders>
              <w:top w:val="single" w:color="000000" w:sz="4" w:space="0"/>
              <w:left w:val="single" w:color="000000" w:sz="4" w:space="0"/>
              <w:bottom w:val="single" w:color="000000" w:sz="4" w:space="0"/>
              <w:right w:val="single" w:color="000000" w:sz="4" w:space="0"/>
            </w:tcBorders>
          </w:tcPr>
          <w:p w14:paraId="4D6D06E0">
            <w:pPr>
              <w:pStyle w:val="16"/>
              <w:spacing w:before="229"/>
              <w:rPr>
                <w:sz w:val="22"/>
              </w:rPr>
            </w:pPr>
          </w:p>
          <w:p w14:paraId="7561B94E">
            <w:pPr>
              <w:pStyle w:val="16"/>
              <w:spacing w:before="1"/>
              <w:ind w:left="108"/>
              <w:rPr>
                <w:sz w:val="22"/>
              </w:rPr>
            </w:pPr>
            <w:r>
              <w:rPr>
                <w:sz w:val="22"/>
              </w:rPr>
              <w:t>Bag Filter</w:t>
            </w:r>
          </w:p>
        </w:tc>
        <w:tc>
          <w:tcPr>
            <w:tcW w:w="3442" w:type="dxa"/>
            <w:tcBorders>
              <w:top w:val="single" w:color="000000" w:sz="4" w:space="0"/>
              <w:left w:val="single" w:color="000000" w:sz="4" w:space="0"/>
              <w:bottom w:val="single" w:color="000000" w:sz="4" w:space="0"/>
              <w:right w:val="single" w:color="000000" w:sz="4" w:space="0"/>
            </w:tcBorders>
          </w:tcPr>
          <w:p w14:paraId="5F8AA207">
            <w:pPr>
              <w:pStyle w:val="16"/>
              <w:spacing w:before="35"/>
              <w:ind w:left="106"/>
              <w:rPr>
                <w:sz w:val="20"/>
              </w:rPr>
            </w:pPr>
            <w:r>
              <w:rPr>
                <w:sz w:val="20"/>
              </w:rPr>
              <w:t>Star-type discharge</w:t>
            </w:r>
            <w:r>
              <w:rPr>
                <w:rFonts w:ascii="Times New Roman" w:eastAsia="Times New Roman"/>
                <w:sz w:val="20"/>
              </w:rPr>
              <w:t xml:space="preserve"> valve 0.55kw *</w:t>
            </w:r>
            <w:r>
              <w:rPr>
                <w:rFonts w:ascii="Times New Roman" w:eastAsia="Times New Roman"/>
                <w:spacing w:val="-12"/>
                <w:sz w:val="20"/>
              </w:rPr>
              <w:t/>
            </w:r>
            <w:r>
              <w:rPr>
                <w:rFonts w:ascii="Times New Roman" w:eastAsia="Times New Roman"/>
                <w:sz w:val="20"/>
              </w:rPr>
              <w:t xml:space="preserve"> 2,</w:t>
            </w:r>
            <w:r>
              <w:rPr>
                <w:rFonts w:ascii="Times New Roman" w:eastAsia="Times New Roman"/>
                <w:spacing w:val="-6"/>
                <w:sz w:val="20"/>
              </w:rPr>
              <w:t/>
            </w:r>
            <w:r>
              <w:rPr>
                <w:rFonts w:ascii="Times New Roman" w:eastAsia="Times New Roman"/>
                <w:sz w:val="20"/>
              </w:rPr>
              <w:t xml:space="preserve"> considering</w:t>
            </w:r>
            <w:r>
              <w:rPr>
                <w:sz w:val="20"/>
              </w:rPr>
              <w:t xml:space="preserve"> pulse</w:t>
            </w:r>
          </w:p>
          <w:p w14:paraId="1552740B">
            <w:pPr>
              <w:pStyle w:val="16"/>
              <w:spacing w:before="70" w:line="302" w:lineRule="auto"/>
              <w:ind w:left="106" w:right="97"/>
              <w:rPr>
                <w:rFonts w:ascii="Times New Roman" w:eastAsia="Times New Roman"/>
                <w:sz w:val="20"/>
              </w:rPr>
            </w:pPr>
            <w:r>
              <w:rPr>
                <w:rFonts w:ascii="Times New Roman" w:eastAsia="Times New Roman"/>
                <w:sz w:val="20"/>
              </w:rPr>
              <w:t>1.5KW; filter</w:t>
            </w:r>
            <w:r>
              <w:rPr>
                <w:rFonts w:ascii="Times New Roman" w:eastAsia="Times New Roman"/>
                <w:spacing w:val="-24"/>
                <w:sz w:val="20"/>
              </w:rPr>
              <w:t/>
            </w:r>
            <w:r>
              <w:rPr>
                <w:sz w:val="20"/>
              </w:rPr>
              <w:t xml:space="preserve"> dust removal</w:t>
            </w:r>
            <w:r>
              <w:rPr>
                <w:rFonts w:ascii="Times New Roman" w:eastAsia="Times New Roman"/>
                <w:sz w:val="20"/>
              </w:rPr>
              <w:t xml:space="preserve"> efficiency 99.90%,</w:t>
            </w:r>
            <w:r>
              <w:rPr>
                <w:rFonts w:ascii="Times New Roman" w:eastAsia="Times New Roman"/>
                <w:sz w:val="20"/>
              </w:rPr>
              <w:t xml:space="preserve"> design</w:t>
            </w:r>
            <w:r>
              <w:rPr>
                <w:sz w:val="20"/>
              </w:rPr>
              <w:t xml:space="preserve"> air</w:t>
            </w:r>
            <w:r>
              <w:rPr>
                <w:sz w:val="20"/>
              </w:rPr>
              <w:t xml:space="preserve"> volume</w:t>
            </w:r>
            <w:r>
              <w:rPr>
                <w:rFonts w:ascii="Times New Roman" w:eastAsia="Times New Roman"/>
                <w:sz w:val="20"/>
              </w:rPr>
              <w:t xml:space="preserve"> 3500Nm3/h,</w:t>
            </w:r>
            <w:r>
              <w:rPr>
                <w:rFonts w:ascii="Times New Roman" w:eastAsia="Times New Roman"/>
                <w:spacing w:val="40"/>
                <w:sz w:val="20"/>
              </w:rPr>
              <w:t/>
            </w:r>
            <w:r>
              <w:rPr>
                <w:sz w:val="20"/>
              </w:rPr>
              <w:t xml:space="preserve"> filtration area</w:t>
            </w:r>
            <w:r>
              <w:rPr>
                <w:rFonts w:ascii="Times New Roman" w:eastAsia="Times New Roman"/>
                <w:sz w:val="20"/>
              </w:rPr>
              <w:t xml:space="preserve"> approx. 144m3</w:t>
            </w:r>
          </w:p>
          <w:p w14:paraId="0F6FAE2E">
            <w:pPr>
              <w:pStyle w:val="16"/>
              <w:spacing w:before="5"/>
              <w:ind w:left="106"/>
              <w:rPr>
                <w:rFonts w:ascii="Times New Roman" w:eastAsia="Times New Roman"/>
                <w:sz w:val="20"/>
              </w:rPr>
            </w:pPr>
            <w:r>
              <w:rPr>
                <w:sz w:val="20"/>
              </w:rPr>
              <w:t>Outlet dust</w:t>
            </w:r>
            <w:r>
              <w:rPr>
                <w:rFonts w:ascii="Times New Roman" w:eastAsia="Times New Roman"/>
                <w:sz w:val="20"/>
              </w:rPr>
              <w:t xml:space="preserve"> concentration 30mg/Nm3</w:t>
            </w:r>
          </w:p>
        </w:tc>
        <w:tc>
          <w:tcPr>
            <w:tcW w:w="1311" w:type="dxa"/>
            <w:tcBorders>
              <w:top w:val="single" w:color="000000" w:sz="4" w:space="0"/>
              <w:left w:val="single" w:color="000000" w:sz="4" w:space="0"/>
              <w:bottom w:val="single" w:color="000000" w:sz="4" w:space="0"/>
              <w:right w:val="single" w:color="000000" w:sz="4" w:space="0"/>
            </w:tcBorders>
          </w:tcPr>
          <w:p w14:paraId="70F69681">
            <w:pPr>
              <w:pStyle w:val="16"/>
              <w:spacing w:before="229"/>
              <w:rPr>
                <w:sz w:val="22"/>
              </w:rPr>
            </w:pPr>
          </w:p>
          <w:p w14:paraId="09BEF7E6">
            <w:pPr>
              <w:pStyle w:val="16"/>
              <w:spacing w:before="1"/>
              <w:ind w:left="11"/>
              <w:jc w:val="center"/>
              <w:rPr>
                <w:sz w:val="22"/>
              </w:rPr>
            </w:pPr>
            <w:r>
              <w:rPr>
                <w:spacing w:val="-10"/>
                <w:sz w:val="22"/>
              </w:rPr>
              <w:t>1</w:t>
            </w:r>
          </w:p>
        </w:tc>
      </w:tr>
      <w:tr w14:paraId="0225E6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65" w:hRule="atLeast"/>
        </w:trPr>
        <w:tc>
          <w:tcPr>
            <w:tcW w:w="1313" w:type="dxa"/>
            <w:tcBorders>
              <w:top w:val="single" w:color="000000" w:sz="4" w:space="0"/>
              <w:left w:val="single" w:color="000000" w:sz="4" w:space="0"/>
              <w:bottom w:val="single" w:color="000000" w:sz="4" w:space="0"/>
              <w:right w:val="single" w:color="000000" w:sz="4" w:space="0"/>
            </w:tcBorders>
          </w:tcPr>
          <w:p w14:paraId="0C2B522D">
            <w:pPr>
              <w:pStyle w:val="16"/>
              <w:spacing w:before="243"/>
              <w:ind w:left="7"/>
              <w:jc w:val="center"/>
              <w:rPr>
                <w:sz w:val="22"/>
              </w:rPr>
            </w:pPr>
            <w:r>
              <w:rPr>
                <w:spacing w:val="-10"/>
                <w:sz w:val="22"/>
              </w:rPr>
              <w:t>8</w:t>
            </w:r>
          </w:p>
        </w:tc>
        <w:tc>
          <w:tcPr>
            <w:tcW w:w="1313" w:type="dxa"/>
            <w:tcBorders>
              <w:top w:val="single" w:color="000000" w:sz="4" w:space="0"/>
              <w:left w:val="single" w:color="000000" w:sz="4" w:space="0"/>
              <w:bottom w:val="single" w:color="000000" w:sz="4" w:space="0"/>
              <w:right w:val="single" w:color="000000" w:sz="4" w:space="0"/>
            </w:tcBorders>
          </w:tcPr>
          <w:p w14:paraId="434EAE2A">
            <w:pPr>
              <w:pStyle w:val="16"/>
              <w:spacing w:before="243"/>
              <w:ind w:left="12"/>
              <w:jc w:val="center"/>
              <w:rPr>
                <w:sz w:val="22"/>
              </w:rPr>
            </w:pPr>
            <w:r>
              <w:rPr>
                <w:sz w:val="22"/>
              </w:rPr>
              <w:t>ZT-3-</w:t>
            </w:r>
            <w:r>
              <w:rPr>
                <w:spacing w:val="-10"/>
                <w:sz w:val="22"/>
              </w:rPr>
              <w:t>8</w:t>
            </w:r>
          </w:p>
        </w:tc>
        <w:tc>
          <w:tcPr>
            <w:tcW w:w="2362" w:type="dxa"/>
            <w:tcBorders>
              <w:top w:val="single" w:color="000000" w:sz="4" w:space="0"/>
              <w:left w:val="single" w:color="000000" w:sz="4" w:space="0"/>
              <w:bottom w:val="single" w:color="000000" w:sz="4" w:space="0"/>
              <w:right w:val="single" w:color="000000" w:sz="4" w:space="0"/>
            </w:tcBorders>
          </w:tcPr>
          <w:p w14:paraId="4C98EBE9">
            <w:pPr>
              <w:pStyle w:val="16"/>
              <w:spacing w:before="243"/>
              <w:ind w:left="108"/>
              <w:rPr>
                <w:sz w:val="22"/>
              </w:rPr>
            </w:pPr>
            <w:r>
              <w:rPr>
                <w:sz w:val="22"/>
              </w:rPr>
              <w:t>Electrostatic Precipitator</w:t>
            </w:r>
          </w:p>
        </w:tc>
        <w:tc>
          <w:tcPr>
            <w:tcW w:w="3442" w:type="dxa"/>
            <w:tcBorders>
              <w:top w:val="single" w:color="000000" w:sz="4" w:space="0"/>
              <w:left w:val="single" w:color="000000" w:sz="4" w:space="0"/>
              <w:bottom w:val="single" w:color="000000" w:sz="4" w:space="0"/>
              <w:right w:val="single" w:color="000000" w:sz="4" w:space="0"/>
            </w:tcBorders>
          </w:tcPr>
          <w:p w14:paraId="28BF0F62">
            <w:pPr>
              <w:pStyle w:val="16"/>
              <w:spacing w:before="256"/>
              <w:ind w:left="106"/>
              <w:rPr>
                <w:sz w:val="20"/>
              </w:rPr>
            </w:pPr>
            <w:r>
              <w:rPr>
                <w:spacing w:val="-4"/>
                <w:sz w:val="20"/>
              </w:rPr>
              <w:t>10KW</w:t>
            </w:r>
          </w:p>
        </w:tc>
        <w:tc>
          <w:tcPr>
            <w:tcW w:w="1311" w:type="dxa"/>
            <w:tcBorders>
              <w:top w:val="single" w:color="000000" w:sz="4" w:space="0"/>
              <w:left w:val="single" w:color="000000" w:sz="4" w:space="0"/>
              <w:bottom w:val="single" w:color="000000" w:sz="4" w:space="0"/>
              <w:right w:val="single" w:color="000000" w:sz="4" w:space="0"/>
            </w:tcBorders>
          </w:tcPr>
          <w:p w14:paraId="7C30D069">
            <w:pPr>
              <w:pStyle w:val="16"/>
              <w:spacing w:before="243"/>
              <w:ind w:left="11"/>
              <w:jc w:val="center"/>
              <w:rPr>
                <w:sz w:val="22"/>
              </w:rPr>
            </w:pPr>
            <w:r>
              <w:rPr>
                <w:spacing w:val="-10"/>
                <w:sz w:val="22"/>
              </w:rPr>
              <w:t>1</w:t>
            </w:r>
          </w:p>
        </w:tc>
      </w:tr>
      <w:tr w14:paraId="307700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78" w:hRule="atLeast"/>
        </w:trPr>
        <w:tc>
          <w:tcPr>
            <w:tcW w:w="1313" w:type="dxa"/>
            <w:tcBorders>
              <w:top w:val="single" w:color="000000" w:sz="4" w:space="0"/>
              <w:left w:val="single" w:color="000000" w:sz="4" w:space="0"/>
              <w:bottom w:val="single" w:color="000000" w:sz="4" w:space="0"/>
              <w:right w:val="single" w:color="000000" w:sz="4" w:space="0"/>
            </w:tcBorders>
          </w:tcPr>
          <w:p w14:paraId="33095E16">
            <w:pPr>
              <w:pStyle w:val="16"/>
              <w:spacing w:before="66"/>
              <w:rPr>
                <w:sz w:val="22"/>
              </w:rPr>
            </w:pPr>
          </w:p>
          <w:p w14:paraId="63B70FB7">
            <w:pPr>
              <w:pStyle w:val="16"/>
              <w:ind w:left="7"/>
              <w:jc w:val="center"/>
              <w:rPr>
                <w:sz w:val="22"/>
              </w:rPr>
            </w:pPr>
            <w:r>
              <w:rPr>
                <w:spacing w:val="-10"/>
                <w:sz w:val="22"/>
              </w:rPr>
              <w:t>9</w:t>
            </w:r>
          </w:p>
        </w:tc>
        <w:tc>
          <w:tcPr>
            <w:tcW w:w="1313" w:type="dxa"/>
            <w:tcBorders>
              <w:top w:val="single" w:color="000000" w:sz="4" w:space="0"/>
              <w:left w:val="single" w:color="000000" w:sz="4" w:space="0"/>
              <w:bottom w:val="single" w:color="000000" w:sz="4" w:space="0"/>
              <w:right w:val="single" w:color="000000" w:sz="4" w:space="0"/>
            </w:tcBorders>
          </w:tcPr>
          <w:p w14:paraId="20DE0A7F">
            <w:pPr>
              <w:pStyle w:val="16"/>
              <w:spacing w:before="66"/>
              <w:rPr>
                <w:sz w:val="22"/>
              </w:rPr>
            </w:pPr>
          </w:p>
          <w:p w14:paraId="63727BF3">
            <w:pPr>
              <w:pStyle w:val="16"/>
              <w:ind w:left="12"/>
              <w:jc w:val="center"/>
              <w:rPr>
                <w:sz w:val="22"/>
              </w:rPr>
            </w:pPr>
            <w:r>
              <w:rPr>
                <w:sz w:val="22"/>
              </w:rPr>
              <w:t>ZT-3-</w:t>
            </w:r>
            <w:r>
              <w:rPr>
                <w:spacing w:val="-10"/>
                <w:sz w:val="22"/>
              </w:rPr>
              <w:t>9</w:t>
            </w:r>
          </w:p>
        </w:tc>
        <w:tc>
          <w:tcPr>
            <w:tcW w:w="2362" w:type="dxa"/>
            <w:tcBorders>
              <w:top w:val="single" w:color="000000" w:sz="4" w:space="0"/>
              <w:left w:val="single" w:color="000000" w:sz="4" w:space="0"/>
              <w:bottom w:val="single" w:color="000000" w:sz="4" w:space="0"/>
              <w:right w:val="single" w:color="000000" w:sz="4" w:space="0"/>
            </w:tcBorders>
          </w:tcPr>
          <w:p w14:paraId="1F47BA76">
            <w:pPr>
              <w:pStyle w:val="16"/>
              <w:spacing w:before="66"/>
              <w:rPr>
                <w:sz w:val="22"/>
              </w:rPr>
            </w:pPr>
          </w:p>
          <w:p w14:paraId="0EC2AEF2">
            <w:pPr>
              <w:pStyle w:val="16"/>
              <w:ind w:left="108"/>
              <w:rPr>
                <w:sz w:val="22"/>
              </w:rPr>
            </w:pPr>
            <w:r>
              <w:rPr>
                <w:sz w:val="22"/>
              </w:rPr>
              <w:t>Induced draft fan</w:t>
            </w:r>
          </w:p>
        </w:tc>
        <w:tc>
          <w:tcPr>
            <w:tcW w:w="3442" w:type="dxa"/>
            <w:tcBorders>
              <w:top w:val="single" w:color="000000" w:sz="4" w:space="0"/>
              <w:left w:val="single" w:color="000000" w:sz="4" w:space="0"/>
              <w:bottom w:val="single" w:color="000000" w:sz="4" w:space="0"/>
              <w:right w:val="single" w:color="000000" w:sz="4" w:space="0"/>
            </w:tcBorders>
          </w:tcPr>
          <w:p w14:paraId="3F98627B">
            <w:pPr>
              <w:pStyle w:val="16"/>
              <w:spacing w:before="26" w:line="295" w:lineRule="auto"/>
              <w:ind w:left="106" w:right="98"/>
              <w:rPr>
                <w:rFonts w:ascii="Times New Roman" w:hAnsi="Times New Roman" w:eastAsia="Times New Roman"/>
                <w:sz w:val="20"/>
              </w:rPr>
            </w:pPr>
            <w:r>
              <w:rPr>
                <w:sz w:val="20"/>
              </w:rPr>
              <w:t>Impeller</w:t>
            </w:r>
            <w:r>
              <w:rPr>
                <w:rFonts w:ascii="Times New Roman" w:hAnsi="Times New Roman" w:eastAsia="Times New Roman"/>
                <w:sz w:val="20"/>
              </w:rPr>
              <w:t xml:space="preserve"> material:</w:t>
            </w:r>
            <w:r>
              <w:rPr>
                <w:rFonts w:ascii="Times New Roman" w:hAnsi="Times New Roman" w:eastAsia="Times New Roman"/>
                <w:sz w:val="20"/>
              </w:rPr>
              <w:t xml:space="preserve"> SUS304</w:t>
            </w:r>
            <w:r>
              <w:rPr>
                <w:rFonts w:ascii="Times New Roman" w:hAnsi="Times New Roman" w:eastAsia="Times New Roman"/>
                <w:sz w:val="20"/>
              </w:rPr>
              <w:t xml:space="preserve"> (anti-corrosion);</w:t>
            </w:r>
            <w:r>
              <w:rPr>
                <w:rFonts w:ascii="Times New Roman" w:hAnsi="Times New Roman" w:eastAsia="Times New Roman"/>
                <w:sz w:val="20"/>
              </w:rPr>
              <w:t xml:space="preserve"> temperature</w:t>
            </w:r>
            <w:r>
              <w:rPr>
                <w:sz w:val="20"/>
              </w:rPr>
              <w:t xml:space="preserve"> resistance:</w:t>
            </w:r>
            <w:r>
              <w:rPr>
                <w:sz w:val="20"/>
              </w:rPr>
              <w:t xml:space="preserve"> 200℃,</w:t>
            </w:r>
            <w:r>
              <w:rPr>
                <w:sz w:val="20"/>
              </w:rPr>
              <w:t xml:space="preserve"> design</w:t>
            </w:r>
            <w:r>
              <w:rPr>
                <w:sz w:val="20"/>
              </w:rPr>
              <w:t xml:space="preserve"> air</w:t>
            </w:r>
            <w:r>
              <w:rPr>
                <w:rFonts w:ascii="Times New Roman" w:hAnsi="Times New Roman" w:eastAsia="Times New Roman"/>
                <w:sz w:val="20"/>
              </w:rPr>
              <w:t xml:space="preserve"> volume</w:t>
            </w:r>
            <w:r>
              <w:rPr>
                <w:rFonts w:ascii="Segoe UI Symbol" w:hAnsi="Segoe UI Symbol" w:eastAsia="Segoe UI Symbol"/>
                <w:sz w:val="20"/>
              </w:rPr>
              <w:t xml:space="preserve"> 4000Nm3/h,</w:t>
            </w:r>
            <w:r>
              <w:rPr>
                <w:rFonts w:ascii="Times New Roman" w:hAnsi="Times New Roman" w:eastAsia="Times New Roman"/>
                <w:sz w:val="20"/>
              </w:rPr>
              <w:t xml:space="preserve"> pressure</w:t>
            </w:r>
            <w:r>
              <w:rPr>
                <w:sz w:val="20"/>
              </w:rPr>
              <w:t xml:space="preserve"> </w:t>
            </w:r>
            <w:r>
              <w:rPr>
                <w:rFonts w:ascii="Times New Roman" w:hAnsi="Times New Roman" w:eastAsia="Times New Roman"/>
                <w:sz w:val="20"/>
              </w:rPr>
              <w:t>5</w:t>
            </w:r>
            <w:r>
              <w:rPr>
                <w:rFonts w:ascii="Times New Roman" w:hAnsi="Times New Roman" w:eastAsia="Times New Roman"/>
                <w:spacing w:val="40"/>
                <w:sz w:val="20"/>
              </w:rPr>
              <w:t/>
            </w:r>
            <w:r>
              <w:rPr>
                <w:sz w:val="20"/>
              </w:rPr>
              <w:t>0</w:t>
            </w:r>
            <w:r>
              <w:rPr>
                <w:rFonts w:ascii="Times New Roman" w:hAnsi="Times New Roman" w:eastAsia="Times New Roman"/>
                <w:sz w:val="20"/>
              </w:rPr>
              <w:t>00PA</w:t>
            </w:r>
          </w:p>
          <w:p w14:paraId="04517438">
            <w:pPr>
              <w:pStyle w:val="16"/>
              <w:spacing w:before="13"/>
              <w:ind w:left="106"/>
              <w:rPr>
                <w:sz w:val="20"/>
              </w:rPr>
            </w:pPr>
            <w:r>
              <w:rPr>
                <w:rFonts w:ascii="Times New Roman" w:eastAsia="Times New Roman"/>
                <w:sz w:val="20"/>
              </w:rPr>
              <w:t>22KW with frequency</w:t>
            </w:r>
            <w:r>
              <w:rPr>
                <w:rFonts w:ascii="Times New Roman" w:eastAsia="Times New Roman"/>
                <w:spacing w:val="-6"/>
                <w:sz w:val="20"/>
              </w:rPr>
              <w:t/>
            </w:r>
            <w:r>
              <w:rPr>
                <w:sz w:val="20"/>
              </w:rPr>
              <w:t xml:space="preserve"> converter</w:t>
            </w:r>
          </w:p>
        </w:tc>
        <w:tc>
          <w:tcPr>
            <w:tcW w:w="1311" w:type="dxa"/>
            <w:tcBorders>
              <w:top w:val="single" w:color="000000" w:sz="4" w:space="0"/>
              <w:left w:val="single" w:color="000000" w:sz="4" w:space="0"/>
              <w:bottom w:val="single" w:color="000000" w:sz="4" w:space="0"/>
              <w:right w:val="single" w:color="000000" w:sz="4" w:space="0"/>
            </w:tcBorders>
          </w:tcPr>
          <w:p w14:paraId="44C3F1FE">
            <w:pPr>
              <w:pStyle w:val="16"/>
              <w:spacing w:before="66"/>
              <w:rPr>
                <w:sz w:val="22"/>
              </w:rPr>
            </w:pPr>
          </w:p>
          <w:p w14:paraId="160EDD5D">
            <w:pPr>
              <w:pStyle w:val="16"/>
              <w:ind w:left="11"/>
              <w:jc w:val="center"/>
              <w:rPr>
                <w:sz w:val="22"/>
              </w:rPr>
            </w:pPr>
            <w:r>
              <w:rPr>
                <w:spacing w:val="-10"/>
                <w:sz w:val="22"/>
              </w:rPr>
              <w:t>1</w:t>
            </w:r>
          </w:p>
        </w:tc>
      </w:tr>
      <w:tr w14:paraId="72ABE3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313" w:type="dxa"/>
            <w:tcBorders>
              <w:top w:val="single" w:color="000000" w:sz="4" w:space="0"/>
              <w:left w:val="single" w:color="000000" w:sz="4" w:space="0"/>
              <w:bottom w:val="single" w:color="000000" w:sz="4" w:space="0"/>
              <w:right w:val="single" w:color="000000" w:sz="4" w:space="0"/>
            </w:tcBorders>
          </w:tcPr>
          <w:p w14:paraId="2D9BA22A">
            <w:pPr>
              <w:pStyle w:val="16"/>
              <w:spacing w:before="60"/>
              <w:ind w:left="7"/>
              <w:jc w:val="center"/>
              <w:rPr>
                <w:sz w:val="22"/>
              </w:rPr>
            </w:pPr>
            <w:r>
              <w:rPr>
                <w:spacing w:val="-5"/>
                <w:sz w:val="22"/>
              </w:rPr>
              <w:t>10</w:t>
            </w:r>
          </w:p>
        </w:tc>
        <w:tc>
          <w:tcPr>
            <w:tcW w:w="1313" w:type="dxa"/>
            <w:tcBorders>
              <w:top w:val="single" w:color="000000" w:sz="4" w:space="0"/>
              <w:left w:val="single" w:color="000000" w:sz="4" w:space="0"/>
              <w:bottom w:val="single" w:color="000000" w:sz="4" w:space="0"/>
              <w:right w:val="single" w:color="000000" w:sz="4" w:space="0"/>
            </w:tcBorders>
          </w:tcPr>
          <w:p w14:paraId="272666EC">
            <w:pPr>
              <w:pStyle w:val="16"/>
              <w:spacing w:before="60"/>
              <w:ind w:left="12"/>
              <w:jc w:val="center"/>
              <w:rPr>
                <w:sz w:val="22"/>
              </w:rPr>
            </w:pPr>
            <w:r>
              <w:rPr>
                <w:sz w:val="22"/>
              </w:rPr>
              <w:t>ZT-3-</w:t>
            </w:r>
            <w:r>
              <w:rPr>
                <w:spacing w:val="-5"/>
                <w:sz w:val="22"/>
              </w:rPr>
              <w:t>10</w:t>
            </w:r>
          </w:p>
        </w:tc>
        <w:tc>
          <w:tcPr>
            <w:tcW w:w="2362" w:type="dxa"/>
            <w:tcBorders>
              <w:top w:val="single" w:color="000000" w:sz="4" w:space="0"/>
              <w:left w:val="single" w:color="000000" w:sz="4" w:space="0"/>
              <w:bottom w:val="single" w:color="000000" w:sz="4" w:space="0"/>
              <w:right w:val="single" w:color="000000" w:sz="4" w:space="0"/>
            </w:tcBorders>
          </w:tcPr>
          <w:p w14:paraId="29DCC1EB">
            <w:pPr>
              <w:pStyle w:val="16"/>
              <w:spacing w:before="60"/>
              <w:ind w:left="108"/>
              <w:rPr>
                <w:sz w:val="22"/>
              </w:rPr>
            </w:pPr>
            <w:r>
              <w:rPr>
                <w:sz w:val="22"/>
              </w:rPr>
              <w:t>Chimney</w:t>
            </w:r>
          </w:p>
        </w:tc>
        <w:tc>
          <w:tcPr>
            <w:tcW w:w="3442" w:type="dxa"/>
            <w:tcBorders>
              <w:top w:val="single" w:color="000000" w:sz="4" w:space="0"/>
              <w:left w:val="single" w:color="000000" w:sz="4" w:space="0"/>
              <w:bottom w:val="single" w:color="000000" w:sz="4" w:space="0"/>
              <w:right w:val="single" w:color="000000" w:sz="4" w:space="0"/>
            </w:tcBorders>
          </w:tcPr>
          <w:p w14:paraId="487016B3">
            <w:pPr>
              <w:pStyle w:val="16"/>
              <w:spacing w:before="73"/>
              <w:ind w:left="106"/>
              <w:rPr>
                <w:sz w:val="20"/>
              </w:rPr>
            </w:pPr>
            <w:r>
              <w:rPr>
                <w:spacing w:val="-5"/>
                <w:sz w:val="20"/>
              </w:rPr>
              <w:t>45m</w:t>
            </w:r>
          </w:p>
        </w:tc>
        <w:tc>
          <w:tcPr>
            <w:tcW w:w="1311" w:type="dxa"/>
            <w:tcBorders>
              <w:top w:val="single" w:color="000000" w:sz="4" w:space="0"/>
              <w:left w:val="single" w:color="000000" w:sz="4" w:space="0"/>
              <w:bottom w:val="single" w:color="000000" w:sz="4" w:space="0"/>
              <w:right w:val="single" w:color="000000" w:sz="4" w:space="0"/>
            </w:tcBorders>
          </w:tcPr>
          <w:p w14:paraId="69CFAE04">
            <w:pPr>
              <w:pStyle w:val="16"/>
              <w:spacing w:before="60"/>
              <w:ind w:left="11"/>
              <w:jc w:val="center"/>
              <w:rPr>
                <w:sz w:val="22"/>
              </w:rPr>
            </w:pPr>
            <w:r>
              <w:rPr>
                <w:spacing w:val="-10"/>
                <w:sz w:val="22"/>
              </w:rPr>
              <w:t>1</w:t>
            </w:r>
          </w:p>
        </w:tc>
      </w:tr>
      <w:tr w14:paraId="0634E7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0" w:hRule="atLeast"/>
        </w:trPr>
        <w:tc>
          <w:tcPr>
            <w:tcW w:w="9741" w:type="dxa"/>
            <w:gridSpan w:val="5"/>
            <w:tcBorders>
              <w:top w:val="single" w:color="000000" w:sz="4" w:space="0"/>
              <w:left w:val="single" w:color="000000" w:sz="4" w:space="0"/>
              <w:bottom w:val="single" w:color="000000" w:sz="4" w:space="0"/>
              <w:right w:val="nil"/>
            </w:tcBorders>
          </w:tcPr>
          <w:p w14:paraId="6EC98F84">
            <w:pPr>
              <w:pStyle w:val="16"/>
              <w:rPr>
                <w:rFonts w:ascii="Times New Roman"/>
                <w:sz w:val="20"/>
              </w:rPr>
            </w:pPr>
          </w:p>
        </w:tc>
      </w:tr>
      <w:tr w14:paraId="6649F9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1313" w:type="dxa"/>
            <w:tcBorders>
              <w:top w:val="single" w:color="000000" w:sz="4" w:space="0"/>
              <w:left w:val="single" w:color="000000" w:sz="4" w:space="0"/>
              <w:bottom w:val="single" w:color="000000" w:sz="4" w:space="0"/>
              <w:right w:val="single" w:color="000000" w:sz="4" w:space="0"/>
            </w:tcBorders>
            <w:shd w:val="clear" w:color="auto" w:fill="D9E0F1"/>
          </w:tcPr>
          <w:p w14:paraId="77A723F9">
            <w:pPr>
              <w:pStyle w:val="16"/>
              <w:spacing w:before="149"/>
              <w:ind w:left="10"/>
              <w:jc w:val="center"/>
              <w:rPr>
                <w:sz w:val="28"/>
              </w:rPr>
            </w:pPr>
            <w:r>
              <w:rPr>
                <w:sz w:val="28"/>
              </w:rPr>
              <w:t>IV</w:t>
            </w:r>
          </w:p>
        </w:tc>
        <w:tc>
          <w:tcPr>
            <w:tcW w:w="8428" w:type="dxa"/>
            <w:gridSpan w:val="4"/>
            <w:tcBorders>
              <w:top w:val="single" w:color="000000" w:sz="4" w:space="0"/>
              <w:left w:val="single" w:color="000000" w:sz="4" w:space="0"/>
              <w:bottom w:val="single" w:color="000000" w:sz="4" w:space="0"/>
              <w:right w:val="nil"/>
            </w:tcBorders>
            <w:shd w:val="clear" w:color="auto" w:fill="D9E0F1"/>
          </w:tcPr>
          <w:p w14:paraId="765ACF25">
            <w:pPr>
              <w:pStyle w:val="16"/>
              <w:spacing w:before="127"/>
              <w:ind w:left="10" w:right="2"/>
              <w:jc w:val="center"/>
              <w:rPr>
                <w:sz w:val="28"/>
              </w:rPr>
            </w:pPr>
            <w:r>
              <w:rPr>
                <w:sz w:val="28"/>
              </w:rPr>
              <w:t>Electrical control, instruments and other accessories and spare parts</w:t>
            </w:r>
          </w:p>
        </w:tc>
      </w:tr>
      <w:tr w14:paraId="1C3D6B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2" w:hRule="atLeast"/>
        </w:trPr>
        <w:tc>
          <w:tcPr>
            <w:tcW w:w="1313" w:type="dxa"/>
            <w:tcBorders>
              <w:top w:val="single" w:color="000000" w:sz="4" w:space="0"/>
              <w:left w:val="single" w:color="000000" w:sz="4" w:space="0"/>
              <w:bottom w:val="single" w:color="000000" w:sz="4" w:space="0"/>
              <w:right w:val="single" w:color="000000" w:sz="4" w:space="0"/>
            </w:tcBorders>
          </w:tcPr>
          <w:p w14:paraId="6B9E5665">
            <w:pPr>
              <w:pStyle w:val="16"/>
              <w:spacing w:before="70"/>
              <w:ind w:left="7"/>
              <w:jc w:val="center"/>
              <w:rPr>
                <w:sz w:val="22"/>
              </w:rPr>
            </w:pPr>
            <w:r>
              <w:rPr>
                <w:spacing w:val="-10"/>
                <w:sz w:val="22"/>
              </w:rPr>
              <w:t>1</w:t>
            </w:r>
          </w:p>
        </w:tc>
        <w:tc>
          <w:tcPr>
            <w:tcW w:w="1313" w:type="dxa"/>
            <w:tcBorders>
              <w:top w:val="single" w:color="000000" w:sz="4" w:space="0"/>
              <w:left w:val="single" w:color="000000" w:sz="4" w:space="0"/>
              <w:bottom w:val="single" w:color="000000" w:sz="4" w:space="0"/>
              <w:right w:val="single" w:color="000000" w:sz="4" w:space="0"/>
            </w:tcBorders>
          </w:tcPr>
          <w:p w14:paraId="088A148A">
            <w:pPr>
              <w:pStyle w:val="16"/>
              <w:spacing w:before="70"/>
              <w:ind w:left="12"/>
              <w:jc w:val="center"/>
              <w:rPr>
                <w:sz w:val="22"/>
              </w:rPr>
            </w:pPr>
            <w:r>
              <w:rPr>
                <w:sz w:val="22"/>
              </w:rPr>
              <w:t>ZT-4-</w:t>
            </w:r>
            <w:r>
              <w:rPr>
                <w:spacing w:val="-10"/>
                <w:sz w:val="22"/>
              </w:rPr>
              <w:t>1</w:t>
            </w:r>
          </w:p>
        </w:tc>
        <w:tc>
          <w:tcPr>
            <w:tcW w:w="2362" w:type="dxa"/>
            <w:tcBorders>
              <w:top w:val="single" w:color="000000" w:sz="4" w:space="0"/>
              <w:left w:val="single" w:color="000000" w:sz="4" w:space="0"/>
              <w:bottom w:val="single" w:color="000000" w:sz="4" w:space="0"/>
              <w:right w:val="single" w:color="000000" w:sz="4" w:space="0"/>
            </w:tcBorders>
          </w:tcPr>
          <w:p w14:paraId="193BD0A2">
            <w:pPr>
              <w:pStyle w:val="16"/>
              <w:spacing w:before="70"/>
              <w:ind w:left="108"/>
              <w:rPr>
                <w:sz w:val="22"/>
              </w:rPr>
            </w:pPr>
            <w:r>
              <w:rPr>
                <w:sz w:val="22"/>
              </w:rPr>
              <w:t>PLC electrical</w:t>
            </w:r>
            <w:r>
              <w:rPr>
                <w:sz w:val="22"/>
              </w:rPr>
              <w:t xml:space="preserve"> control system</w:t>
            </w:r>
          </w:p>
        </w:tc>
        <w:tc>
          <w:tcPr>
            <w:tcW w:w="3442" w:type="dxa"/>
            <w:tcBorders>
              <w:top w:val="single" w:color="000000" w:sz="4" w:space="0"/>
              <w:left w:val="single" w:color="000000" w:sz="4" w:space="0"/>
              <w:bottom w:val="single" w:color="000000" w:sz="4" w:space="0"/>
              <w:right w:val="single" w:color="000000" w:sz="4" w:space="0"/>
            </w:tcBorders>
          </w:tcPr>
          <w:p w14:paraId="4DF7C5EF">
            <w:pPr>
              <w:pStyle w:val="16"/>
              <w:spacing w:before="83"/>
              <w:ind w:left="106"/>
              <w:rPr>
                <w:sz w:val="20"/>
              </w:rPr>
            </w:pPr>
            <w:r>
              <w:rPr>
                <w:sz w:val="20"/>
              </w:rPr>
              <w:t>Fully automatic control system</w:t>
            </w:r>
          </w:p>
        </w:tc>
        <w:tc>
          <w:tcPr>
            <w:tcW w:w="1311" w:type="dxa"/>
            <w:tcBorders>
              <w:top w:val="single" w:color="000000" w:sz="4" w:space="0"/>
              <w:left w:val="single" w:color="000000" w:sz="4" w:space="0"/>
              <w:bottom w:val="single" w:color="000000" w:sz="4" w:space="0"/>
              <w:right w:val="single" w:color="000000" w:sz="4" w:space="0"/>
            </w:tcBorders>
          </w:tcPr>
          <w:p w14:paraId="13DCB66D">
            <w:pPr>
              <w:pStyle w:val="16"/>
              <w:spacing w:before="70"/>
              <w:ind w:left="11"/>
              <w:jc w:val="center"/>
              <w:rPr>
                <w:sz w:val="22"/>
              </w:rPr>
            </w:pPr>
            <w:r>
              <w:rPr>
                <w:spacing w:val="-10"/>
                <w:sz w:val="22"/>
              </w:rPr>
              <w:t>1</w:t>
            </w:r>
          </w:p>
        </w:tc>
      </w:tr>
    </w:tbl>
    <w:p w14:paraId="6E8015B6">
      <w:pPr>
        <w:pStyle w:val="16"/>
        <w:spacing w:after="0"/>
        <w:jc w:val="center"/>
        <w:rPr>
          <w:sz w:val="22"/>
        </w:rPr>
        <w:sectPr>
          <w:type w:val="continuous"/>
          <w:pgSz w:w="11910" w:h="16840"/>
          <w:pgMar w:top="1380" w:right="283" w:bottom="1513" w:left="850" w:header="761" w:footer="628" w:gutter="0"/>
          <w:cols w:space="720" w:num="1"/>
        </w:sectPr>
      </w:pPr>
    </w:p>
    <w:tbl>
      <w:tblPr>
        <w:tblStyle w:val="12"/>
        <w:tblW w:w="0" w:type="auto"/>
        <w:tblInd w:w="1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13"/>
        <w:gridCol w:w="1313"/>
        <w:gridCol w:w="2362"/>
        <w:gridCol w:w="3442"/>
        <w:gridCol w:w="1311"/>
      </w:tblGrid>
      <w:tr w14:paraId="3BA8C7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8" w:hRule="atLeast"/>
        </w:trPr>
        <w:tc>
          <w:tcPr>
            <w:tcW w:w="1313" w:type="dxa"/>
            <w:tcBorders>
              <w:left w:val="single" w:color="000000" w:sz="4" w:space="0"/>
              <w:bottom w:val="single" w:color="000000" w:sz="4" w:space="0"/>
              <w:right w:val="single" w:color="000000" w:sz="4" w:space="0"/>
            </w:tcBorders>
          </w:tcPr>
          <w:p w14:paraId="6AB0B122">
            <w:pPr>
              <w:pStyle w:val="16"/>
              <w:spacing w:before="99"/>
              <w:ind w:left="7"/>
              <w:jc w:val="center"/>
              <w:rPr>
                <w:sz w:val="22"/>
              </w:rPr>
            </w:pPr>
            <w:r>
              <w:rPr>
                <w:spacing w:val="-10"/>
                <w:sz w:val="22"/>
              </w:rPr>
              <w:t>2</w:t>
            </w:r>
          </w:p>
        </w:tc>
        <w:tc>
          <w:tcPr>
            <w:tcW w:w="1313" w:type="dxa"/>
            <w:tcBorders>
              <w:left w:val="single" w:color="000000" w:sz="4" w:space="0"/>
              <w:bottom w:val="single" w:color="000000" w:sz="4" w:space="0"/>
              <w:right w:val="single" w:color="000000" w:sz="4" w:space="0"/>
            </w:tcBorders>
          </w:tcPr>
          <w:p w14:paraId="43AAC2DD">
            <w:pPr>
              <w:pStyle w:val="16"/>
              <w:spacing w:before="99"/>
              <w:ind w:left="12"/>
              <w:jc w:val="center"/>
              <w:rPr>
                <w:sz w:val="22"/>
              </w:rPr>
            </w:pPr>
            <w:r>
              <w:rPr>
                <w:sz w:val="22"/>
              </w:rPr>
              <w:t>ZT-4-</w:t>
            </w:r>
            <w:r>
              <w:rPr>
                <w:spacing w:val="-10"/>
                <w:sz w:val="22"/>
              </w:rPr>
              <w:t>2</w:t>
            </w:r>
          </w:p>
        </w:tc>
        <w:tc>
          <w:tcPr>
            <w:tcW w:w="2362" w:type="dxa"/>
            <w:tcBorders>
              <w:left w:val="single" w:color="000000" w:sz="4" w:space="0"/>
              <w:bottom w:val="single" w:color="000000" w:sz="4" w:space="0"/>
              <w:right w:val="single" w:color="000000" w:sz="4" w:space="0"/>
            </w:tcBorders>
          </w:tcPr>
          <w:p w14:paraId="0D5D9F57">
            <w:pPr>
              <w:pStyle w:val="16"/>
              <w:spacing w:before="99"/>
              <w:ind w:left="108"/>
              <w:rPr>
                <w:sz w:val="22"/>
              </w:rPr>
            </w:pPr>
            <w:r>
              <w:rPr>
                <w:sz w:val="22"/>
              </w:rPr>
              <w:t>Wiring and circuits</w:t>
            </w:r>
          </w:p>
        </w:tc>
        <w:tc>
          <w:tcPr>
            <w:tcW w:w="3442" w:type="dxa"/>
            <w:tcBorders>
              <w:left w:val="single" w:color="000000" w:sz="4" w:space="0"/>
              <w:bottom w:val="single" w:color="000000" w:sz="4" w:space="0"/>
              <w:right w:val="single" w:color="000000" w:sz="4" w:space="0"/>
            </w:tcBorders>
          </w:tcPr>
          <w:p w14:paraId="2E5C4A91">
            <w:pPr>
              <w:pStyle w:val="16"/>
              <w:spacing w:before="112"/>
              <w:ind w:left="106"/>
              <w:rPr>
                <w:sz w:val="20"/>
              </w:rPr>
            </w:pPr>
            <w:r>
              <w:rPr>
                <w:sz w:val="20"/>
              </w:rPr>
              <w:t>Including accessories</w:t>
            </w:r>
          </w:p>
        </w:tc>
        <w:tc>
          <w:tcPr>
            <w:tcW w:w="1311" w:type="dxa"/>
            <w:tcBorders>
              <w:left w:val="single" w:color="000000" w:sz="4" w:space="0"/>
              <w:bottom w:val="single" w:color="000000" w:sz="4" w:space="0"/>
              <w:right w:val="single" w:color="000000" w:sz="4" w:space="0"/>
            </w:tcBorders>
          </w:tcPr>
          <w:p w14:paraId="61900CD0">
            <w:pPr>
              <w:pStyle w:val="16"/>
              <w:spacing w:before="99"/>
              <w:ind w:left="11"/>
              <w:jc w:val="center"/>
              <w:rPr>
                <w:sz w:val="22"/>
              </w:rPr>
            </w:pPr>
            <w:r>
              <w:rPr>
                <w:spacing w:val="-10"/>
                <w:sz w:val="22"/>
              </w:rPr>
              <w:t>1</w:t>
            </w:r>
          </w:p>
        </w:tc>
      </w:tr>
      <w:tr w14:paraId="6FEAEE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9" w:hRule="atLeast"/>
        </w:trPr>
        <w:tc>
          <w:tcPr>
            <w:tcW w:w="1313" w:type="dxa"/>
            <w:tcBorders>
              <w:top w:val="single" w:color="000000" w:sz="4" w:space="0"/>
              <w:left w:val="single" w:color="000000" w:sz="4" w:space="0"/>
              <w:bottom w:val="single" w:color="000000" w:sz="4" w:space="0"/>
              <w:right w:val="single" w:color="000000" w:sz="4" w:space="0"/>
            </w:tcBorders>
          </w:tcPr>
          <w:p w14:paraId="46CB1EB2">
            <w:pPr>
              <w:pStyle w:val="16"/>
              <w:spacing w:before="63"/>
              <w:ind w:left="7"/>
              <w:jc w:val="center"/>
              <w:rPr>
                <w:sz w:val="22"/>
              </w:rPr>
            </w:pPr>
            <w:r>
              <w:rPr>
                <w:spacing w:val="-10"/>
                <w:sz w:val="22"/>
              </w:rPr>
              <w:t>3</w:t>
            </w:r>
          </w:p>
        </w:tc>
        <w:tc>
          <w:tcPr>
            <w:tcW w:w="1313" w:type="dxa"/>
            <w:tcBorders>
              <w:top w:val="single" w:color="000000" w:sz="4" w:space="0"/>
              <w:left w:val="single" w:color="000000" w:sz="4" w:space="0"/>
              <w:bottom w:val="single" w:color="000000" w:sz="4" w:space="0"/>
              <w:right w:val="single" w:color="000000" w:sz="4" w:space="0"/>
            </w:tcBorders>
          </w:tcPr>
          <w:p w14:paraId="3CDAEACF">
            <w:pPr>
              <w:pStyle w:val="16"/>
              <w:spacing w:before="63"/>
              <w:ind w:left="12"/>
              <w:jc w:val="center"/>
              <w:rPr>
                <w:sz w:val="22"/>
              </w:rPr>
            </w:pPr>
            <w:r>
              <w:rPr>
                <w:sz w:val="22"/>
              </w:rPr>
              <w:t>ZT-4-</w:t>
            </w:r>
            <w:r>
              <w:rPr>
                <w:spacing w:val="-10"/>
                <w:sz w:val="22"/>
              </w:rPr>
              <w:t>3</w:t>
            </w:r>
          </w:p>
        </w:tc>
        <w:tc>
          <w:tcPr>
            <w:tcW w:w="2362" w:type="dxa"/>
            <w:tcBorders>
              <w:top w:val="single" w:color="000000" w:sz="4" w:space="0"/>
              <w:left w:val="single" w:color="000000" w:sz="4" w:space="0"/>
              <w:bottom w:val="single" w:color="000000" w:sz="4" w:space="0"/>
              <w:right w:val="single" w:color="000000" w:sz="4" w:space="0"/>
            </w:tcBorders>
          </w:tcPr>
          <w:p w14:paraId="32E459B3">
            <w:pPr>
              <w:pStyle w:val="16"/>
              <w:spacing w:before="63"/>
              <w:ind w:left="108"/>
              <w:rPr>
                <w:sz w:val="22"/>
              </w:rPr>
            </w:pPr>
            <w:r>
              <w:rPr>
                <w:sz w:val="22"/>
              </w:rPr>
              <w:t>Air compressor</w:t>
            </w:r>
          </w:p>
        </w:tc>
        <w:tc>
          <w:tcPr>
            <w:tcW w:w="3442" w:type="dxa"/>
            <w:tcBorders>
              <w:top w:val="single" w:color="000000" w:sz="4" w:space="0"/>
              <w:left w:val="single" w:color="000000" w:sz="4" w:space="0"/>
              <w:bottom w:val="single" w:color="000000" w:sz="4" w:space="0"/>
              <w:right w:val="single" w:color="000000" w:sz="4" w:space="0"/>
            </w:tcBorders>
          </w:tcPr>
          <w:p w14:paraId="73A1A8C7">
            <w:pPr>
              <w:pStyle w:val="16"/>
              <w:spacing w:before="75"/>
              <w:ind w:left="106"/>
              <w:rPr>
                <w:sz w:val="20"/>
              </w:rPr>
            </w:pPr>
            <w:r>
              <w:rPr>
                <w:spacing w:val="-4"/>
                <w:sz w:val="20"/>
              </w:rPr>
              <w:t>11kw</w:t>
            </w:r>
          </w:p>
        </w:tc>
        <w:tc>
          <w:tcPr>
            <w:tcW w:w="1311" w:type="dxa"/>
            <w:tcBorders>
              <w:top w:val="single" w:color="000000" w:sz="4" w:space="0"/>
              <w:left w:val="single" w:color="000000" w:sz="4" w:space="0"/>
              <w:bottom w:val="single" w:color="000000" w:sz="4" w:space="0"/>
              <w:right w:val="single" w:color="000000" w:sz="4" w:space="0"/>
            </w:tcBorders>
          </w:tcPr>
          <w:p w14:paraId="4C378ADC">
            <w:pPr>
              <w:pStyle w:val="16"/>
              <w:spacing w:before="63"/>
              <w:ind w:left="11"/>
              <w:jc w:val="center"/>
              <w:rPr>
                <w:sz w:val="22"/>
              </w:rPr>
            </w:pPr>
            <w:r>
              <w:rPr>
                <w:spacing w:val="-10"/>
                <w:sz w:val="22"/>
              </w:rPr>
              <w:t>1</w:t>
            </w:r>
          </w:p>
        </w:tc>
      </w:tr>
      <w:tr w14:paraId="6C4AB6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1313" w:type="dxa"/>
            <w:tcBorders>
              <w:top w:val="single" w:color="000000" w:sz="4" w:space="0"/>
              <w:left w:val="single" w:color="000000" w:sz="4" w:space="0"/>
              <w:bottom w:val="single" w:color="000000" w:sz="4" w:space="0"/>
              <w:right w:val="single" w:color="000000" w:sz="4" w:space="0"/>
            </w:tcBorders>
          </w:tcPr>
          <w:p w14:paraId="5B526A6B">
            <w:pPr>
              <w:pStyle w:val="16"/>
              <w:spacing w:before="178"/>
              <w:ind w:left="7"/>
              <w:jc w:val="center"/>
              <w:rPr>
                <w:sz w:val="22"/>
              </w:rPr>
            </w:pPr>
            <w:r>
              <w:rPr>
                <w:spacing w:val="-10"/>
                <w:sz w:val="22"/>
              </w:rPr>
              <w:t>4</w:t>
            </w:r>
          </w:p>
        </w:tc>
        <w:tc>
          <w:tcPr>
            <w:tcW w:w="1313" w:type="dxa"/>
            <w:tcBorders>
              <w:top w:val="single" w:color="000000" w:sz="4" w:space="0"/>
              <w:left w:val="single" w:color="000000" w:sz="4" w:space="0"/>
              <w:bottom w:val="single" w:color="000000" w:sz="4" w:space="0"/>
              <w:right w:val="single" w:color="000000" w:sz="4" w:space="0"/>
            </w:tcBorders>
          </w:tcPr>
          <w:p w14:paraId="3221FEBE">
            <w:pPr>
              <w:pStyle w:val="16"/>
              <w:spacing w:before="178"/>
              <w:ind w:left="12"/>
              <w:jc w:val="center"/>
              <w:rPr>
                <w:sz w:val="22"/>
              </w:rPr>
            </w:pPr>
            <w:r>
              <w:rPr>
                <w:sz w:val="22"/>
              </w:rPr>
              <w:t>ZT-4-</w:t>
            </w:r>
            <w:r>
              <w:rPr>
                <w:spacing w:val="-10"/>
                <w:sz w:val="22"/>
              </w:rPr>
              <w:t>4</w:t>
            </w:r>
          </w:p>
        </w:tc>
        <w:tc>
          <w:tcPr>
            <w:tcW w:w="2362" w:type="dxa"/>
            <w:tcBorders>
              <w:top w:val="single" w:color="000000" w:sz="4" w:space="0"/>
              <w:left w:val="single" w:color="000000" w:sz="4" w:space="0"/>
              <w:bottom w:val="single" w:color="000000" w:sz="4" w:space="0"/>
              <w:right w:val="single" w:color="000000" w:sz="4" w:space="0"/>
            </w:tcBorders>
          </w:tcPr>
          <w:p w14:paraId="2E563B6C">
            <w:pPr>
              <w:pStyle w:val="16"/>
              <w:spacing w:before="178"/>
              <w:ind w:left="108"/>
              <w:rPr>
                <w:sz w:val="22"/>
              </w:rPr>
            </w:pPr>
            <w:r>
              <w:rPr>
                <w:sz w:val="22"/>
              </w:rPr>
              <w:t>Flue ducts and water pipes</w:t>
            </w:r>
          </w:p>
        </w:tc>
        <w:tc>
          <w:tcPr>
            <w:tcW w:w="3442" w:type="dxa"/>
            <w:tcBorders>
              <w:top w:val="single" w:color="000000" w:sz="4" w:space="0"/>
              <w:left w:val="single" w:color="000000" w:sz="4" w:space="0"/>
              <w:bottom w:val="single" w:color="000000" w:sz="4" w:space="0"/>
              <w:right w:val="single" w:color="000000" w:sz="4" w:space="0"/>
            </w:tcBorders>
          </w:tcPr>
          <w:p w14:paraId="744BBBAE">
            <w:pPr>
              <w:pStyle w:val="16"/>
              <w:spacing w:before="28"/>
              <w:ind w:left="106"/>
              <w:rPr>
                <w:sz w:val="20"/>
              </w:rPr>
            </w:pPr>
            <w:r>
              <w:rPr>
                <w:sz w:val="20"/>
              </w:rPr>
              <w:t>Flue pipes, valves, elbows, including insulation and refractory</w:t>
            </w:r>
          </w:p>
          <w:p w14:paraId="3AF3DD3E">
            <w:pPr>
              <w:pStyle w:val="16"/>
              <w:spacing w:before="70"/>
              <w:ind w:left="106"/>
              <w:rPr>
                <w:sz w:val="20"/>
              </w:rPr>
            </w:pPr>
            <w:r>
              <w:rPr>
                <w:sz w:val="20"/>
              </w:rPr>
              <w:t>materials, etc.</w:t>
            </w:r>
          </w:p>
        </w:tc>
        <w:tc>
          <w:tcPr>
            <w:tcW w:w="1311" w:type="dxa"/>
            <w:tcBorders>
              <w:top w:val="single" w:color="000000" w:sz="4" w:space="0"/>
              <w:left w:val="single" w:color="000000" w:sz="4" w:space="0"/>
              <w:bottom w:val="single" w:color="000000" w:sz="4" w:space="0"/>
              <w:right w:val="single" w:color="000000" w:sz="4" w:space="0"/>
            </w:tcBorders>
          </w:tcPr>
          <w:p w14:paraId="2083C32E">
            <w:pPr>
              <w:pStyle w:val="16"/>
              <w:spacing w:before="178"/>
              <w:ind w:left="11"/>
              <w:jc w:val="center"/>
              <w:rPr>
                <w:sz w:val="22"/>
              </w:rPr>
            </w:pPr>
            <w:r>
              <w:rPr>
                <w:spacing w:val="-10"/>
                <w:sz w:val="22"/>
              </w:rPr>
              <w:t>1</w:t>
            </w:r>
          </w:p>
        </w:tc>
      </w:tr>
      <w:tr w14:paraId="52891E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9" w:hRule="atLeast"/>
        </w:trPr>
        <w:tc>
          <w:tcPr>
            <w:tcW w:w="1313" w:type="dxa"/>
            <w:tcBorders>
              <w:top w:val="single" w:color="000000" w:sz="4" w:space="0"/>
              <w:left w:val="single" w:color="000000" w:sz="4" w:space="0"/>
              <w:bottom w:val="single" w:color="000000" w:sz="4" w:space="0"/>
              <w:right w:val="single" w:color="000000" w:sz="4" w:space="0"/>
            </w:tcBorders>
          </w:tcPr>
          <w:p w14:paraId="07D5E521">
            <w:pPr>
              <w:pStyle w:val="16"/>
              <w:spacing w:before="63"/>
              <w:ind w:left="7"/>
              <w:jc w:val="center"/>
              <w:rPr>
                <w:sz w:val="22"/>
              </w:rPr>
            </w:pPr>
            <w:r>
              <w:rPr>
                <w:spacing w:val="-10"/>
                <w:sz w:val="22"/>
              </w:rPr>
              <w:t>5</w:t>
            </w:r>
          </w:p>
        </w:tc>
        <w:tc>
          <w:tcPr>
            <w:tcW w:w="1313" w:type="dxa"/>
            <w:tcBorders>
              <w:top w:val="single" w:color="000000" w:sz="4" w:space="0"/>
              <w:left w:val="single" w:color="000000" w:sz="4" w:space="0"/>
              <w:bottom w:val="single" w:color="000000" w:sz="4" w:space="0"/>
              <w:right w:val="single" w:color="000000" w:sz="4" w:space="0"/>
            </w:tcBorders>
          </w:tcPr>
          <w:p w14:paraId="3E64CE38">
            <w:pPr>
              <w:pStyle w:val="16"/>
              <w:spacing w:before="63"/>
              <w:ind w:left="12"/>
              <w:jc w:val="center"/>
              <w:rPr>
                <w:sz w:val="22"/>
              </w:rPr>
            </w:pPr>
            <w:r>
              <w:rPr>
                <w:sz w:val="22"/>
              </w:rPr>
              <w:t>ZT-4-</w:t>
            </w:r>
            <w:r>
              <w:rPr>
                <w:spacing w:val="-10"/>
                <w:sz w:val="22"/>
              </w:rPr>
              <w:t>5</w:t>
            </w:r>
          </w:p>
        </w:tc>
        <w:tc>
          <w:tcPr>
            <w:tcW w:w="2362" w:type="dxa"/>
            <w:tcBorders>
              <w:top w:val="single" w:color="000000" w:sz="4" w:space="0"/>
              <w:left w:val="single" w:color="000000" w:sz="4" w:space="0"/>
              <w:bottom w:val="single" w:color="000000" w:sz="4" w:space="0"/>
              <w:right w:val="single" w:color="000000" w:sz="4" w:space="0"/>
            </w:tcBorders>
          </w:tcPr>
          <w:p w14:paraId="6AFB90A1">
            <w:pPr>
              <w:pStyle w:val="16"/>
              <w:spacing w:before="63"/>
              <w:ind w:left="108"/>
              <w:rPr>
                <w:sz w:val="22"/>
              </w:rPr>
            </w:pPr>
            <w:r>
              <w:rPr>
                <w:sz w:val="22"/>
              </w:rPr>
              <w:t>Valves and fittings</w:t>
            </w:r>
          </w:p>
        </w:tc>
        <w:tc>
          <w:tcPr>
            <w:tcW w:w="3442" w:type="dxa"/>
            <w:tcBorders>
              <w:top w:val="single" w:color="000000" w:sz="4" w:space="0"/>
              <w:left w:val="single" w:color="000000" w:sz="4" w:space="0"/>
              <w:bottom w:val="single" w:color="000000" w:sz="4" w:space="0"/>
              <w:right w:val="single" w:color="000000" w:sz="4" w:space="0"/>
            </w:tcBorders>
          </w:tcPr>
          <w:p w14:paraId="66AFB37D">
            <w:pPr>
              <w:pStyle w:val="16"/>
              <w:spacing w:before="76"/>
              <w:ind w:left="106"/>
              <w:rPr>
                <w:sz w:val="20"/>
              </w:rPr>
            </w:pPr>
            <w:r>
              <w:rPr>
                <w:sz w:val="20"/>
              </w:rPr>
              <w:t>Fan inlet joints, inlet reducers, etc.</w:t>
            </w:r>
          </w:p>
        </w:tc>
        <w:tc>
          <w:tcPr>
            <w:tcW w:w="1311" w:type="dxa"/>
            <w:tcBorders>
              <w:top w:val="single" w:color="000000" w:sz="4" w:space="0"/>
              <w:left w:val="single" w:color="000000" w:sz="4" w:space="0"/>
              <w:bottom w:val="single" w:color="000000" w:sz="4" w:space="0"/>
              <w:right w:val="single" w:color="000000" w:sz="4" w:space="0"/>
            </w:tcBorders>
          </w:tcPr>
          <w:p w14:paraId="45440CE6">
            <w:pPr>
              <w:pStyle w:val="16"/>
              <w:spacing w:before="63"/>
              <w:ind w:left="11"/>
              <w:jc w:val="center"/>
              <w:rPr>
                <w:sz w:val="22"/>
              </w:rPr>
            </w:pPr>
            <w:r>
              <w:rPr>
                <w:spacing w:val="-10"/>
                <w:sz w:val="22"/>
              </w:rPr>
              <w:t>1</w:t>
            </w:r>
          </w:p>
        </w:tc>
      </w:tr>
      <w:tr w14:paraId="176DBB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1313" w:type="dxa"/>
            <w:tcBorders>
              <w:top w:val="single" w:color="000000" w:sz="4" w:space="0"/>
              <w:left w:val="single" w:color="000000" w:sz="4" w:space="0"/>
              <w:bottom w:val="single" w:color="000000" w:sz="4" w:space="0"/>
              <w:right w:val="single" w:color="000000" w:sz="4" w:space="0"/>
            </w:tcBorders>
          </w:tcPr>
          <w:p w14:paraId="4E4B7C0E">
            <w:pPr>
              <w:pStyle w:val="16"/>
              <w:spacing w:before="77"/>
              <w:ind w:left="7"/>
              <w:jc w:val="center"/>
              <w:rPr>
                <w:sz w:val="22"/>
              </w:rPr>
            </w:pPr>
            <w:r>
              <w:rPr>
                <w:spacing w:val="-10"/>
                <w:sz w:val="22"/>
              </w:rPr>
              <w:t>6</w:t>
            </w:r>
          </w:p>
        </w:tc>
        <w:tc>
          <w:tcPr>
            <w:tcW w:w="1313" w:type="dxa"/>
            <w:tcBorders>
              <w:top w:val="single" w:color="000000" w:sz="4" w:space="0"/>
              <w:left w:val="single" w:color="000000" w:sz="4" w:space="0"/>
              <w:bottom w:val="single" w:color="000000" w:sz="4" w:space="0"/>
              <w:right w:val="single" w:color="000000" w:sz="4" w:space="0"/>
            </w:tcBorders>
          </w:tcPr>
          <w:p w14:paraId="0570BDDB">
            <w:pPr>
              <w:pStyle w:val="16"/>
              <w:spacing w:before="77"/>
              <w:ind w:left="12"/>
              <w:jc w:val="center"/>
              <w:rPr>
                <w:sz w:val="22"/>
              </w:rPr>
            </w:pPr>
            <w:r>
              <w:rPr>
                <w:sz w:val="22"/>
              </w:rPr>
              <w:t>ZT-4-</w:t>
            </w:r>
            <w:r>
              <w:rPr>
                <w:spacing w:val="-10"/>
                <w:sz w:val="22"/>
              </w:rPr>
              <w:t>6</w:t>
            </w:r>
          </w:p>
        </w:tc>
        <w:tc>
          <w:tcPr>
            <w:tcW w:w="2362" w:type="dxa"/>
            <w:tcBorders>
              <w:top w:val="single" w:color="000000" w:sz="4" w:space="0"/>
              <w:left w:val="single" w:color="000000" w:sz="4" w:space="0"/>
              <w:bottom w:val="single" w:color="000000" w:sz="4" w:space="0"/>
              <w:right w:val="single" w:color="000000" w:sz="4" w:space="0"/>
            </w:tcBorders>
          </w:tcPr>
          <w:p w14:paraId="4E5F62F4">
            <w:pPr>
              <w:pStyle w:val="16"/>
              <w:spacing w:before="77"/>
              <w:ind w:left="108"/>
              <w:rPr>
                <w:sz w:val="22"/>
              </w:rPr>
            </w:pPr>
            <w:r>
              <w:rPr>
                <w:sz w:val="22"/>
              </w:rPr>
              <w:t>Platforms, stairs and handrails</w:t>
            </w:r>
          </w:p>
        </w:tc>
        <w:tc>
          <w:tcPr>
            <w:tcW w:w="3442" w:type="dxa"/>
            <w:tcBorders>
              <w:top w:val="single" w:color="000000" w:sz="4" w:space="0"/>
              <w:left w:val="single" w:color="000000" w:sz="4" w:space="0"/>
              <w:bottom w:val="single" w:color="000000" w:sz="4" w:space="0"/>
              <w:right w:val="single" w:color="000000" w:sz="4" w:space="0"/>
            </w:tcBorders>
          </w:tcPr>
          <w:p w14:paraId="350A6C82">
            <w:pPr>
              <w:pStyle w:val="16"/>
              <w:rPr>
                <w:rFonts w:ascii="Times New Roman"/>
                <w:sz w:val="22"/>
              </w:rPr>
            </w:pPr>
          </w:p>
        </w:tc>
        <w:tc>
          <w:tcPr>
            <w:tcW w:w="1311" w:type="dxa"/>
            <w:tcBorders>
              <w:top w:val="single" w:color="000000" w:sz="4" w:space="0"/>
              <w:left w:val="single" w:color="000000" w:sz="4" w:space="0"/>
              <w:bottom w:val="single" w:color="000000" w:sz="4" w:space="0"/>
              <w:right w:val="single" w:color="000000" w:sz="4" w:space="0"/>
            </w:tcBorders>
          </w:tcPr>
          <w:p w14:paraId="41BBDAAD">
            <w:pPr>
              <w:pStyle w:val="16"/>
              <w:spacing w:before="77"/>
              <w:ind w:left="11"/>
              <w:jc w:val="center"/>
              <w:rPr>
                <w:sz w:val="22"/>
              </w:rPr>
            </w:pPr>
            <w:r>
              <w:rPr>
                <w:spacing w:val="-10"/>
                <w:sz w:val="22"/>
              </w:rPr>
              <w:t>1</w:t>
            </w:r>
          </w:p>
        </w:tc>
      </w:tr>
      <w:tr w14:paraId="725945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313" w:type="dxa"/>
            <w:tcBorders>
              <w:top w:val="single" w:color="000000" w:sz="4" w:space="0"/>
              <w:left w:val="single" w:color="000000" w:sz="4" w:space="0"/>
              <w:bottom w:val="single" w:color="000000" w:sz="4" w:space="0"/>
              <w:right w:val="single" w:color="000000" w:sz="4" w:space="0"/>
            </w:tcBorders>
          </w:tcPr>
          <w:p w14:paraId="4A75AFD3">
            <w:pPr>
              <w:pStyle w:val="16"/>
              <w:spacing w:before="53"/>
              <w:ind w:left="7"/>
              <w:jc w:val="center"/>
              <w:rPr>
                <w:sz w:val="22"/>
              </w:rPr>
            </w:pPr>
            <w:r>
              <w:rPr>
                <w:spacing w:val="-10"/>
                <w:sz w:val="22"/>
              </w:rPr>
              <w:t>7</w:t>
            </w:r>
          </w:p>
        </w:tc>
        <w:tc>
          <w:tcPr>
            <w:tcW w:w="1313" w:type="dxa"/>
            <w:tcBorders>
              <w:top w:val="single" w:color="000000" w:sz="4" w:space="0"/>
              <w:left w:val="single" w:color="000000" w:sz="4" w:space="0"/>
              <w:bottom w:val="single" w:color="000000" w:sz="4" w:space="0"/>
              <w:right w:val="single" w:color="000000" w:sz="4" w:space="0"/>
            </w:tcBorders>
          </w:tcPr>
          <w:p w14:paraId="049ABDE9">
            <w:pPr>
              <w:pStyle w:val="16"/>
              <w:spacing w:before="53"/>
              <w:ind w:left="12"/>
              <w:jc w:val="center"/>
              <w:rPr>
                <w:sz w:val="22"/>
              </w:rPr>
            </w:pPr>
            <w:r>
              <w:rPr>
                <w:sz w:val="22"/>
              </w:rPr>
              <w:t>ZT-4-</w:t>
            </w:r>
            <w:r>
              <w:rPr>
                <w:spacing w:val="-10"/>
                <w:sz w:val="22"/>
              </w:rPr>
              <w:t>7</w:t>
            </w:r>
          </w:p>
        </w:tc>
        <w:tc>
          <w:tcPr>
            <w:tcW w:w="2362" w:type="dxa"/>
            <w:tcBorders>
              <w:top w:val="single" w:color="000000" w:sz="4" w:space="0"/>
              <w:left w:val="single" w:color="000000" w:sz="4" w:space="0"/>
              <w:bottom w:val="single" w:color="000000" w:sz="4" w:space="0"/>
              <w:right w:val="single" w:color="000000" w:sz="4" w:space="0"/>
            </w:tcBorders>
          </w:tcPr>
          <w:p w14:paraId="254A66C1">
            <w:pPr>
              <w:pStyle w:val="16"/>
              <w:spacing w:before="53"/>
              <w:ind w:left="108"/>
              <w:rPr>
                <w:sz w:val="22"/>
              </w:rPr>
            </w:pPr>
            <w:r>
              <w:rPr>
                <w:sz w:val="22"/>
              </w:rPr>
              <w:t>Pipeline insulation</w:t>
            </w:r>
          </w:p>
        </w:tc>
        <w:tc>
          <w:tcPr>
            <w:tcW w:w="3442" w:type="dxa"/>
            <w:tcBorders>
              <w:top w:val="single" w:color="000000" w:sz="4" w:space="0"/>
              <w:left w:val="single" w:color="000000" w:sz="4" w:space="0"/>
              <w:bottom w:val="single" w:color="000000" w:sz="4" w:space="0"/>
              <w:right w:val="single" w:color="000000" w:sz="4" w:space="0"/>
            </w:tcBorders>
          </w:tcPr>
          <w:p w14:paraId="19E62D39">
            <w:pPr>
              <w:pStyle w:val="16"/>
              <w:rPr>
                <w:rFonts w:ascii="Times New Roman"/>
                <w:sz w:val="22"/>
              </w:rPr>
            </w:pPr>
          </w:p>
        </w:tc>
        <w:tc>
          <w:tcPr>
            <w:tcW w:w="1311" w:type="dxa"/>
            <w:tcBorders>
              <w:top w:val="single" w:color="000000" w:sz="4" w:space="0"/>
              <w:left w:val="single" w:color="000000" w:sz="4" w:space="0"/>
              <w:bottom w:val="single" w:color="000000" w:sz="4" w:space="0"/>
              <w:right w:val="single" w:color="000000" w:sz="4" w:space="0"/>
            </w:tcBorders>
          </w:tcPr>
          <w:p w14:paraId="4A63067F">
            <w:pPr>
              <w:pStyle w:val="16"/>
              <w:spacing w:before="53"/>
              <w:ind w:left="11"/>
              <w:jc w:val="center"/>
              <w:rPr>
                <w:sz w:val="22"/>
              </w:rPr>
            </w:pPr>
            <w:r>
              <w:rPr>
                <w:spacing w:val="-10"/>
                <w:sz w:val="22"/>
              </w:rPr>
              <w:t>1</w:t>
            </w:r>
          </w:p>
        </w:tc>
      </w:tr>
      <w:tr w14:paraId="72FFEE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313" w:type="dxa"/>
            <w:tcBorders>
              <w:top w:val="single" w:color="000000" w:sz="4" w:space="0"/>
              <w:left w:val="single" w:color="000000" w:sz="4" w:space="0"/>
              <w:bottom w:val="single" w:color="000000" w:sz="4" w:space="0"/>
              <w:right w:val="single" w:color="000000" w:sz="4" w:space="0"/>
            </w:tcBorders>
          </w:tcPr>
          <w:p w14:paraId="48B3693C">
            <w:pPr>
              <w:pStyle w:val="16"/>
              <w:spacing w:before="53"/>
              <w:ind w:left="7"/>
              <w:jc w:val="center"/>
              <w:rPr>
                <w:sz w:val="22"/>
              </w:rPr>
            </w:pPr>
            <w:r>
              <w:rPr>
                <w:spacing w:val="-10"/>
                <w:sz w:val="22"/>
              </w:rPr>
              <w:t>8</w:t>
            </w:r>
          </w:p>
        </w:tc>
        <w:tc>
          <w:tcPr>
            <w:tcW w:w="1313" w:type="dxa"/>
            <w:tcBorders>
              <w:top w:val="single" w:color="000000" w:sz="4" w:space="0"/>
              <w:left w:val="single" w:color="000000" w:sz="4" w:space="0"/>
              <w:bottom w:val="single" w:color="000000" w:sz="4" w:space="0"/>
              <w:right w:val="single" w:color="000000" w:sz="4" w:space="0"/>
            </w:tcBorders>
          </w:tcPr>
          <w:p w14:paraId="73392254">
            <w:pPr>
              <w:pStyle w:val="16"/>
              <w:spacing w:before="53"/>
              <w:ind w:left="12"/>
              <w:jc w:val="center"/>
              <w:rPr>
                <w:sz w:val="22"/>
              </w:rPr>
            </w:pPr>
            <w:r>
              <w:rPr>
                <w:sz w:val="22"/>
              </w:rPr>
              <w:t>ZT-4-</w:t>
            </w:r>
            <w:r>
              <w:rPr>
                <w:spacing w:val="-10"/>
                <w:sz w:val="22"/>
              </w:rPr>
              <w:t>8</w:t>
            </w:r>
          </w:p>
        </w:tc>
        <w:tc>
          <w:tcPr>
            <w:tcW w:w="2362" w:type="dxa"/>
            <w:tcBorders>
              <w:top w:val="single" w:color="000000" w:sz="4" w:space="0"/>
              <w:left w:val="single" w:color="000000" w:sz="4" w:space="0"/>
              <w:bottom w:val="single" w:color="000000" w:sz="4" w:space="0"/>
              <w:right w:val="single" w:color="000000" w:sz="4" w:space="0"/>
            </w:tcBorders>
          </w:tcPr>
          <w:p w14:paraId="072DD706">
            <w:pPr>
              <w:pStyle w:val="16"/>
              <w:spacing w:before="53"/>
              <w:ind w:left="108"/>
              <w:rPr>
                <w:sz w:val="22"/>
              </w:rPr>
            </w:pPr>
            <w:r>
              <w:rPr>
                <w:sz w:val="22"/>
              </w:rPr>
              <w:t>Topcoat</w:t>
            </w:r>
          </w:p>
        </w:tc>
        <w:tc>
          <w:tcPr>
            <w:tcW w:w="3442" w:type="dxa"/>
            <w:tcBorders>
              <w:top w:val="single" w:color="000000" w:sz="4" w:space="0"/>
              <w:left w:val="single" w:color="000000" w:sz="4" w:space="0"/>
              <w:bottom w:val="single" w:color="000000" w:sz="4" w:space="0"/>
              <w:right w:val="single" w:color="000000" w:sz="4" w:space="0"/>
            </w:tcBorders>
          </w:tcPr>
          <w:p w14:paraId="261EC942">
            <w:pPr>
              <w:pStyle w:val="16"/>
              <w:rPr>
                <w:rFonts w:ascii="Times New Roman"/>
                <w:sz w:val="22"/>
              </w:rPr>
            </w:pPr>
          </w:p>
        </w:tc>
        <w:tc>
          <w:tcPr>
            <w:tcW w:w="1311" w:type="dxa"/>
            <w:tcBorders>
              <w:top w:val="single" w:color="000000" w:sz="4" w:space="0"/>
              <w:left w:val="single" w:color="000000" w:sz="4" w:space="0"/>
              <w:bottom w:val="single" w:color="000000" w:sz="4" w:space="0"/>
              <w:right w:val="single" w:color="000000" w:sz="4" w:space="0"/>
            </w:tcBorders>
          </w:tcPr>
          <w:p w14:paraId="39ED2BDB">
            <w:pPr>
              <w:pStyle w:val="16"/>
              <w:spacing w:before="53"/>
              <w:ind w:left="11"/>
              <w:jc w:val="center"/>
              <w:rPr>
                <w:sz w:val="22"/>
              </w:rPr>
            </w:pPr>
            <w:r>
              <w:rPr>
                <w:spacing w:val="-10"/>
                <w:sz w:val="22"/>
              </w:rPr>
              <w:t>1</w:t>
            </w:r>
          </w:p>
        </w:tc>
      </w:tr>
    </w:tbl>
    <w:p w14:paraId="748F9EEB">
      <w:pPr>
        <w:pStyle w:val="5"/>
        <w:spacing w:before="248"/>
      </w:pPr>
    </w:p>
    <w:p w14:paraId="750007B9">
      <w:pPr>
        <w:pStyle w:val="5"/>
        <w:ind w:left="230"/>
        <w:rPr>
          <w:rFonts w:ascii="微软雅黑" w:eastAsia="微软雅黑"/>
        </w:rPr>
      </w:pPr>
      <w:r>
        <w:rPr>
          <w:rFonts w:ascii="微软雅黑" w:eastAsia="微软雅黑"/>
        </w:rPr>
        <w:t>The complete standard</w:t>
      </w:r>
      <w:r>
        <w:rPr>
          <w:rFonts w:ascii="微软雅黑" w:eastAsia="微软雅黑"/>
        </w:rPr>
        <w:t xml:space="preserve"> configuration of the 5T/D equipment is quoted at RMB 8.60</w:t>
      </w:r>
      <w:r>
        <w:rPr>
          <w:rFonts w:ascii="微软雅黑" w:eastAsia="微软雅黑"/>
        </w:rPr>
        <w:t xml:space="preserve"> million (tax-inclusive market</w:t>
      </w:r>
      <w:r>
        <w:rPr>
          <w:rFonts w:ascii="微软雅黑" w:eastAsia="微软雅黑"/>
        </w:rPr>
        <w:t xml:space="preserve"> price), excluding transportation, installation and commissioning.</w:t>
      </w:r>
    </w:p>
    <w:p w14:paraId="0E935E5A">
      <w:pPr>
        <w:pStyle w:val="5"/>
        <w:spacing w:before="93"/>
        <w:rPr>
          <w:rFonts w:ascii="微软雅黑"/>
        </w:rPr>
      </w:pPr>
    </w:p>
    <w:p w14:paraId="32DAD673">
      <w:pPr>
        <w:pStyle w:val="4"/>
        <w:numPr>
          <w:ilvl w:val="0"/>
          <w:numId w:val="0"/>
        </w:numPr>
        <w:tabs>
          <w:tab w:val="left" w:pos="690"/>
        </w:tabs>
        <w:spacing w:before="0" w:after="0" w:line="240" w:lineRule="auto"/>
        <w:ind w:left="230" w:leftChars="0" w:right="0" w:rightChars="0"/>
        <w:jc w:val="left"/>
      </w:pPr>
      <w:bookmarkStart w:id="12" w:name="_bookmark13"/>
      <w:bookmarkEnd w:id="12"/>
      <w:r>
        <w:rPr>
          <w:rFonts w:hint="default" w:ascii="Arial" w:hAnsi="Arial" w:cs="Arial"/>
          <w:b/>
          <w:bCs/>
          <w:lang w:val="en-US" w:eastAsia="zh-CN"/>
        </w:rPr>
        <w:t>2.4 Treatment</w:t>
      </w:r>
      <w:r>
        <w:rPr>
          <w:rFonts w:hint="eastAsia"/>
          <w:spacing w:val="-3"/>
          <w:lang w:val="en-US" w:eastAsia="zh-CN"/>
        </w:rPr>
        <w:t/>
      </w:r>
      <w:r>
        <w:rPr/>
        <w:t xml:space="preserve"> Performance</w:t>
      </w:r>
    </w:p>
    <w:p w14:paraId="22DACDEB">
      <w:pPr>
        <w:pStyle w:val="5"/>
        <w:spacing w:before="78"/>
        <w:rPr>
          <w:sz w:val="28"/>
        </w:rPr>
      </w:pPr>
    </w:p>
    <w:p w14:paraId="34AE3258">
      <w:pPr>
        <w:pStyle w:val="5"/>
        <w:spacing w:line="508" w:lineRule="auto"/>
        <w:ind w:left="230" w:right="677" w:firstLine="480"/>
      </w:pPr>
      <w:r>
        <w:rPr/>
        <w:t>Flue gas treatment of this technology: semi-dry + dry</w:t>
      </w:r>
      <w:r>
        <w:rPr>
          <w:rFonts w:ascii="Times New Roman" w:eastAsia="Times New Roman"/>
        </w:rPr>
        <w:t xml:space="preserve"> deacidification.</w:t>
      </w:r>
      <w:r>
        <w:rPr/>
        <w:t xml:space="preserve"> After high-temperature decomposition and three-stage cooling, the flue gas enters the bag filter for dust removal, the deacidification device removes acidic gases, and after activated carbon adsorption it is discharged in compliance with standards. The slag is mechanically squeezed by the grate</w:t>
      </w:r>
      <w:r>
        <w:rPr/>
        <w:t xml:space="preserve"> and magnetically separated by the magnetic separator, and discharged out of the furnace periodically. The secondary pollutants in the application of this technology are mainly dioxins, nitrogen</w:t>
      </w:r>
      <w:r>
        <w:rPr/>
        <w:t xml:space="preserve"> oxides, carbon monoxide, sulfur dioxide, hydrogen chloride, mercury and its compounds in the flue gas. Their main control measures, hazards and treatment effects are shown in the table below.</w:t>
      </w:r>
    </w:p>
    <w:p w14:paraId="569FAECF">
      <w:pPr>
        <w:pStyle w:val="5"/>
      </w:pPr>
    </w:p>
    <w:p w14:paraId="5165491E">
      <w:pPr>
        <w:pStyle w:val="5"/>
        <w:spacing w:before="40"/>
      </w:pPr>
    </w:p>
    <w:p w14:paraId="59D9CB2A">
      <w:pPr>
        <w:spacing w:before="0"/>
        <w:ind w:left="3444" w:right="0" w:firstLine="0"/>
        <w:jc w:val="left"/>
        <w:rPr>
          <w:sz w:val="24"/>
        </w:rPr>
      </w:pPr>
      <w:r>
        <w:rPr>
          <w:sz w:val="24"/>
        </w:rPr>
        <w:t>Secondary Pollution and</w:t>
      </w:r>
      <w:r>
        <w:rPr>
          <w:sz w:val="24"/>
        </w:rPr>
        <w:t xml:space="preserve"> Control</w:t>
      </w:r>
      <w:r>
        <w:rPr>
          <w:rFonts w:ascii="Times New Roman" w:eastAsia="Times New Roman"/>
          <w:b/>
          <w:sz w:val="24"/>
        </w:rPr>
        <w:t xml:space="preserve"> Table</w:t>
      </w:r>
      <w:r>
        <w:rPr>
          <w:rFonts w:ascii="Times New Roman" w:eastAsia="Times New Roman"/>
          <w:b/>
          <w:position w:val="8"/>
          <w:sz w:val="16"/>
        </w:rPr>
        <w:t xml:space="preserve"> (mg/</w:t>
      </w:r>
      <w:r>
        <w:rPr>
          <w:sz w:val="24"/>
        </w:rPr>
        <w:t>m3)</w:t>
      </w:r>
    </w:p>
    <w:p w14:paraId="6C02F191">
      <w:pPr>
        <w:pStyle w:val="5"/>
        <w:spacing w:before="9"/>
        <w:rPr>
          <w:sz w:val="15"/>
        </w:rPr>
      </w:pPr>
    </w:p>
    <w:tbl>
      <w:tblPr>
        <w:tblStyle w:val="12"/>
        <w:tblW w:w="0" w:type="auto"/>
        <w:tblInd w:w="6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6"/>
        <w:gridCol w:w="1217"/>
        <w:gridCol w:w="1076"/>
        <w:gridCol w:w="3481"/>
        <w:gridCol w:w="1191"/>
      </w:tblGrid>
      <w:tr w14:paraId="3EAAF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1966" w:type="dxa"/>
          </w:tcPr>
          <w:p w14:paraId="11C18F95">
            <w:pPr>
              <w:pStyle w:val="16"/>
              <w:spacing w:before="246"/>
              <w:ind w:left="90" w:right="84"/>
              <w:jc w:val="center"/>
              <w:rPr>
                <w:sz w:val="21"/>
              </w:rPr>
            </w:pPr>
            <w:r>
              <w:rPr>
                <w:sz w:val="21"/>
              </w:rPr>
              <w:t>Secondary Pollutant</w:t>
            </w:r>
          </w:p>
        </w:tc>
        <w:tc>
          <w:tcPr>
            <w:tcW w:w="1217" w:type="dxa"/>
          </w:tcPr>
          <w:p w14:paraId="7C4AD652">
            <w:pPr>
              <w:pStyle w:val="16"/>
              <w:spacing w:before="246"/>
              <w:ind w:left="12"/>
              <w:jc w:val="center"/>
              <w:rPr>
                <w:sz w:val="21"/>
              </w:rPr>
            </w:pPr>
            <w:r>
              <w:rPr>
                <w:sz w:val="21"/>
              </w:rPr>
              <w:t>Test Result</w:t>
            </w:r>
          </w:p>
        </w:tc>
        <w:tc>
          <w:tcPr>
            <w:tcW w:w="1076" w:type="dxa"/>
          </w:tcPr>
          <w:p w14:paraId="703C2685">
            <w:pPr>
              <w:pStyle w:val="16"/>
              <w:spacing w:before="246"/>
              <w:ind w:left="32" w:right="24"/>
              <w:jc w:val="center"/>
              <w:rPr>
                <w:sz w:val="21"/>
              </w:rPr>
            </w:pPr>
            <w:r>
              <w:rPr>
                <w:sz w:val="21"/>
              </w:rPr>
              <w:t>Hazard</w:t>
            </w:r>
          </w:p>
        </w:tc>
        <w:tc>
          <w:tcPr>
            <w:tcW w:w="3481" w:type="dxa"/>
          </w:tcPr>
          <w:p w14:paraId="389A91A5">
            <w:pPr>
              <w:pStyle w:val="16"/>
              <w:spacing w:before="246"/>
              <w:ind w:left="45" w:right="38"/>
              <w:jc w:val="center"/>
              <w:rPr>
                <w:sz w:val="21"/>
              </w:rPr>
            </w:pPr>
            <w:r>
              <w:rPr>
                <w:sz w:val="21"/>
              </w:rPr>
              <w:t>Control Measures</w:t>
            </w:r>
          </w:p>
        </w:tc>
        <w:tc>
          <w:tcPr>
            <w:tcW w:w="1191" w:type="dxa"/>
          </w:tcPr>
          <w:p w14:paraId="0323B092">
            <w:pPr>
              <w:pStyle w:val="16"/>
              <w:spacing w:before="246"/>
              <w:ind w:left="171"/>
              <w:rPr>
                <w:sz w:val="21"/>
              </w:rPr>
            </w:pPr>
            <w:r>
              <w:rPr>
                <w:sz w:val="21"/>
              </w:rPr>
              <w:t>Treatment Effect</w:t>
            </w:r>
          </w:p>
        </w:tc>
      </w:tr>
      <w:tr w14:paraId="00484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1966" w:type="dxa"/>
            <w:tcBorders>
              <w:bottom w:val="nil"/>
            </w:tcBorders>
          </w:tcPr>
          <w:p w14:paraId="4B4F9A55">
            <w:pPr>
              <w:pStyle w:val="16"/>
              <w:rPr>
                <w:rFonts w:ascii="Times New Roman"/>
                <w:sz w:val="22"/>
              </w:rPr>
            </w:pPr>
          </w:p>
        </w:tc>
        <w:tc>
          <w:tcPr>
            <w:tcW w:w="1217" w:type="dxa"/>
            <w:tcBorders>
              <w:bottom w:val="nil"/>
            </w:tcBorders>
          </w:tcPr>
          <w:p w14:paraId="6AEFF394">
            <w:pPr>
              <w:pStyle w:val="16"/>
              <w:rPr>
                <w:rFonts w:ascii="Times New Roman"/>
                <w:sz w:val="22"/>
              </w:rPr>
            </w:pPr>
          </w:p>
        </w:tc>
        <w:tc>
          <w:tcPr>
            <w:tcW w:w="1076" w:type="dxa"/>
            <w:tcBorders>
              <w:bottom w:val="nil"/>
            </w:tcBorders>
          </w:tcPr>
          <w:p w14:paraId="635A2FA7">
            <w:pPr>
              <w:pStyle w:val="16"/>
              <w:rPr>
                <w:rFonts w:ascii="Times New Roman"/>
                <w:sz w:val="22"/>
              </w:rPr>
            </w:pPr>
          </w:p>
        </w:tc>
        <w:tc>
          <w:tcPr>
            <w:tcW w:w="3481" w:type="dxa"/>
            <w:tcBorders>
              <w:bottom w:val="nil"/>
            </w:tcBorders>
          </w:tcPr>
          <w:p w14:paraId="79472523">
            <w:pPr>
              <w:pStyle w:val="16"/>
              <w:spacing w:before="24" w:line="278" w:lineRule="atLeast"/>
              <w:ind w:left="45" w:right="36"/>
              <w:jc w:val="center"/>
              <w:rPr>
                <w:sz w:val="22"/>
              </w:rPr>
            </w:pPr>
            <w:r>
              <w:rPr>
                <w:sz w:val="22"/>
              </w:rPr>
              <w:t>Combined use of activated carbon adsorption, bag filter, etc.</w:t>
            </w:r>
          </w:p>
        </w:tc>
        <w:tc>
          <w:tcPr>
            <w:tcW w:w="1191" w:type="dxa"/>
            <w:vMerge w:val="restart"/>
          </w:tcPr>
          <w:p w14:paraId="01109E0E">
            <w:pPr>
              <w:pStyle w:val="16"/>
              <w:rPr>
                <w:sz w:val="22"/>
              </w:rPr>
            </w:pPr>
          </w:p>
          <w:p w14:paraId="6E85D84E">
            <w:pPr>
              <w:pStyle w:val="16"/>
              <w:rPr>
                <w:sz w:val="22"/>
              </w:rPr>
            </w:pPr>
          </w:p>
          <w:p w14:paraId="028CCC87">
            <w:pPr>
              <w:pStyle w:val="16"/>
              <w:rPr>
                <w:sz w:val="22"/>
              </w:rPr>
            </w:pPr>
          </w:p>
          <w:p w14:paraId="59DA8C5D">
            <w:pPr>
              <w:pStyle w:val="16"/>
              <w:rPr>
                <w:sz w:val="22"/>
              </w:rPr>
            </w:pPr>
          </w:p>
          <w:p w14:paraId="00E56315">
            <w:pPr>
              <w:pStyle w:val="16"/>
              <w:spacing w:before="122"/>
              <w:rPr>
                <w:sz w:val="22"/>
              </w:rPr>
            </w:pPr>
          </w:p>
          <w:p w14:paraId="7DC36E94">
            <w:pPr>
              <w:pStyle w:val="16"/>
              <w:spacing w:line="278" w:lineRule="auto"/>
              <w:ind w:left="373" w:right="143" w:hanging="221"/>
              <w:rPr>
                <w:sz w:val="22"/>
              </w:rPr>
            </w:pPr>
            <w:r>
              <w:rPr>
                <w:sz w:val="22"/>
              </w:rPr>
              <w:t>Stable compliant</w:t>
            </w:r>
            <w:r>
              <w:rPr>
                <w:sz w:val="22"/>
              </w:rPr>
              <w:t xml:space="preserve"> discharge</w:t>
            </w:r>
          </w:p>
        </w:tc>
      </w:tr>
      <w:tr w14:paraId="0A2E4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1" w:hRule="atLeast"/>
        </w:trPr>
        <w:tc>
          <w:tcPr>
            <w:tcW w:w="1966" w:type="dxa"/>
            <w:tcBorders>
              <w:top w:val="nil"/>
              <w:bottom w:val="nil"/>
            </w:tcBorders>
          </w:tcPr>
          <w:p w14:paraId="58B1540D">
            <w:pPr>
              <w:pStyle w:val="16"/>
              <w:spacing w:before="179"/>
              <w:ind w:left="90" w:right="84"/>
              <w:jc w:val="center"/>
              <w:rPr>
                <w:sz w:val="22"/>
              </w:rPr>
            </w:pPr>
            <w:r>
              <w:rPr>
                <w:sz w:val="22"/>
              </w:rPr>
              <w:t>Particulate matter</w:t>
            </w:r>
          </w:p>
        </w:tc>
        <w:tc>
          <w:tcPr>
            <w:tcW w:w="1217" w:type="dxa"/>
            <w:tcBorders>
              <w:top w:val="nil"/>
              <w:bottom w:val="nil"/>
            </w:tcBorders>
          </w:tcPr>
          <w:p w14:paraId="19B200C4">
            <w:pPr>
              <w:pStyle w:val="16"/>
              <w:spacing w:before="179"/>
              <w:ind w:left="12"/>
              <w:jc w:val="center"/>
              <w:rPr>
                <w:sz w:val="22"/>
              </w:rPr>
            </w:pPr>
            <w:r>
              <w:rPr>
                <w:spacing w:val="-4"/>
                <w:sz w:val="22"/>
              </w:rPr>
              <w:t>8.93</w:t>
            </w:r>
          </w:p>
        </w:tc>
        <w:tc>
          <w:tcPr>
            <w:tcW w:w="1076" w:type="dxa"/>
            <w:tcBorders>
              <w:top w:val="nil"/>
              <w:bottom w:val="nil"/>
            </w:tcBorders>
          </w:tcPr>
          <w:p w14:paraId="1583CFAF">
            <w:pPr>
              <w:pStyle w:val="16"/>
              <w:rPr>
                <w:rFonts w:ascii="Times New Roman"/>
                <w:sz w:val="22"/>
              </w:rPr>
            </w:pPr>
          </w:p>
        </w:tc>
        <w:tc>
          <w:tcPr>
            <w:tcW w:w="3481" w:type="dxa"/>
            <w:tcBorders>
              <w:top w:val="nil"/>
              <w:bottom w:val="nil"/>
            </w:tcBorders>
          </w:tcPr>
          <w:p w14:paraId="11064781">
            <w:pPr>
              <w:pStyle w:val="16"/>
              <w:spacing w:before="16"/>
              <w:ind w:left="107"/>
              <w:rPr>
                <w:sz w:val="22"/>
              </w:rPr>
            </w:pPr>
            <w:r>
              <w:rPr>
                <w:sz w:val="22"/>
              </w:rPr>
              <w:t>Process interception of particulate matter. The intercepted fly ash is</w:t>
            </w:r>
          </w:p>
          <w:p w14:paraId="247D7D38">
            <w:pPr>
              <w:pStyle w:val="16"/>
              <w:spacing w:before="45" w:line="279" w:lineRule="atLeast"/>
              <w:ind w:left="198"/>
              <w:rPr>
                <w:sz w:val="22"/>
              </w:rPr>
            </w:pPr>
            <w:r>
              <w:rPr>
                <w:sz w:val="22"/>
              </w:rPr>
              <w:t>solidified and stabilized and disposed of as hazardous waste in accordance</w:t>
            </w:r>
          </w:p>
        </w:tc>
        <w:tc>
          <w:tcPr>
            <w:tcW w:w="1191" w:type="dxa"/>
            <w:vMerge w:val="continue"/>
            <w:tcBorders>
              <w:top w:val="nil"/>
            </w:tcBorders>
          </w:tcPr>
          <w:p w14:paraId="3D6DD678">
            <w:pPr>
              <w:rPr>
                <w:sz w:val="2"/>
                <w:szCs w:val="2"/>
              </w:rPr>
            </w:pPr>
          </w:p>
        </w:tc>
      </w:tr>
      <w:tr w14:paraId="3722E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966" w:type="dxa"/>
            <w:tcBorders>
              <w:top w:val="nil"/>
            </w:tcBorders>
          </w:tcPr>
          <w:p w14:paraId="68E5D6AB">
            <w:pPr>
              <w:pStyle w:val="16"/>
              <w:rPr>
                <w:rFonts w:ascii="Times New Roman"/>
                <w:sz w:val="22"/>
              </w:rPr>
            </w:pPr>
          </w:p>
        </w:tc>
        <w:tc>
          <w:tcPr>
            <w:tcW w:w="1217" w:type="dxa"/>
            <w:tcBorders>
              <w:top w:val="nil"/>
            </w:tcBorders>
          </w:tcPr>
          <w:p w14:paraId="58992947">
            <w:pPr>
              <w:pStyle w:val="16"/>
              <w:rPr>
                <w:rFonts w:ascii="Times New Roman"/>
                <w:sz w:val="22"/>
              </w:rPr>
            </w:pPr>
          </w:p>
        </w:tc>
        <w:tc>
          <w:tcPr>
            <w:tcW w:w="1076" w:type="dxa"/>
            <w:tcBorders>
              <w:top w:val="nil"/>
              <w:bottom w:val="nil"/>
            </w:tcBorders>
          </w:tcPr>
          <w:p w14:paraId="4448E547">
            <w:pPr>
              <w:pStyle w:val="16"/>
              <w:spacing w:before="58" w:line="243" w:lineRule="atLeast"/>
              <w:ind w:left="32" w:right="24"/>
              <w:jc w:val="center"/>
              <w:rPr>
                <w:sz w:val="22"/>
              </w:rPr>
            </w:pPr>
            <w:r>
              <w:rPr>
                <w:sz w:val="22"/>
              </w:rPr>
              <w:t>direct</w:t>
            </w:r>
          </w:p>
        </w:tc>
        <w:tc>
          <w:tcPr>
            <w:tcW w:w="3481" w:type="dxa"/>
            <w:tcBorders>
              <w:top w:val="nil"/>
            </w:tcBorders>
          </w:tcPr>
          <w:p w14:paraId="2BD64713">
            <w:pPr>
              <w:pStyle w:val="16"/>
              <w:spacing w:before="17"/>
              <w:ind w:left="45" w:right="35"/>
              <w:jc w:val="center"/>
              <w:rPr>
                <w:sz w:val="22"/>
              </w:rPr>
            </w:pPr>
            <w:r>
              <w:rPr>
                <w:sz w:val="22"/>
              </w:rPr>
              <w:t>with hazardous waste management requirements.</w:t>
            </w:r>
          </w:p>
        </w:tc>
        <w:tc>
          <w:tcPr>
            <w:tcW w:w="1191" w:type="dxa"/>
            <w:vMerge w:val="continue"/>
            <w:tcBorders>
              <w:top w:val="nil"/>
            </w:tcBorders>
          </w:tcPr>
          <w:p w14:paraId="5076CAEE">
            <w:pPr>
              <w:rPr>
                <w:sz w:val="2"/>
                <w:szCs w:val="2"/>
              </w:rPr>
            </w:pPr>
          </w:p>
        </w:tc>
      </w:tr>
      <w:tr w14:paraId="6C6A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966" w:type="dxa"/>
          </w:tcPr>
          <w:p w14:paraId="70759C5A">
            <w:pPr>
              <w:pStyle w:val="16"/>
              <w:spacing w:before="185"/>
              <w:ind w:left="90" w:right="84"/>
              <w:jc w:val="center"/>
              <w:rPr>
                <w:sz w:val="22"/>
              </w:rPr>
            </w:pPr>
            <w:r>
              <w:rPr>
                <w:sz w:val="22"/>
              </w:rPr>
              <w:t>Carbon monoxide</w:t>
            </w:r>
          </w:p>
        </w:tc>
        <w:tc>
          <w:tcPr>
            <w:tcW w:w="1217" w:type="dxa"/>
          </w:tcPr>
          <w:p w14:paraId="08612B84">
            <w:pPr>
              <w:pStyle w:val="16"/>
              <w:spacing w:before="185"/>
              <w:ind w:left="12"/>
              <w:jc w:val="center"/>
              <w:rPr>
                <w:sz w:val="22"/>
              </w:rPr>
            </w:pPr>
            <w:r>
              <w:rPr>
                <w:spacing w:val="-5"/>
                <w:sz w:val="22"/>
              </w:rPr>
              <w:t>50</w:t>
            </w:r>
          </w:p>
        </w:tc>
        <w:tc>
          <w:tcPr>
            <w:tcW w:w="1076" w:type="dxa"/>
            <w:tcBorders>
              <w:top w:val="nil"/>
              <w:bottom w:val="nil"/>
            </w:tcBorders>
          </w:tcPr>
          <w:p w14:paraId="4D98D742">
            <w:pPr>
              <w:pStyle w:val="16"/>
              <w:spacing w:line="320" w:lineRule="atLeast"/>
              <w:ind w:left="206" w:right="73" w:hanging="99"/>
              <w:rPr>
                <w:sz w:val="22"/>
              </w:rPr>
            </w:pPr>
            <w:r>
              <w:rPr>
                <w:sz w:val="22"/>
              </w:rPr>
              <w:t>pollutes the atmosphere and indirectly affects</w:t>
            </w:r>
          </w:p>
        </w:tc>
        <w:tc>
          <w:tcPr>
            <w:tcW w:w="3481" w:type="dxa"/>
          </w:tcPr>
          <w:p w14:paraId="527C1D55">
            <w:pPr>
              <w:pStyle w:val="16"/>
              <w:spacing w:before="22"/>
              <w:ind w:left="45"/>
              <w:jc w:val="center"/>
              <w:rPr>
                <w:sz w:val="22"/>
              </w:rPr>
            </w:pPr>
            <w:r>
              <w:rPr>
                <w:sz w:val="22"/>
              </w:rPr>
              <w:t>Control the secondary combustion chamber temperature and flue gas residence time to</w:t>
            </w:r>
          </w:p>
          <w:p w14:paraId="0E1979E3">
            <w:pPr>
              <w:pStyle w:val="16"/>
              <w:spacing w:before="44"/>
              <w:ind w:left="45" w:right="38"/>
              <w:jc w:val="center"/>
              <w:rPr>
                <w:sz w:val="22"/>
              </w:rPr>
            </w:pPr>
            <w:r>
              <w:rPr>
                <w:sz w:val="22"/>
              </w:rPr>
              <w:t>thoroughly control its generation.</w:t>
            </w:r>
          </w:p>
        </w:tc>
        <w:tc>
          <w:tcPr>
            <w:tcW w:w="1191" w:type="dxa"/>
            <w:vMerge w:val="continue"/>
            <w:tcBorders>
              <w:top w:val="nil"/>
            </w:tcBorders>
          </w:tcPr>
          <w:p w14:paraId="1EDE7DE2">
            <w:pPr>
              <w:rPr>
                <w:sz w:val="2"/>
                <w:szCs w:val="2"/>
              </w:rPr>
            </w:pPr>
          </w:p>
        </w:tc>
      </w:tr>
      <w:tr w14:paraId="1EED63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1966" w:type="dxa"/>
          </w:tcPr>
          <w:p w14:paraId="416EF9A9">
            <w:pPr>
              <w:pStyle w:val="16"/>
              <w:spacing w:before="22"/>
              <w:ind w:left="90" w:right="84"/>
              <w:jc w:val="center"/>
              <w:rPr>
                <w:sz w:val="22"/>
              </w:rPr>
            </w:pPr>
            <w:r>
              <w:rPr>
                <w:sz w:val="22"/>
              </w:rPr>
              <w:t>Nitrogen oxides</w:t>
            </w:r>
          </w:p>
        </w:tc>
        <w:tc>
          <w:tcPr>
            <w:tcW w:w="1217" w:type="dxa"/>
          </w:tcPr>
          <w:p w14:paraId="3D8CB6C5">
            <w:pPr>
              <w:pStyle w:val="16"/>
              <w:spacing w:before="22"/>
              <w:ind w:left="12"/>
              <w:jc w:val="center"/>
              <w:rPr>
                <w:sz w:val="22"/>
              </w:rPr>
            </w:pPr>
            <w:r>
              <w:rPr>
                <w:spacing w:val="-5"/>
                <w:sz w:val="22"/>
              </w:rPr>
              <w:t>92</w:t>
            </w:r>
          </w:p>
        </w:tc>
        <w:tc>
          <w:tcPr>
            <w:tcW w:w="1076" w:type="dxa"/>
            <w:tcBorders>
              <w:top w:val="nil"/>
              <w:bottom w:val="nil"/>
            </w:tcBorders>
          </w:tcPr>
          <w:p w14:paraId="5C0FA3FE">
            <w:pPr>
              <w:pStyle w:val="16"/>
              <w:spacing w:before="43" w:line="262" w:lineRule="atLeast"/>
              <w:ind w:left="32" w:right="21"/>
              <w:jc w:val="center"/>
              <w:rPr>
                <w:sz w:val="22"/>
              </w:rPr>
            </w:pPr>
            <w:r>
              <w:rPr>
                <w:sz w:val="22"/>
              </w:rPr>
              <w:t>water and soil</w:t>
            </w:r>
          </w:p>
        </w:tc>
        <w:tc>
          <w:tcPr>
            <w:tcW w:w="3481" w:type="dxa"/>
            <w:tcBorders>
              <w:bottom w:val="nil"/>
            </w:tcBorders>
          </w:tcPr>
          <w:p w14:paraId="4297CC03">
            <w:pPr>
              <w:pStyle w:val="16"/>
              <w:rPr>
                <w:rFonts w:ascii="Times New Roman"/>
                <w:sz w:val="22"/>
              </w:rPr>
            </w:pPr>
          </w:p>
        </w:tc>
        <w:tc>
          <w:tcPr>
            <w:tcW w:w="1191" w:type="dxa"/>
            <w:vMerge w:val="continue"/>
            <w:tcBorders>
              <w:top w:val="nil"/>
            </w:tcBorders>
          </w:tcPr>
          <w:p w14:paraId="7823A275">
            <w:pPr>
              <w:rPr>
                <w:sz w:val="2"/>
                <w:szCs w:val="2"/>
              </w:rPr>
            </w:pPr>
          </w:p>
        </w:tc>
      </w:tr>
      <w:tr w14:paraId="0332B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966" w:type="dxa"/>
          </w:tcPr>
          <w:p w14:paraId="76B7C03E">
            <w:pPr>
              <w:pStyle w:val="16"/>
              <w:spacing w:before="22"/>
              <w:ind w:left="90" w:right="84"/>
              <w:jc w:val="center"/>
              <w:rPr>
                <w:sz w:val="22"/>
              </w:rPr>
            </w:pPr>
            <w:r>
              <w:rPr>
                <w:sz w:val="22"/>
              </w:rPr>
              <w:t>Sulfur dioxide</w:t>
            </w:r>
          </w:p>
        </w:tc>
        <w:tc>
          <w:tcPr>
            <w:tcW w:w="1217" w:type="dxa"/>
          </w:tcPr>
          <w:p w14:paraId="22BFCC7E">
            <w:pPr>
              <w:pStyle w:val="16"/>
              <w:spacing w:before="22"/>
              <w:ind w:left="12"/>
              <w:jc w:val="center"/>
              <w:rPr>
                <w:sz w:val="22"/>
              </w:rPr>
            </w:pPr>
            <w:r>
              <w:rPr>
                <w:spacing w:val="-5"/>
                <w:sz w:val="22"/>
              </w:rPr>
              <w:t>ND</w:t>
            </w:r>
          </w:p>
        </w:tc>
        <w:tc>
          <w:tcPr>
            <w:tcW w:w="1076" w:type="dxa"/>
            <w:tcBorders>
              <w:top w:val="nil"/>
              <w:bottom w:val="nil"/>
            </w:tcBorders>
          </w:tcPr>
          <w:p w14:paraId="1475276B">
            <w:pPr>
              <w:pStyle w:val="16"/>
              <w:spacing w:before="34" w:line="272" w:lineRule="atLeast"/>
              <w:ind w:left="32"/>
              <w:jc w:val="center"/>
              <w:rPr>
                <w:sz w:val="22"/>
              </w:rPr>
            </w:pPr>
            <w:r>
              <w:rPr>
                <w:sz w:val="22"/>
              </w:rPr>
              <w:t>environments.</w:t>
            </w:r>
          </w:p>
        </w:tc>
        <w:tc>
          <w:tcPr>
            <w:tcW w:w="3481" w:type="dxa"/>
            <w:tcBorders>
              <w:top w:val="nil"/>
              <w:bottom w:val="nil"/>
            </w:tcBorders>
          </w:tcPr>
          <w:p w14:paraId="0B9FBFB7">
            <w:pPr>
              <w:pStyle w:val="16"/>
              <w:spacing w:before="22"/>
              <w:ind w:left="45" w:right="35"/>
              <w:jc w:val="center"/>
              <w:rPr>
                <w:sz w:val="22"/>
              </w:rPr>
            </w:pPr>
            <w:r>
              <w:rPr>
                <w:sz w:val="22"/>
              </w:rPr>
              <w:t>Semi-dry deacidification</w:t>
            </w:r>
          </w:p>
        </w:tc>
        <w:tc>
          <w:tcPr>
            <w:tcW w:w="1191" w:type="dxa"/>
            <w:vMerge w:val="continue"/>
            <w:tcBorders>
              <w:top w:val="nil"/>
            </w:tcBorders>
          </w:tcPr>
          <w:p w14:paraId="0B253822">
            <w:pPr>
              <w:rPr>
                <w:sz w:val="2"/>
                <w:szCs w:val="2"/>
              </w:rPr>
            </w:pPr>
          </w:p>
        </w:tc>
      </w:tr>
      <w:tr w14:paraId="29A2A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1966" w:type="dxa"/>
          </w:tcPr>
          <w:p w14:paraId="07C2AA37">
            <w:pPr>
              <w:pStyle w:val="16"/>
              <w:spacing w:before="22"/>
              <w:ind w:left="90" w:right="84"/>
              <w:jc w:val="center"/>
              <w:rPr>
                <w:sz w:val="22"/>
              </w:rPr>
            </w:pPr>
            <w:r>
              <w:rPr>
                <w:sz w:val="22"/>
              </w:rPr>
              <w:t>Hydrogen chloride</w:t>
            </w:r>
          </w:p>
        </w:tc>
        <w:tc>
          <w:tcPr>
            <w:tcW w:w="1217" w:type="dxa"/>
          </w:tcPr>
          <w:p w14:paraId="739E2CB1">
            <w:pPr>
              <w:pStyle w:val="16"/>
              <w:spacing w:before="22"/>
              <w:ind w:left="12"/>
              <w:jc w:val="center"/>
              <w:rPr>
                <w:sz w:val="22"/>
              </w:rPr>
            </w:pPr>
            <w:r>
              <w:rPr>
                <w:spacing w:val="-4"/>
                <w:sz w:val="22"/>
              </w:rPr>
              <w:t>1.22</w:t>
            </w:r>
          </w:p>
        </w:tc>
        <w:tc>
          <w:tcPr>
            <w:tcW w:w="1076" w:type="dxa"/>
            <w:tcBorders>
              <w:top w:val="nil"/>
              <w:bottom w:val="nil"/>
            </w:tcBorders>
          </w:tcPr>
          <w:p w14:paraId="3CEB6410">
            <w:pPr>
              <w:pStyle w:val="16"/>
              <w:rPr>
                <w:rFonts w:ascii="Times New Roman"/>
                <w:sz w:val="22"/>
              </w:rPr>
            </w:pPr>
          </w:p>
        </w:tc>
        <w:tc>
          <w:tcPr>
            <w:tcW w:w="3481" w:type="dxa"/>
            <w:tcBorders>
              <w:top w:val="nil"/>
            </w:tcBorders>
          </w:tcPr>
          <w:p w14:paraId="1C30A1F7">
            <w:pPr>
              <w:pStyle w:val="16"/>
              <w:rPr>
                <w:rFonts w:ascii="Times New Roman"/>
                <w:sz w:val="22"/>
              </w:rPr>
            </w:pPr>
          </w:p>
        </w:tc>
        <w:tc>
          <w:tcPr>
            <w:tcW w:w="1191" w:type="dxa"/>
            <w:vMerge w:val="continue"/>
            <w:tcBorders>
              <w:top w:val="nil"/>
            </w:tcBorders>
          </w:tcPr>
          <w:p w14:paraId="525B1957">
            <w:pPr>
              <w:rPr>
                <w:sz w:val="2"/>
                <w:szCs w:val="2"/>
              </w:rPr>
            </w:pPr>
          </w:p>
        </w:tc>
      </w:tr>
      <w:tr w14:paraId="25FA5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966" w:type="dxa"/>
          </w:tcPr>
          <w:p w14:paraId="66898E2F">
            <w:pPr>
              <w:pStyle w:val="16"/>
              <w:spacing w:before="22"/>
              <w:ind w:left="93" w:right="84"/>
              <w:jc w:val="center"/>
              <w:rPr>
                <w:sz w:val="22"/>
              </w:rPr>
            </w:pPr>
            <w:r>
              <w:rPr>
                <w:sz w:val="22"/>
              </w:rPr>
              <w:t>Mercury and its compounds</w:t>
            </w:r>
          </w:p>
        </w:tc>
        <w:tc>
          <w:tcPr>
            <w:tcW w:w="1217" w:type="dxa"/>
          </w:tcPr>
          <w:p w14:paraId="7B433804">
            <w:pPr>
              <w:pStyle w:val="16"/>
              <w:spacing w:before="22"/>
              <w:ind w:left="12"/>
              <w:jc w:val="center"/>
              <w:rPr>
                <w:sz w:val="22"/>
              </w:rPr>
            </w:pPr>
            <w:r>
              <w:rPr>
                <w:spacing w:val="-5"/>
                <w:sz w:val="22"/>
              </w:rPr>
              <w:t>ND</w:t>
            </w:r>
          </w:p>
        </w:tc>
        <w:tc>
          <w:tcPr>
            <w:tcW w:w="1076" w:type="dxa"/>
            <w:tcBorders>
              <w:top w:val="nil"/>
              <w:bottom w:val="nil"/>
            </w:tcBorders>
          </w:tcPr>
          <w:p w14:paraId="637DBE9E">
            <w:pPr>
              <w:pStyle w:val="16"/>
              <w:rPr>
                <w:rFonts w:ascii="Times New Roman"/>
                <w:sz w:val="22"/>
              </w:rPr>
            </w:pPr>
          </w:p>
        </w:tc>
        <w:tc>
          <w:tcPr>
            <w:tcW w:w="3481" w:type="dxa"/>
          </w:tcPr>
          <w:p w14:paraId="564998CA">
            <w:pPr>
              <w:pStyle w:val="16"/>
              <w:spacing w:before="22"/>
              <w:ind w:left="45" w:right="38"/>
              <w:jc w:val="center"/>
              <w:rPr>
                <w:sz w:val="22"/>
              </w:rPr>
            </w:pPr>
            <w:r>
              <w:rPr>
                <w:sz w:val="22"/>
              </w:rPr>
              <w:t>Activated carbon adsorption + bag filter</w:t>
            </w:r>
          </w:p>
        </w:tc>
        <w:tc>
          <w:tcPr>
            <w:tcW w:w="1191" w:type="dxa"/>
            <w:vMerge w:val="continue"/>
            <w:tcBorders>
              <w:top w:val="nil"/>
            </w:tcBorders>
          </w:tcPr>
          <w:p w14:paraId="0D798AAD">
            <w:pPr>
              <w:rPr>
                <w:sz w:val="2"/>
                <w:szCs w:val="2"/>
              </w:rPr>
            </w:pPr>
          </w:p>
        </w:tc>
      </w:tr>
      <w:tr w14:paraId="6208E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7" w:hRule="atLeast"/>
        </w:trPr>
        <w:tc>
          <w:tcPr>
            <w:tcW w:w="1966" w:type="dxa"/>
          </w:tcPr>
          <w:p w14:paraId="5ED973EB">
            <w:pPr>
              <w:pStyle w:val="16"/>
              <w:spacing w:before="34"/>
              <w:ind w:left="93" w:right="84"/>
              <w:jc w:val="center"/>
              <w:rPr>
                <w:sz w:val="22"/>
              </w:rPr>
            </w:pPr>
            <w:r>
              <w:rPr>
                <w:sz w:val="22"/>
              </w:rPr>
              <w:t>Cadmium, thallium and their compounds</w:t>
            </w:r>
          </w:p>
        </w:tc>
        <w:tc>
          <w:tcPr>
            <w:tcW w:w="1217" w:type="dxa"/>
          </w:tcPr>
          <w:p w14:paraId="4E2E8E00">
            <w:pPr>
              <w:pStyle w:val="16"/>
              <w:spacing w:before="34"/>
              <w:ind w:left="12"/>
              <w:jc w:val="center"/>
              <w:rPr>
                <w:sz w:val="22"/>
              </w:rPr>
            </w:pPr>
            <w:r>
              <w:rPr>
                <w:spacing w:val="-5"/>
                <w:sz w:val="22"/>
              </w:rPr>
              <w:t>ND</w:t>
            </w:r>
          </w:p>
        </w:tc>
        <w:tc>
          <w:tcPr>
            <w:tcW w:w="1076" w:type="dxa"/>
            <w:tcBorders>
              <w:top w:val="nil"/>
            </w:tcBorders>
          </w:tcPr>
          <w:p w14:paraId="0B37EC61">
            <w:pPr>
              <w:pStyle w:val="16"/>
              <w:rPr>
                <w:rFonts w:ascii="Times New Roman"/>
                <w:sz w:val="22"/>
              </w:rPr>
            </w:pPr>
          </w:p>
        </w:tc>
        <w:tc>
          <w:tcPr>
            <w:tcW w:w="3481" w:type="dxa"/>
          </w:tcPr>
          <w:p w14:paraId="1CE1AA8A">
            <w:pPr>
              <w:pStyle w:val="16"/>
              <w:spacing w:before="34"/>
              <w:ind w:left="45" w:right="38"/>
              <w:jc w:val="center"/>
              <w:rPr>
                <w:sz w:val="22"/>
              </w:rPr>
            </w:pPr>
            <w:r>
              <w:rPr>
                <w:sz w:val="22"/>
              </w:rPr>
              <w:t>Activated carbon adsorption + bag filter</w:t>
            </w:r>
          </w:p>
        </w:tc>
        <w:tc>
          <w:tcPr>
            <w:tcW w:w="1191" w:type="dxa"/>
            <w:vMerge w:val="continue"/>
            <w:tcBorders>
              <w:top w:val="nil"/>
            </w:tcBorders>
          </w:tcPr>
          <w:p w14:paraId="65BE67B6">
            <w:pPr>
              <w:rPr>
                <w:sz w:val="2"/>
                <w:szCs w:val="2"/>
              </w:rPr>
            </w:pPr>
          </w:p>
        </w:tc>
      </w:tr>
    </w:tbl>
    <w:p w14:paraId="72DE277C">
      <w:pPr>
        <w:spacing w:after="0"/>
        <w:rPr>
          <w:sz w:val="2"/>
          <w:szCs w:val="2"/>
        </w:rPr>
        <w:sectPr>
          <w:type w:val="continuous"/>
          <w:pgSz w:w="11910" w:h="16840"/>
          <w:pgMar w:top="1380" w:right="283" w:bottom="820" w:left="850" w:header="761" w:footer="628" w:gutter="0"/>
          <w:cols w:space="720" w:num="1"/>
        </w:sectPr>
      </w:pPr>
    </w:p>
    <w:p w14:paraId="34A6311C">
      <w:pPr>
        <w:pStyle w:val="5"/>
        <w:spacing w:before="10"/>
        <w:rPr>
          <w:sz w:val="2"/>
        </w:rPr>
      </w:pPr>
    </w:p>
    <w:tbl>
      <w:tblPr>
        <w:tblStyle w:val="12"/>
        <w:tblW w:w="0" w:type="auto"/>
        <w:tblInd w:w="6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6"/>
        <w:gridCol w:w="1217"/>
        <w:gridCol w:w="1076"/>
        <w:gridCol w:w="3481"/>
        <w:gridCol w:w="1191"/>
      </w:tblGrid>
      <w:tr w14:paraId="6F281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1966" w:type="dxa"/>
          </w:tcPr>
          <w:p w14:paraId="42F8D341">
            <w:pPr>
              <w:pStyle w:val="16"/>
              <w:spacing w:before="22" w:line="278" w:lineRule="auto"/>
              <w:ind w:left="107" w:right="84"/>
              <w:jc w:val="center"/>
              <w:rPr>
                <w:sz w:val="22"/>
              </w:rPr>
            </w:pPr>
            <w:r>
              <w:rPr>
                <w:sz w:val="22"/>
              </w:rPr>
              <w:t>Antimony, arsenic, lead, chromium,</w:t>
            </w:r>
            <w:r>
              <w:rPr>
                <w:sz w:val="22"/>
              </w:rPr>
              <w:t xml:space="preserve"> cobalt, copper, manganese, nickel and</w:t>
            </w:r>
          </w:p>
          <w:p w14:paraId="4FEB4A24">
            <w:pPr>
              <w:pStyle w:val="16"/>
              <w:spacing w:line="281" w:lineRule="atLeast"/>
              <w:ind w:left="90" w:right="84"/>
              <w:jc w:val="center"/>
              <w:rPr>
                <w:sz w:val="22"/>
              </w:rPr>
            </w:pPr>
            <w:r>
              <w:rPr>
                <w:sz w:val="22"/>
              </w:rPr>
              <w:t>their compounds</w:t>
            </w:r>
          </w:p>
        </w:tc>
        <w:tc>
          <w:tcPr>
            <w:tcW w:w="1217" w:type="dxa"/>
          </w:tcPr>
          <w:p w14:paraId="2C809008">
            <w:pPr>
              <w:pStyle w:val="16"/>
              <w:spacing w:before="67"/>
              <w:rPr>
                <w:sz w:val="22"/>
              </w:rPr>
            </w:pPr>
          </w:p>
          <w:p w14:paraId="59D94715">
            <w:pPr>
              <w:pStyle w:val="16"/>
              <w:ind w:left="12"/>
              <w:jc w:val="center"/>
              <w:rPr>
                <w:sz w:val="22"/>
              </w:rPr>
            </w:pPr>
            <w:r>
              <w:rPr>
                <w:spacing w:val="-4"/>
                <w:sz w:val="22"/>
              </w:rPr>
              <w:t>0.05</w:t>
            </w:r>
          </w:p>
        </w:tc>
        <w:tc>
          <w:tcPr>
            <w:tcW w:w="1076" w:type="dxa"/>
          </w:tcPr>
          <w:p w14:paraId="58367E12">
            <w:pPr>
              <w:pStyle w:val="16"/>
              <w:rPr>
                <w:rFonts w:ascii="Times New Roman"/>
                <w:sz w:val="22"/>
              </w:rPr>
            </w:pPr>
          </w:p>
        </w:tc>
        <w:tc>
          <w:tcPr>
            <w:tcW w:w="3481" w:type="dxa"/>
          </w:tcPr>
          <w:p w14:paraId="501498DD">
            <w:pPr>
              <w:pStyle w:val="16"/>
              <w:spacing w:before="67"/>
              <w:rPr>
                <w:sz w:val="22"/>
              </w:rPr>
            </w:pPr>
          </w:p>
          <w:p w14:paraId="17D5B620">
            <w:pPr>
              <w:pStyle w:val="16"/>
              <w:ind w:left="692"/>
              <w:rPr>
                <w:sz w:val="22"/>
              </w:rPr>
            </w:pPr>
            <w:r>
              <w:rPr>
                <w:sz w:val="22"/>
              </w:rPr>
              <w:t>Activated carbon adsorption + bag filter</w:t>
            </w:r>
          </w:p>
        </w:tc>
        <w:tc>
          <w:tcPr>
            <w:tcW w:w="1191" w:type="dxa"/>
          </w:tcPr>
          <w:p w14:paraId="2157D2DF">
            <w:pPr>
              <w:pStyle w:val="16"/>
              <w:rPr>
                <w:rFonts w:ascii="Times New Roman"/>
                <w:sz w:val="22"/>
              </w:rPr>
            </w:pPr>
          </w:p>
        </w:tc>
      </w:tr>
      <w:tr w14:paraId="46B5E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6" w:hRule="atLeast"/>
        </w:trPr>
        <w:tc>
          <w:tcPr>
            <w:tcW w:w="1966" w:type="dxa"/>
          </w:tcPr>
          <w:p w14:paraId="382E9770">
            <w:pPr>
              <w:pStyle w:val="16"/>
              <w:spacing w:before="185"/>
              <w:ind w:left="88" w:right="84"/>
              <w:jc w:val="center"/>
              <w:rPr>
                <w:sz w:val="22"/>
              </w:rPr>
            </w:pPr>
            <w:r>
              <w:rPr>
                <w:sz w:val="22"/>
              </w:rPr>
              <w:t>Dioxins</w:t>
            </w:r>
            <w:r>
              <w:rPr>
                <w:sz w:val="22"/>
              </w:rPr>
              <w:t xml:space="preserve"> (ng</w:t>
            </w:r>
          </w:p>
          <w:p w14:paraId="2CC20FFB">
            <w:pPr>
              <w:pStyle w:val="16"/>
              <w:spacing w:before="45"/>
              <w:ind w:left="90" w:right="84"/>
              <w:jc w:val="center"/>
              <w:rPr>
                <w:sz w:val="22"/>
              </w:rPr>
            </w:pPr>
            <w:r>
              <w:rPr>
                <w:spacing w:val="-2"/>
                <w:sz w:val="22"/>
              </w:rPr>
              <w:t>TEQ/m3)</w:t>
            </w:r>
          </w:p>
        </w:tc>
        <w:tc>
          <w:tcPr>
            <w:tcW w:w="1217" w:type="dxa"/>
          </w:tcPr>
          <w:p w14:paraId="36201FF2">
            <w:pPr>
              <w:pStyle w:val="16"/>
              <w:spacing w:before="66"/>
              <w:rPr>
                <w:sz w:val="22"/>
              </w:rPr>
            </w:pPr>
          </w:p>
          <w:p w14:paraId="2888E561">
            <w:pPr>
              <w:pStyle w:val="16"/>
              <w:ind w:left="12"/>
              <w:jc w:val="center"/>
              <w:rPr>
                <w:sz w:val="22"/>
              </w:rPr>
            </w:pPr>
            <w:r>
              <w:rPr>
                <w:spacing w:val="-2"/>
                <w:sz w:val="22"/>
              </w:rPr>
              <w:t>0.0063</w:t>
            </w:r>
          </w:p>
        </w:tc>
        <w:tc>
          <w:tcPr>
            <w:tcW w:w="1076" w:type="dxa"/>
          </w:tcPr>
          <w:p w14:paraId="1DAFD9AF">
            <w:pPr>
              <w:pStyle w:val="16"/>
              <w:spacing w:before="66"/>
              <w:rPr>
                <w:sz w:val="22"/>
              </w:rPr>
            </w:pPr>
          </w:p>
          <w:p w14:paraId="210CC39A">
            <w:pPr>
              <w:pStyle w:val="16"/>
              <w:ind w:left="316"/>
              <w:rPr>
                <w:sz w:val="22"/>
              </w:rPr>
            </w:pPr>
            <w:r>
              <w:rPr>
                <w:sz w:val="22"/>
              </w:rPr>
              <w:t>Carcinogenic</w:t>
            </w:r>
          </w:p>
        </w:tc>
        <w:tc>
          <w:tcPr>
            <w:tcW w:w="3481" w:type="dxa"/>
          </w:tcPr>
          <w:p w14:paraId="30F0DE7F">
            <w:pPr>
              <w:pStyle w:val="16"/>
              <w:spacing w:before="22"/>
              <w:ind w:left="198" w:hanging="92"/>
              <w:rPr>
                <w:sz w:val="22"/>
              </w:rPr>
            </w:pPr>
            <w:r>
              <w:rPr>
                <w:sz w:val="22"/>
              </w:rPr>
              <w:t>Control the secondary combustion chamber temperature and flue gas residence time to</w:t>
            </w:r>
          </w:p>
          <w:p w14:paraId="7628BCBF">
            <w:pPr>
              <w:pStyle w:val="16"/>
              <w:spacing w:before="6" w:line="320" w:lineRule="atLeast"/>
              <w:ind w:left="308" w:right="190" w:hanging="111"/>
              <w:rPr>
                <w:sz w:val="22"/>
              </w:rPr>
            </w:pPr>
            <w:r>
              <w:rPr>
                <w:sz w:val="22"/>
              </w:rPr>
              <w:t>Thoroughly decompose it; flue gas quenching measures are adopted to prevent the secondary synthesis of dioxins.</w:t>
            </w:r>
          </w:p>
        </w:tc>
        <w:tc>
          <w:tcPr>
            <w:tcW w:w="1191" w:type="dxa"/>
          </w:tcPr>
          <w:p w14:paraId="1879F688">
            <w:pPr>
              <w:pStyle w:val="16"/>
              <w:spacing w:before="185" w:line="278" w:lineRule="auto"/>
              <w:ind w:left="262" w:right="143" w:hanging="111"/>
              <w:rPr>
                <w:sz w:val="22"/>
              </w:rPr>
            </w:pPr>
            <w:r>
              <w:rPr>
                <w:sz w:val="22"/>
              </w:rPr>
              <w:t>Far below the national standard</w:t>
            </w:r>
          </w:p>
        </w:tc>
      </w:tr>
    </w:tbl>
    <w:p w14:paraId="0F6FA212">
      <w:pPr>
        <w:pStyle w:val="5"/>
        <w:spacing w:before="139"/>
        <w:rPr>
          <w:sz w:val="28"/>
        </w:rPr>
      </w:pPr>
    </w:p>
    <w:p w14:paraId="22D700BD">
      <w:pPr>
        <w:pStyle w:val="4"/>
        <w:numPr>
          <w:ilvl w:val="0"/>
          <w:numId w:val="0"/>
        </w:numPr>
        <w:tabs>
          <w:tab w:val="left" w:pos="690"/>
        </w:tabs>
        <w:spacing w:before="0" w:after="0" w:line="240" w:lineRule="auto"/>
        <w:ind w:left="230" w:leftChars="0" w:right="0" w:rightChars="0"/>
        <w:jc w:val="left"/>
      </w:pPr>
      <w:bookmarkStart w:id="13" w:name="_bookmark14"/>
      <w:bookmarkEnd w:id="13"/>
      <w:r>
        <w:rPr>
          <w:rFonts w:hint="default" w:ascii="Arial" w:hAnsi="Arial" w:cs="Arial"/>
          <w:b/>
          <w:bCs/>
          <w:lang w:val="en-US" w:eastAsia="zh-CN"/>
        </w:rPr>
        <w:t>2.5 Main Pollution</w:t>
      </w:r>
      <w:r>
        <w:rPr>
          <w:rFonts w:hint="eastAsia"/>
          <w:spacing w:val="-1"/>
          <w:lang w:val="en-US" w:eastAsia="zh-CN"/>
        </w:rPr>
        <w:t/>
      </w:r>
      <w:r>
        <w:rPr/>
        <w:t xml:space="preserve"> Prevention and Control Measures and Mechanisms</w:t>
      </w:r>
    </w:p>
    <w:p w14:paraId="3658E5A0">
      <w:pPr>
        <w:pStyle w:val="5"/>
        <w:spacing w:before="73"/>
        <w:rPr>
          <w:sz w:val="28"/>
        </w:rPr>
      </w:pPr>
    </w:p>
    <w:p w14:paraId="2748FB8A">
      <w:pPr>
        <w:pStyle w:val="4"/>
        <w:numPr>
          <w:ilvl w:val="0"/>
          <w:numId w:val="0"/>
        </w:numPr>
        <w:tabs>
          <w:tab w:val="left" w:pos="928"/>
        </w:tabs>
        <w:spacing w:before="0" w:after="0" w:line="240" w:lineRule="auto"/>
        <w:ind w:left="230" w:leftChars="0" w:right="0" w:rightChars="0"/>
        <w:jc w:val="left"/>
        <w:rPr>
          <w:rFonts w:ascii="Times New Roman" w:eastAsia="Times New Roman"/>
          <w:b/>
        </w:rPr>
      </w:pPr>
      <w:bookmarkStart w:id="14" w:name="_bookmark15"/>
      <w:bookmarkEnd w:id="14"/>
      <w:r>
        <w:rPr>
          <w:rFonts w:hint="default" w:ascii="Arial" w:hAnsi="Arial" w:cs="Arial"/>
          <w:b/>
          <w:bCs/>
          <w:lang w:val="en-US" w:eastAsia="zh-CN"/>
        </w:rPr>
        <w:t>2.5.1 Dioxin</w:t>
      </w:r>
      <w:r>
        <w:rPr/>
        <w:t xml:space="preserve"> Removal Process</w:t>
      </w:r>
    </w:p>
    <w:p w14:paraId="470F61A8">
      <w:pPr>
        <w:pStyle w:val="5"/>
        <w:spacing w:before="220"/>
        <w:rPr>
          <w:sz w:val="28"/>
        </w:rPr>
      </w:pPr>
    </w:p>
    <w:p w14:paraId="1619FDD3">
      <w:pPr>
        <w:pStyle w:val="5"/>
        <w:spacing w:line="508" w:lineRule="auto"/>
        <w:ind w:left="230" w:right="675" w:firstLine="480"/>
      </w:pPr>
      <w:r>
        <w:rPr/>
        <w:t>First, the temperature in the primary combustion</w:t>
      </w:r>
      <w:r>
        <w:rPr>
          <w:rFonts w:ascii="Times New Roman" w:hAnsi="Times New Roman" w:eastAsia="Times New Roman"/>
        </w:rPr>
        <w:t xml:space="preserve"> chamber</w:t>
      </w:r>
      <w:r>
        <w:rPr/>
        <w:t xml:space="preserve"> is</w:t>
      </w:r>
      <w:r>
        <w:rPr>
          <w:rFonts w:ascii="Times New Roman" w:hAnsi="Times New Roman" w:eastAsia="Times New Roman"/>
        </w:rPr>
        <w:t xml:space="preserve"> controlled at</w:t>
      </w:r>
      <w:r>
        <w:t xml:space="preserve"> 600℃ to 800℃, and the oxygen supply is controlled to maintain a reducing</w:t>
      </w:r>
      <w:r>
        <w:rPr/>
        <w:t xml:space="preserve"> atmosphere, so</w:t>
      </w:r>
      <w:r>
        <w:rPr>
          <w:rFonts w:ascii="Times New Roman" w:hAnsi="Times New Roman" w:eastAsia="Times New Roman"/>
        </w:rPr>
        <w:t xml:space="preserve"> that</w:t>
      </w:r>
      <w:r>
        <w:rPr>
          <w:rFonts w:ascii="Times New Roman" w:hAnsi="Times New Roman" w:eastAsia="Times New Roman"/>
          <w:spacing w:val="-15"/>
        </w:rPr>
        <w:t/>
      </w:r>
      <w:r>
        <w:rPr/>
        <w:t xml:space="preserve"> copper, aluminum and iron will</w:t>
      </w:r>
      <w:r>
        <w:rPr>
          <w:rFonts w:ascii="Times New Roman" w:hAnsi="Times New Roman" w:eastAsia="Times New Roman"/>
        </w:rPr>
        <w:t xml:space="preserve"> not be oxidized,</w:t>
      </w:r>
      <w:r>
        <w:rPr>
          <w:rFonts w:ascii="Times New Roman" w:hAnsi="Times New Roman" w:eastAsia="Times New Roman"/>
          <w:spacing w:val="-15"/>
        </w:rPr>
        <w:t/>
      </w:r>
      <w:r>
        <w:rPr/>
        <w:t xml:space="preserve"> no CuO is produced, and no CuCl2 is generated or present — thus there is</w:t>
      </w:r>
      <w:r>
        <w:t xml:space="preserve"> no</w:t>
      </w:r>
      <w:r>
        <w:rPr>
          <w:rFonts w:ascii="Times New Roman" w:hAnsi="Times New Roman" w:eastAsia="Times New Roman"/>
        </w:rPr>
        <w:t xml:space="preserve"> catalyst</w:t>
      </w:r>
      <w:r>
        <w:t xml:space="preserve"> for dioxin</w:t>
      </w:r>
      <w:r>
        <w:rPr>
          <w:rFonts w:ascii="Times New Roman" w:hAnsi="Times New Roman" w:eastAsia="Times New Roman"/>
        </w:rPr>
        <w:t xml:space="preserve"> re-synthesis (CuO,</w:t>
      </w:r>
      <w:r>
        <w:t xml:space="preserve"> CuCl2 and other</w:t>
      </w:r>
      <w:r>
        <w:rPr/>
        <w:t xml:space="preserve"> compounds).</w:t>
      </w:r>
      <w:r>
        <w:rPr>
          <w:rFonts w:ascii="Times New Roman" w:hAnsi="Times New Roman" w:eastAsia="Times New Roman"/>
        </w:rPr>
        <w:t xml:space="preserve"> Without the catalysis of</w:t>
      </w:r>
      <w:r>
        <w:t xml:space="preserve"> CuCl2 and carbon atoms, the synthesis of dioxins becomes impossible.</w:t>
      </w:r>
    </w:p>
    <w:p w14:paraId="7F6DFBF2">
      <w:pPr>
        <w:pStyle w:val="5"/>
        <w:spacing w:before="1" w:line="508" w:lineRule="auto"/>
        <w:ind w:left="230" w:right="793" w:firstLine="480"/>
      </w:pPr>
      <w:r>
        <w:rPr/>
        <w:t>Second, through 3T+E</w:t>
      </w:r>
      <w:r>
        <w:rPr>
          <w:rFonts w:ascii="Times New Roman" w:eastAsia="Times New Roman"/>
        </w:rPr>
        <w:t xml:space="preserve"> combustion</w:t>
      </w:r>
      <w:r>
        <w:rPr>
          <w:rFonts w:ascii="Times New Roman" w:eastAsia="Times New Roman"/>
          <w:spacing w:val="39"/>
        </w:rPr>
        <w:t/>
      </w:r>
      <w:r>
        <w:rPr/>
        <w:t xml:space="preserve"> control, the unburned gas containing dioxins is completely burned, suppressing dioxin generation to the lowest level.</w:t>
      </w:r>
    </w:p>
    <w:p w14:paraId="5AD950E8">
      <w:pPr>
        <w:pStyle w:val="5"/>
        <w:spacing w:before="1" w:line="508" w:lineRule="auto"/>
        <w:ind w:left="230" w:right="795" w:firstLine="480"/>
      </w:pPr>
      <w:r>
        <w:rPr/>
        <w:t>Third, the heat exchanger and the semi-dry quench tower are used to quench the flue gas, rapidly cooling it</w:t>
      </w:r>
      <w:r>
        <w:rPr>
          <w:rFonts w:ascii="Times New Roman" w:hAnsi="Times New Roman" w:eastAsia="Times New Roman"/>
        </w:rPr>
        <w:t xml:space="preserve"> to 200℃,</w:t>
      </w:r>
      <w:r>
        <w:rPr/>
        <w:t xml:space="preserve"> avoiding the dioxin re-formation temperature range.</w:t>
      </w:r>
    </w:p>
    <w:p w14:paraId="4B840689">
      <w:pPr>
        <w:pStyle w:val="5"/>
        <w:spacing w:line="508" w:lineRule="auto"/>
        <w:ind w:left="230" w:right="794" w:firstLine="480"/>
        <w:jc w:val="both"/>
      </w:pPr>
      <w:r>
        <w:rPr/>
        <w:t>Finally, activated carbon powder is sprayed through the dry reaction device to adsorb dioxins. After the flue gas enters the bag filter, the unreacted activated carbon continues to adsorb harmful substances, and solid particulates and solid-phase dioxins are efficiently intercepted by the bag filter.</w:t>
      </w:r>
    </w:p>
    <w:p w14:paraId="703216F1">
      <w:pPr>
        <w:pStyle w:val="15"/>
        <w:numPr>
          <w:ilvl w:val="0"/>
          <w:numId w:val="0"/>
        </w:numPr>
        <w:tabs>
          <w:tab w:val="left" w:pos="1069"/>
        </w:tabs>
        <w:spacing w:before="234" w:after="0" w:line="240" w:lineRule="auto"/>
        <w:ind w:left="230" w:leftChars="0" w:right="0" w:rightChars="0"/>
        <w:jc w:val="left"/>
        <w:rPr>
          <w:rFonts w:ascii="Times New Roman" w:eastAsia="Times New Roman"/>
          <w:b/>
          <w:sz w:val="28"/>
        </w:rPr>
      </w:pPr>
      <w:bookmarkStart w:id="15" w:name="_bookmark16"/>
      <w:bookmarkEnd w:id="15"/>
      <w:r>
        <w:rPr>
          <w:rFonts w:hint="eastAsia" w:ascii="Times New Roman" w:eastAsia="宋体"/>
          <w:b/>
          <w:sz w:val="28"/>
          <w:lang w:val="en-US" w:eastAsia="zh-CN"/>
        </w:rPr>
        <w:t>2.5.2 NOX</w:t>
      </w:r>
      <w:r>
        <w:rPr>
          <w:rFonts w:ascii="Times New Roman" w:eastAsia="Times New Roman"/>
          <w:b/>
          <w:sz w:val="28"/>
        </w:rPr>
        <w:t xml:space="preserve"> Removal</w:t>
      </w:r>
      <w:r>
        <w:rPr>
          <w:rFonts w:ascii="Times New Roman" w:eastAsia="Times New Roman"/>
          <w:b/>
          <w:spacing w:val="-2"/>
          <w:sz w:val="28"/>
        </w:rPr>
        <w:t/>
      </w:r>
      <w:r>
        <w:rPr>
          <w:sz w:val="28"/>
        </w:rPr>
        <w:t xml:space="preserve"> Process</w:t>
      </w:r>
    </w:p>
    <w:p w14:paraId="58E3A418">
      <w:pPr>
        <w:pStyle w:val="5"/>
        <w:spacing w:before="220"/>
        <w:rPr>
          <w:sz w:val="28"/>
        </w:rPr>
      </w:pPr>
    </w:p>
    <w:p w14:paraId="34EE68BC">
      <w:pPr>
        <w:pStyle w:val="5"/>
        <w:ind w:left="710"/>
      </w:pPr>
      <w:r>
        <w:rPr/>
        <w:t>The chemical reaction equations are as follows:</w:t>
      </w:r>
    </w:p>
    <w:p w14:paraId="414EEB1A">
      <w:pPr>
        <w:pStyle w:val="5"/>
        <w:spacing w:before="38"/>
      </w:pPr>
    </w:p>
    <w:p w14:paraId="1BF6DD9A">
      <w:pPr>
        <w:pStyle w:val="5"/>
        <w:spacing w:before="1"/>
        <w:ind w:left="710"/>
        <w:rPr>
          <w:rFonts w:ascii="Times New Roman" w:eastAsia="Times New Roman"/>
        </w:rPr>
      </w:pPr>
      <w:r>
        <w:rPr/>
        <w:t>Urea</w:t>
      </w:r>
      <w:r>
        <w:rPr>
          <w:rFonts w:ascii="Times New Roman" w:eastAsia="Times New Roman"/>
        </w:rPr>
        <w:t xml:space="preserve">  NH2CONH2+2NO+1/2O2=2N2+CO2+2H2O</w:t>
      </w:r>
    </w:p>
    <w:p w14:paraId="0AE26811">
      <w:pPr>
        <w:pStyle w:val="5"/>
        <w:spacing w:before="69"/>
        <w:rPr>
          <w:rFonts w:ascii="Times New Roman"/>
        </w:rPr>
      </w:pPr>
    </w:p>
    <w:p w14:paraId="643098D9">
      <w:pPr>
        <w:pStyle w:val="5"/>
        <w:ind w:left="710"/>
        <w:rPr>
          <w:rFonts w:ascii="Times New Roman" w:eastAsia="Times New Roman"/>
        </w:rPr>
      </w:pPr>
      <w:r>
        <w:rPr/>
        <w:t>Or</w:t>
      </w:r>
      <w:r>
        <w:rPr>
          <w:rFonts w:ascii="Times New Roman" w:eastAsia="Times New Roman"/>
        </w:rPr>
        <w:t xml:space="preserve"> ammonia water  4NH3+4NO+O2=4N2+6H2O</w:t>
      </w:r>
    </w:p>
    <w:p w14:paraId="4C682008">
      <w:pPr>
        <w:pStyle w:val="5"/>
        <w:spacing w:after="0"/>
        <w:rPr>
          <w:rFonts w:ascii="Times New Roman" w:eastAsia="Times New Roman"/>
        </w:rPr>
        <w:sectPr>
          <w:pgSz w:w="11910" w:h="16840"/>
          <w:pgMar w:top="1400" w:right="283" w:bottom="820" w:left="850" w:header="761" w:footer="628" w:gutter="0"/>
          <w:cols w:space="720" w:num="1"/>
        </w:sectPr>
      </w:pPr>
    </w:p>
    <w:p w14:paraId="6800D8E5">
      <w:pPr>
        <w:pStyle w:val="5"/>
        <w:spacing w:before="209"/>
        <w:ind w:left="710"/>
      </w:pPr>
      <w:r>
        <w:rPr/>
        <w:t>Through the above reactions, nitrogen, water and carbon dioxide are finally formed.</w:t>
      </w:r>
    </w:p>
    <w:p w14:paraId="020746B4">
      <w:pPr>
        <w:pStyle w:val="5"/>
        <w:spacing w:before="271"/>
      </w:pPr>
    </w:p>
    <w:p w14:paraId="0154D6CC">
      <w:pPr>
        <w:pStyle w:val="4"/>
        <w:numPr>
          <w:ilvl w:val="0"/>
          <w:numId w:val="0"/>
        </w:numPr>
        <w:tabs>
          <w:tab w:val="left" w:pos="1070"/>
        </w:tabs>
        <w:spacing w:before="0" w:after="0" w:line="240" w:lineRule="auto"/>
        <w:ind w:left="230" w:leftChars="0" w:right="0" w:rightChars="0"/>
        <w:jc w:val="left"/>
        <w:rPr>
          <w:rFonts w:ascii="Times New Roman" w:eastAsia="Times New Roman"/>
          <w:b/>
        </w:rPr>
      </w:pPr>
      <w:bookmarkStart w:id="16" w:name="_bookmark17"/>
      <w:bookmarkEnd w:id="16"/>
      <w:r>
        <w:rPr>
          <w:rFonts w:hint="default" w:ascii="Arial" w:hAnsi="Arial" w:cs="Arial"/>
          <w:b/>
          <w:bCs/>
          <w:lang w:val="en-US" w:eastAsia="zh-CN"/>
        </w:rPr>
        <w:t>2.5.3 Deacidification</w:t>
      </w:r>
      <w:r>
        <w:rPr>
          <w:rFonts w:hint="eastAsia"/>
          <w:spacing w:val="-3"/>
          <w:lang w:val="en-US" w:eastAsia="zh-CN"/>
        </w:rPr>
        <w:t/>
      </w:r>
      <w:r>
        <w:rPr/>
        <w:t xml:space="preserve"> Process</w:t>
      </w:r>
    </w:p>
    <w:p w14:paraId="5ED3C7E1">
      <w:pPr>
        <w:pStyle w:val="5"/>
        <w:spacing w:before="220"/>
        <w:rPr>
          <w:sz w:val="28"/>
        </w:rPr>
      </w:pPr>
    </w:p>
    <w:p w14:paraId="4D75F4A1">
      <w:pPr>
        <w:pStyle w:val="5"/>
        <w:spacing w:line="508" w:lineRule="auto"/>
        <w:ind w:left="230" w:right="794" w:firstLine="480"/>
      </w:pPr>
      <w:r>
        <w:rPr/>
        <w:t>Through the dry reaction device, hydrated lime powder is sprayed into the Venturi duct to react chemically with the flue gas, achieving further deacidification.</w:t>
      </w:r>
      <w:r>
        <w:rPr/>
        <w:t xml:space="preserve"> The basic chemical reaction equations are as follows:</w:t>
      </w:r>
    </w:p>
    <w:p w14:paraId="371FD78B">
      <w:pPr>
        <w:pStyle w:val="5"/>
        <w:spacing w:before="164" w:line="636" w:lineRule="auto"/>
        <w:ind w:left="710" w:right="6049"/>
      </w:pPr>
      <w:r>
        <w:rPr>
          <w:spacing w:val="-2"/>
        </w:rPr>
        <w:t xml:space="preserve">SO3+Ca(OH)2=CaSO4+H2O SO2+Ca(OH)2=CaSO3+H2O </w:t>
      </w:r>
      <w:r>
        <w:t>2HCl+Ca(OH)2=</w:t>
      </w:r>
      <w:r>
        <w:rPr>
          <w:spacing w:val="-30"/>
        </w:rPr>
        <w:t xml:space="preserve"> </w:t>
      </w:r>
      <w:r>
        <w:t>CaCl2+2H2O</w:t>
      </w:r>
    </w:p>
    <w:p w14:paraId="0B7B3528">
      <w:pPr>
        <w:pStyle w:val="5"/>
        <w:spacing w:before="1"/>
        <w:ind w:left="710"/>
      </w:pPr>
      <w:r>
        <w:rPr>
          <w:spacing w:val="-2"/>
        </w:rPr>
        <w:t>2HF+Ca(OH)2=CaF2+2H2O</w:t>
      </w:r>
    </w:p>
    <w:p w14:paraId="49FA79D7">
      <w:pPr>
        <w:pStyle w:val="5"/>
        <w:spacing w:before="201"/>
      </w:pPr>
    </w:p>
    <w:p w14:paraId="0F578D18">
      <w:pPr>
        <w:pStyle w:val="5"/>
        <w:spacing w:line="508" w:lineRule="auto"/>
        <w:ind w:left="230" w:right="794" w:firstLine="480"/>
        <w:jc w:val="both"/>
      </w:pPr>
      <w:r>
        <w:rPr/>
        <w:t>The hydrated lime spraying feeding device is used in the flue gas purification treatment system. The absorbent device is arranged between the quench tower</w:t>
      </w:r>
      <w:r>
        <w:rPr/>
        <w:t xml:space="preserve"> and the bag filter. Through the absorbent mixer on the flue, the absorbent is evenly mixed into the flue gas and deposited on the bag walls of the bag filter, forming</w:t>
      </w:r>
      <w:r>
        <w:rPr/>
        <w:t xml:space="preserve"> a filter cake, so that the deposited absorbent continues to absorb the gaseous pollutants in the flue gas.</w:t>
      </w:r>
    </w:p>
    <w:p w14:paraId="4F0DACA1">
      <w:pPr>
        <w:pStyle w:val="2"/>
        <w:spacing w:before="211"/>
        <w:ind w:left="1996"/>
        <w:jc w:val="left"/>
      </w:pPr>
      <w:bookmarkStart w:id="17" w:name="_bookmark18"/>
      <w:bookmarkEnd w:id="17"/>
      <w:r>
        <w:rPr/>
        <w:t>Chapter 3 Engineering Design</w:t>
      </w:r>
    </w:p>
    <w:p w14:paraId="0926BF6B">
      <w:pPr>
        <w:pStyle w:val="4"/>
        <w:numPr>
          <w:ilvl w:val="1"/>
          <w:numId w:val="20"/>
        </w:numPr>
        <w:tabs>
          <w:tab w:val="left" w:pos="690"/>
        </w:tabs>
        <w:spacing w:before="540" w:after="0" w:line="240" w:lineRule="auto"/>
        <w:ind w:left="690" w:right="0" w:hanging="460"/>
        <w:jc w:val="left"/>
      </w:pPr>
      <w:bookmarkStart w:id="18" w:name="_bookmark19"/>
      <w:bookmarkEnd w:id="18"/>
      <w:r>
        <w:rPr/>
        <w:t>Principles of Overall Scheme Design</w:t>
      </w:r>
    </w:p>
    <w:p w14:paraId="73DAC437">
      <w:pPr>
        <w:pStyle w:val="5"/>
        <w:spacing w:before="83"/>
        <w:rPr>
          <w:sz w:val="28"/>
        </w:rPr>
      </w:pPr>
    </w:p>
    <w:p w14:paraId="61ED60E7">
      <w:pPr>
        <w:pStyle w:val="5"/>
        <w:spacing w:line="405" w:lineRule="auto"/>
        <w:ind w:left="230" w:right="676" w:firstLine="480"/>
      </w:pPr>
      <w:r>
        <w:rPr/>
        <w:t>The general layout has clear zoning and convenient management; pedestrian routes and vehicle routes are separated, transport access and exit are smooth, roads within the plant</w:t>
      </w:r>
      <w:r>
        <w:rPr/>
        <w:t xml:space="preserve"> are unobstructed forming a ring route, meeting fire protection requirements; the flue gas emission of the main plant building is downwind, and offices and other living areas are upwind; full</w:t>
      </w:r>
      <w:r>
        <w:rPr/>
        <w:t xml:space="preserve"> greening beautifies the environment, leaving no bare ground as far as possible.</w:t>
      </w:r>
    </w:p>
    <w:p w14:paraId="4FBB2C7A">
      <w:pPr>
        <w:pStyle w:val="5"/>
        <w:spacing w:after="0" w:line="405" w:lineRule="auto"/>
        <w:sectPr>
          <w:pgSz w:w="11910" w:h="16840"/>
          <w:pgMar w:top="1400" w:right="283" w:bottom="820" w:left="850" w:header="761" w:footer="628" w:gutter="0"/>
          <w:cols w:space="720" w:num="1"/>
        </w:sectPr>
      </w:pPr>
    </w:p>
    <w:p w14:paraId="0BF0F894">
      <w:pPr>
        <w:pStyle w:val="4"/>
        <w:numPr>
          <w:ilvl w:val="1"/>
          <w:numId w:val="20"/>
        </w:numPr>
        <w:tabs>
          <w:tab w:val="left" w:pos="690"/>
        </w:tabs>
        <w:spacing w:before="174" w:after="0" w:line="240" w:lineRule="auto"/>
        <w:ind w:left="690" w:right="0" w:hanging="460"/>
        <w:jc w:val="left"/>
      </w:pPr>
      <w:bookmarkStart w:id="19" w:name="_bookmark20"/>
      <w:bookmarkEnd w:id="19"/>
      <w:r>
        <w:rPr/>
        <w:t>General Layout</w:t>
      </w:r>
    </w:p>
    <w:p w14:paraId="5875D580">
      <w:pPr>
        <w:pStyle w:val="5"/>
        <w:spacing w:before="143"/>
        <w:rPr>
          <w:sz w:val="28"/>
        </w:rPr>
      </w:pPr>
    </w:p>
    <w:p w14:paraId="0E003EF1">
      <w:pPr>
        <w:pStyle w:val="3"/>
        <w:numPr>
          <w:ilvl w:val="2"/>
          <w:numId w:val="20"/>
        </w:numPr>
        <w:tabs>
          <w:tab w:val="left" w:pos="906"/>
        </w:tabs>
        <w:spacing w:before="0" w:after="0" w:line="240" w:lineRule="auto"/>
        <w:ind w:left="906" w:right="0" w:hanging="676"/>
        <w:jc w:val="left"/>
      </w:pPr>
      <w:bookmarkStart w:id="20" w:name="_bookmark21"/>
      <w:bookmarkEnd w:id="20"/>
      <w:r>
        <w:rPr/>
        <w:t>Project Site Planning Concepts Based on Layout and Site Selection Principles</w:t>
      </w:r>
    </w:p>
    <w:p w14:paraId="50B36FE0">
      <w:pPr>
        <w:pStyle w:val="5"/>
        <w:spacing w:before="49"/>
        <w:rPr>
          <w:sz w:val="30"/>
        </w:rPr>
      </w:pPr>
    </w:p>
    <w:p w14:paraId="38E78781">
      <w:pPr>
        <w:pStyle w:val="15"/>
        <w:numPr>
          <w:ilvl w:val="3"/>
          <w:numId w:val="20"/>
        </w:numPr>
        <w:tabs>
          <w:tab w:val="left" w:pos="1074"/>
        </w:tabs>
        <w:spacing w:before="1" w:after="0" w:line="240" w:lineRule="auto"/>
        <w:ind w:left="1074" w:right="0" w:hanging="362"/>
        <w:jc w:val="left"/>
        <w:rPr>
          <w:sz w:val="24"/>
        </w:rPr>
      </w:pPr>
      <w:r>
        <w:rPr>
          <w:sz w:val="24"/>
        </w:rPr>
        <w:t>Functional Zoning</w:t>
      </w:r>
    </w:p>
    <w:p w14:paraId="309E0B8E">
      <w:pPr>
        <w:pStyle w:val="5"/>
        <w:spacing w:before="208"/>
        <w:ind w:left="710"/>
      </w:pPr>
      <w:r>
        <w:rPr/>
        <w:t>According to the process flow, functions and wind direction, the buildings and structures in the plant are divided into three functional zones:</w:t>
      </w:r>
    </w:p>
    <w:p w14:paraId="1BB7A185">
      <w:pPr>
        <w:pStyle w:val="5"/>
        <w:spacing w:before="38"/>
      </w:pPr>
    </w:p>
    <w:p w14:paraId="2A8F05C6">
      <w:pPr>
        <w:pStyle w:val="5"/>
        <w:spacing w:before="1" w:line="508" w:lineRule="auto"/>
        <w:ind w:left="230" w:right="796" w:firstLine="480"/>
      </w:pPr>
      <w:r>
        <w:rPr/>
        <w:t>Office zone: including offices and parking lot. This is a relatively clean zone in the plant with high environmental requirements; it should be arranged away</w:t>
      </w:r>
      <w:r>
        <w:rPr/>
        <w:t xml:space="preserve"> from various pollution sources and located on the upwind side of the prevailing wind direction.</w:t>
      </w:r>
    </w:p>
    <w:p w14:paraId="7E9CFB90">
      <w:pPr>
        <w:pStyle w:val="5"/>
        <w:spacing w:line="508" w:lineRule="auto"/>
        <w:ind w:left="230" w:right="796" w:firstLine="480"/>
      </w:pPr>
      <w:r>
        <w:rPr/>
        <w:t>Main production zone: including the waste storage pit, ash and slag collection area and resource recovery area. The main plant building is the main building of the plant; on the</w:t>
      </w:r>
      <w:r>
        <w:rPr/>
        <w:t xml:space="preserve"> premise of meeting various protection distances, it can be close to the auxiliary production zones and the office building.</w:t>
      </w:r>
    </w:p>
    <w:p w14:paraId="4050C270">
      <w:pPr>
        <w:pStyle w:val="5"/>
        <w:spacing w:line="307" w:lineRule="atLeast"/>
        <w:ind w:left="710"/>
      </w:pPr>
      <w:r>
        <w:rPr/>
        <w:t>Heat supply station: including water pump house, cooling tower, water treatment device and clear water pool.</w:t>
      </w:r>
    </w:p>
    <w:p w14:paraId="79B73387">
      <w:pPr>
        <w:pStyle w:val="5"/>
        <w:spacing w:before="37"/>
      </w:pPr>
    </w:p>
    <w:p w14:paraId="3B4E2CE5">
      <w:pPr>
        <w:pStyle w:val="5"/>
        <w:spacing w:line="508" w:lineRule="auto"/>
        <w:ind w:left="230" w:right="796" w:firstLine="480"/>
      </w:pPr>
      <w:r>
        <w:rPr/>
        <w:t>To facilitate the work of management personnel and external business contacts, the comprehensive office building is arranged near the plant gate and on the</w:t>
      </w:r>
      <w:r>
        <w:rPr/>
        <w:t xml:space="preserve"> upwind side of the prevailing wind direction.</w:t>
      </w:r>
    </w:p>
    <w:p w14:paraId="3651373D">
      <w:pPr>
        <w:pStyle w:val="5"/>
        <w:spacing w:line="307" w:lineRule="atLeast"/>
        <w:ind w:left="710"/>
      </w:pPr>
      <w:r>
        <w:rPr/>
        <w:t>The open space between the office building and the main plant building is centrally arranged with greening as a protective isolation belt.</w:t>
      </w:r>
    </w:p>
    <w:p w14:paraId="06A4EB92">
      <w:pPr>
        <w:pStyle w:val="5"/>
        <w:spacing w:before="38"/>
      </w:pPr>
    </w:p>
    <w:p w14:paraId="60D53804">
      <w:pPr>
        <w:pStyle w:val="15"/>
        <w:numPr>
          <w:ilvl w:val="3"/>
          <w:numId w:val="20"/>
        </w:numPr>
        <w:tabs>
          <w:tab w:val="left" w:pos="1074"/>
        </w:tabs>
        <w:spacing w:before="0" w:after="0" w:line="240" w:lineRule="auto"/>
        <w:ind w:left="1074" w:right="0" w:hanging="362"/>
        <w:jc w:val="left"/>
        <w:rPr>
          <w:sz w:val="24"/>
        </w:rPr>
      </w:pPr>
      <w:r>
        <w:rPr>
          <w:sz w:val="24"/>
        </w:rPr>
        <w:t>Main Items</w:t>
      </w:r>
    </w:p>
    <w:p w14:paraId="13704DBA">
      <w:pPr>
        <w:pStyle w:val="5"/>
        <w:spacing w:before="38"/>
      </w:pPr>
    </w:p>
    <w:p w14:paraId="7CF20D7D">
      <w:pPr>
        <w:pStyle w:val="15"/>
        <w:numPr>
          <w:ilvl w:val="0"/>
          <w:numId w:val="21"/>
        </w:numPr>
        <w:tabs>
          <w:tab w:val="left" w:pos="1310"/>
        </w:tabs>
        <w:spacing w:before="0" w:after="0" w:line="240" w:lineRule="auto"/>
        <w:ind w:left="1310" w:right="0" w:hanging="600"/>
        <w:jc w:val="left"/>
        <w:rPr>
          <w:sz w:val="24"/>
        </w:rPr>
      </w:pPr>
      <w:r>
        <w:rPr>
          <w:sz w:val="24"/>
        </w:rPr>
        <w:t>Main plant building of the waste pyrolysis gasification treatment station, including the following:</w:t>
      </w:r>
    </w:p>
    <w:p w14:paraId="587703E5">
      <w:pPr>
        <w:pStyle w:val="5"/>
        <w:spacing w:before="36"/>
      </w:pPr>
    </w:p>
    <w:p w14:paraId="4358C629">
      <w:pPr>
        <w:pStyle w:val="15"/>
        <w:numPr>
          <w:ilvl w:val="0"/>
          <w:numId w:val="22"/>
        </w:numPr>
        <w:tabs>
          <w:tab w:val="left" w:pos="1070"/>
        </w:tabs>
        <w:spacing w:before="0" w:after="0" w:line="240" w:lineRule="auto"/>
        <w:ind w:left="1070" w:right="0" w:hanging="487"/>
        <w:jc w:val="left"/>
        <w:rPr>
          <w:sz w:val="24"/>
        </w:rPr>
      </w:pPr>
      <w:r>
        <w:rPr>
          <w:rFonts w:ascii="Times New Roman" w:eastAsia="Times New Roman"/>
          <w:sz w:val="24"/>
        </w:rPr>
        <w:t>1</w:t>
      </w:r>
      <w:r>
        <w:rPr>
          <w:rFonts w:ascii="Times New Roman" w:eastAsia="Times New Roman"/>
          <w:spacing w:val="-3"/>
          <w:sz w:val="24"/>
        </w:rPr>
        <w:t/>
      </w:r>
      <w:r>
        <w:rPr>
          <w:sz w:val="24"/>
        </w:rPr>
        <w:t xml:space="preserve"> set of</w:t>
      </w:r>
      <w:r>
        <w:rPr>
          <w:rFonts w:ascii="Times New Roman" w:eastAsia="Times New Roman"/>
          <w:sz w:val="24"/>
        </w:rPr>
        <w:t xml:space="preserve"> 5T/D pyrolysis</w:t>
      </w:r>
      <w:r>
        <w:rPr>
          <w:rFonts w:ascii="Times New Roman" w:eastAsia="Times New Roman"/>
          <w:spacing w:val="-1"/>
          <w:sz w:val="24"/>
        </w:rPr>
        <w:t/>
      </w:r>
      <w:r>
        <w:rPr>
          <w:sz w:val="24"/>
        </w:rPr>
        <w:t xml:space="preserve"> gasifier and its supporting equipment;</w:t>
      </w:r>
    </w:p>
    <w:p w14:paraId="1841C4EB">
      <w:pPr>
        <w:pStyle w:val="5"/>
        <w:spacing w:before="37"/>
      </w:pPr>
    </w:p>
    <w:p w14:paraId="756A5FA6">
      <w:pPr>
        <w:pStyle w:val="15"/>
        <w:numPr>
          <w:ilvl w:val="0"/>
          <w:numId w:val="22"/>
        </w:numPr>
        <w:tabs>
          <w:tab w:val="left" w:pos="1070"/>
        </w:tabs>
        <w:spacing w:before="1" w:after="0" w:line="240" w:lineRule="auto"/>
        <w:ind w:left="1070" w:right="0" w:hanging="554"/>
        <w:jc w:val="left"/>
        <w:rPr>
          <w:sz w:val="24"/>
        </w:rPr>
      </w:pPr>
      <w:r>
        <w:rPr>
          <w:sz w:val="24"/>
        </w:rPr>
        <w:t>Waste transport tipping hall and pretreatment waste storage pit;</w:t>
      </w:r>
    </w:p>
    <w:p w14:paraId="099C842B">
      <w:pPr>
        <w:pStyle w:val="5"/>
        <w:spacing w:before="37"/>
      </w:pPr>
    </w:p>
    <w:p w14:paraId="01CE2AD9">
      <w:pPr>
        <w:pStyle w:val="15"/>
        <w:numPr>
          <w:ilvl w:val="0"/>
          <w:numId w:val="22"/>
        </w:numPr>
        <w:tabs>
          <w:tab w:val="left" w:pos="1080"/>
        </w:tabs>
        <w:spacing w:before="0" w:after="0" w:line="240" w:lineRule="auto"/>
        <w:ind w:left="1080" w:right="0" w:hanging="629"/>
        <w:jc w:val="left"/>
        <w:rPr>
          <w:sz w:val="24"/>
        </w:rPr>
      </w:pPr>
      <w:r>
        <w:rPr>
          <w:sz w:val="24"/>
        </w:rPr>
        <w:t>Leachate collection area;</w:t>
      </w:r>
    </w:p>
    <w:p w14:paraId="30FE5A1B">
      <w:pPr>
        <w:pStyle w:val="5"/>
        <w:spacing w:before="36"/>
      </w:pPr>
    </w:p>
    <w:p w14:paraId="0C48DBFB">
      <w:pPr>
        <w:pStyle w:val="15"/>
        <w:numPr>
          <w:ilvl w:val="0"/>
          <w:numId w:val="22"/>
        </w:numPr>
        <w:tabs>
          <w:tab w:val="left" w:pos="1070"/>
        </w:tabs>
        <w:spacing w:before="0" w:after="0" w:line="240" w:lineRule="auto"/>
        <w:ind w:left="1070" w:right="0" w:hanging="607"/>
        <w:jc w:val="left"/>
        <w:rPr>
          <w:sz w:val="24"/>
        </w:rPr>
      </w:pPr>
      <w:r>
        <w:rPr>
          <w:sz w:val="24"/>
        </w:rPr>
        <w:t>Slag removal and ash collection area;</w:t>
      </w:r>
    </w:p>
    <w:p w14:paraId="68BFDA84">
      <w:pPr>
        <w:pStyle w:val="5"/>
        <w:spacing w:before="37"/>
      </w:pPr>
    </w:p>
    <w:p w14:paraId="06D2C308">
      <w:pPr>
        <w:pStyle w:val="15"/>
        <w:numPr>
          <w:ilvl w:val="0"/>
          <w:numId w:val="22"/>
        </w:numPr>
        <w:tabs>
          <w:tab w:val="left" w:pos="1070"/>
        </w:tabs>
        <w:spacing w:before="1" w:after="0" w:line="240" w:lineRule="auto"/>
        <w:ind w:left="1070" w:right="0" w:hanging="540"/>
        <w:jc w:val="left"/>
        <w:rPr>
          <w:sz w:val="24"/>
        </w:rPr>
      </w:pPr>
      <w:r>
        <w:rPr>
          <w:sz w:val="24"/>
        </w:rPr>
        <w:t>Control and monitoring room;</w:t>
      </w:r>
    </w:p>
    <w:p w14:paraId="1B370FCD">
      <w:pPr>
        <w:pStyle w:val="5"/>
        <w:spacing w:before="38"/>
      </w:pPr>
    </w:p>
    <w:p w14:paraId="31DD469D">
      <w:pPr>
        <w:pStyle w:val="15"/>
        <w:numPr>
          <w:ilvl w:val="0"/>
          <w:numId w:val="22"/>
        </w:numPr>
        <w:tabs>
          <w:tab w:val="left" w:pos="1070"/>
        </w:tabs>
        <w:spacing w:before="0" w:after="0" w:line="240" w:lineRule="auto"/>
        <w:ind w:left="1070" w:right="0" w:hanging="607"/>
        <w:jc w:val="left"/>
        <w:rPr>
          <w:sz w:val="24"/>
        </w:rPr>
      </w:pPr>
      <w:r>
        <w:rPr>
          <w:sz w:val="24"/>
        </w:rPr>
        <w:t>Auxiliary rooms</w:t>
      </w:r>
    </w:p>
    <w:p w14:paraId="23DCAD6F">
      <w:pPr>
        <w:pStyle w:val="5"/>
        <w:spacing w:before="155"/>
      </w:pPr>
    </w:p>
    <w:p w14:paraId="66C44AB5">
      <w:pPr>
        <w:pStyle w:val="15"/>
        <w:numPr>
          <w:ilvl w:val="0"/>
          <w:numId w:val="21"/>
        </w:numPr>
        <w:tabs>
          <w:tab w:val="left" w:pos="1310"/>
        </w:tabs>
        <w:spacing w:before="0" w:after="0" w:line="240" w:lineRule="auto"/>
        <w:ind w:left="1310" w:right="0" w:hanging="600"/>
        <w:jc w:val="left"/>
        <w:rPr>
          <w:sz w:val="24"/>
        </w:rPr>
      </w:pPr>
      <w:r>
        <w:rPr>
          <w:sz w:val="24"/>
        </w:rPr>
        <w:t>Office area, mainly used for office, technology, exhibition center, reception room, meetings and shift dormitories, etc.</w:t>
      </w:r>
    </w:p>
    <w:p w14:paraId="34CBEA7B">
      <w:pPr>
        <w:pStyle w:val="15"/>
        <w:spacing w:after="0" w:line="240" w:lineRule="auto"/>
        <w:jc w:val="left"/>
        <w:rPr>
          <w:sz w:val="24"/>
        </w:rPr>
        <w:sectPr>
          <w:pgSz w:w="11910" w:h="16840"/>
          <w:pgMar w:top="1400" w:right="283" w:bottom="820" w:left="850" w:header="761" w:footer="628" w:gutter="0"/>
          <w:cols w:space="720" w:num="1"/>
        </w:sectPr>
      </w:pPr>
    </w:p>
    <w:p w14:paraId="4DC89E8F">
      <w:pPr>
        <w:pStyle w:val="15"/>
        <w:numPr>
          <w:ilvl w:val="0"/>
          <w:numId w:val="21"/>
        </w:numPr>
        <w:tabs>
          <w:tab w:val="left" w:pos="1310"/>
        </w:tabs>
        <w:spacing w:before="209" w:after="0" w:line="508" w:lineRule="auto"/>
        <w:ind w:left="230" w:right="799" w:firstLine="480"/>
        <w:jc w:val="left"/>
        <w:rPr>
          <w:sz w:val="24"/>
        </w:rPr>
      </w:pPr>
      <w:r>
        <w:rPr>
          <w:sz w:val="24"/>
        </w:rPr>
        <w:t>Heat supply station, collecting pool, etc., used for heat supply to surrounding residents and enterprises/institutions, and for storing the plant-wide production and fire-fighting water.</w:t>
      </w:r>
    </w:p>
    <w:p w14:paraId="56A36066">
      <w:pPr>
        <w:pStyle w:val="15"/>
        <w:numPr>
          <w:ilvl w:val="0"/>
          <w:numId w:val="21"/>
        </w:numPr>
        <w:tabs>
          <w:tab w:val="left" w:pos="1070"/>
        </w:tabs>
        <w:spacing w:before="4" w:after="0" w:line="240" w:lineRule="auto"/>
        <w:ind w:left="1070" w:leftChars="0" w:right="0" w:hanging="600"/>
        <w:jc w:val="left"/>
        <w:rPr>
          <w:sz w:val="24"/>
        </w:rPr>
      </w:pPr>
      <w:r>
        <w:rPr>
          <w:sz w:val="24"/>
        </w:rPr>
        <w:t>Preliminary Design Drawings</w:t>
      </w:r>
    </w:p>
    <w:p w14:paraId="4B42CEE3">
      <w:pPr>
        <w:pStyle w:val="5"/>
        <w:rPr>
          <w:sz w:val="20"/>
        </w:rPr>
      </w:pPr>
    </w:p>
    <w:p w14:paraId="51EBA5D3">
      <w:pPr>
        <w:pStyle w:val="5"/>
        <w:spacing w:before="125"/>
      </w:pPr>
    </w:p>
    <w:p w14:paraId="11234CD9">
      <w:pPr>
        <w:pStyle w:val="5"/>
        <w:spacing w:line="405" w:lineRule="auto"/>
        <w:ind w:left="230" w:right="3820"/>
      </w:pPr>
      <w:r>
        <w:rPr/>
        <w:t>Complete</w:t>
      </w:r>
      <w:r>
        <w:rPr/>
        <w:t xml:space="preserve"> equipment with a processing capacity of 5 tons/day, ordinary layout, main plant</w:t>
      </w:r>
      <w:r>
        <w:rPr/>
        <w:t xml:space="preserve"> building area approx. 800m2. Height design:</w:t>
      </w:r>
      <w:r>
        <w:t xml:space="preserve"> waste room 12m,</w:t>
      </w:r>
      <w:r>
        <w:rPr/>
        <w:t xml:space="preserve"> main equipment</w:t>
      </w:r>
      <w:r>
        <w:t xml:space="preserve"> plant 10m,</w:t>
      </w:r>
      <w:r>
        <w:rPr/>
        <w:t xml:space="preserve"> auxiliary</w:t>
      </w:r>
      <w:r>
        <w:t xml:space="preserve"> building 3m;</w:t>
      </w:r>
    </w:p>
    <w:p w14:paraId="6AD1B7CC">
      <w:pPr>
        <w:pStyle w:val="5"/>
        <w:spacing w:before="2"/>
        <w:rPr>
          <w:sz w:val="5"/>
        </w:rPr>
      </w:pPr>
    </w:p>
    <w:p w14:paraId="57F0404B">
      <w:pPr>
        <w:pStyle w:val="5"/>
        <w:spacing w:after="0"/>
        <w:rPr>
          <w:sz w:val="5"/>
        </w:rPr>
        <w:sectPr>
          <w:pgSz w:w="11910" w:h="16840"/>
          <w:pgMar w:top="1400" w:right="283" w:bottom="820" w:left="850" w:header="761" w:footer="628" w:gutter="0"/>
          <w:cols w:space="720" w:num="1"/>
        </w:sectPr>
      </w:pPr>
    </w:p>
    <w:p w14:paraId="11FCD223">
      <w:pPr>
        <w:pStyle w:val="2"/>
        <w:spacing w:before="422"/>
        <w:ind w:left="928" w:right="613"/>
      </w:pPr>
      <w:bookmarkStart w:id="21" w:name="_bookmark22"/>
      <w:bookmarkEnd w:id="21"/>
      <w:r>
        <w:rPr/>
        <w:t>Chapter 4 Project Implementation and Schedule</w:t>
      </w:r>
    </w:p>
    <w:p w14:paraId="764BFE2C">
      <w:pPr>
        <w:pStyle w:val="5"/>
        <w:spacing w:before="505"/>
        <w:rPr>
          <w:sz w:val="44"/>
        </w:rPr>
      </w:pPr>
    </w:p>
    <w:p w14:paraId="53BCED9F">
      <w:pPr>
        <w:pStyle w:val="5"/>
        <w:spacing w:line="405" w:lineRule="auto"/>
        <w:ind w:left="230" w:right="796" w:firstLine="480"/>
      </w:pPr>
      <w:r>
        <w:rPr/>
        <w:t>The project implements the owner responsibility system. The owner entrusts the design, raises construction funds, organizes the bidding and tendering of the project, complies</w:t>
      </w:r>
      <w:r>
        <w:rPr/>
        <w:t xml:space="preserve"> with the relevant requirements of the contract law, and organizes construction and production. The project duration is</w:t>
      </w:r>
      <w:r>
        <w:rPr>
          <w:rFonts w:ascii="Times New Roman" w:eastAsia="Times New Roman"/>
          <w:color w:val="FF0000"/>
        </w:rPr>
        <w:t xml:space="preserve"> expected to be</w:t>
      </w:r>
      <w:r>
        <w:rPr>
          <w:color w:val="FF0000"/>
        </w:rPr>
        <w:t xml:space="preserve"> 120 days.</w:t>
      </w:r>
    </w:p>
    <w:p w14:paraId="0D4A689E">
      <w:pPr>
        <w:spacing w:before="0"/>
        <w:ind w:right="880"/>
        <w:jc w:val="center"/>
        <w:rPr>
          <w:rFonts w:ascii="Times New Roman" w:eastAsia="Times New Roman"/>
          <w:b/>
          <w:sz w:val="21"/>
        </w:rPr>
      </w:pPr>
    </w:p>
    <w:p w14:paraId="3E33AF8A">
      <w:pPr>
        <w:spacing w:before="0"/>
        <w:ind w:right="880"/>
        <w:jc w:val="center"/>
        <w:rPr>
          <w:sz w:val="21"/>
        </w:rPr>
      </w:pPr>
      <w:r>
        <w:rPr>
          <w:rFonts w:ascii="Times New Roman" w:eastAsia="Times New Roman"/>
          <w:b/>
          <w:sz w:val="21"/>
        </w:rPr>
        <w:t>4-1 Installation</w:t>
      </w:r>
      <w:r>
        <w:rPr>
          <w:rFonts w:ascii="Times New Roman" w:eastAsia="Times New Roman"/>
          <w:b/>
          <w:spacing w:val="49"/>
          <w:sz w:val="21"/>
        </w:rPr>
        <w:t/>
      </w:r>
      <w:r>
        <w:rPr>
          <w:sz w:val="21"/>
        </w:rPr>
        <w:t xml:space="preserve"> and Commissioning Schedule</w:t>
      </w:r>
    </w:p>
    <w:p w14:paraId="18266485">
      <w:pPr>
        <w:pStyle w:val="5"/>
        <w:spacing w:before="1"/>
        <w:rPr>
          <w:sz w:val="12"/>
        </w:rPr>
      </w:pPr>
    </w:p>
    <w:tbl>
      <w:tblPr>
        <w:tblStyle w:val="12"/>
        <w:tblW w:w="0" w:type="auto"/>
        <w:tblInd w:w="2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0"/>
        <w:gridCol w:w="1707"/>
        <w:gridCol w:w="1078"/>
        <w:gridCol w:w="984"/>
        <w:gridCol w:w="982"/>
        <w:gridCol w:w="984"/>
        <w:gridCol w:w="1148"/>
        <w:gridCol w:w="1150"/>
        <w:gridCol w:w="1314"/>
      </w:tblGrid>
      <w:tr w14:paraId="3144F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6" w:hRule="atLeast"/>
        </w:trPr>
        <w:tc>
          <w:tcPr>
            <w:tcW w:w="620" w:type="dxa"/>
          </w:tcPr>
          <w:p w14:paraId="670EB6C0">
            <w:pPr>
              <w:pStyle w:val="16"/>
              <w:rPr>
                <w:rFonts w:ascii="Times New Roman"/>
                <w:sz w:val="22"/>
              </w:rPr>
            </w:pPr>
          </w:p>
        </w:tc>
        <w:tc>
          <w:tcPr>
            <w:tcW w:w="9347" w:type="dxa"/>
            <w:gridSpan w:val="8"/>
          </w:tcPr>
          <w:p w14:paraId="47425454">
            <w:pPr>
              <w:pStyle w:val="16"/>
              <w:spacing w:before="6"/>
              <w:rPr>
                <w:sz w:val="18"/>
              </w:rPr>
            </w:pPr>
          </w:p>
          <w:p w14:paraId="2C099BE7">
            <w:pPr>
              <w:pStyle w:val="16"/>
              <w:ind w:left="2"/>
              <w:jc w:val="center"/>
              <w:rPr>
                <w:sz w:val="18"/>
              </w:rPr>
            </w:pPr>
            <w:r>
              <w:rPr>
                <w:sz w:val="18"/>
              </w:rPr>
              <w:t>Timeline</w:t>
            </w:r>
            <w:r>
              <w:rPr>
                <w:rFonts w:ascii="Calibri" w:eastAsia="Calibri"/>
                <w:sz w:val="18"/>
              </w:rPr>
              <w:t xml:space="preserve"> (Day</w:t>
            </w:r>
            <w:r>
              <w:rPr>
                <w:sz w:val="18"/>
              </w:rPr>
              <w:t xml:space="preserve"> *</w:t>
            </w:r>
            <w:r>
              <w:rPr>
                <w:sz w:val="18"/>
              </w:rPr>
              <w:t>*)</w:t>
            </w:r>
          </w:p>
        </w:tc>
      </w:tr>
      <w:tr w14:paraId="3BEE4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620" w:type="dxa"/>
          </w:tcPr>
          <w:p w14:paraId="72EC77C3">
            <w:pPr>
              <w:pStyle w:val="16"/>
              <w:spacing w:before="217"/>
              <w:ind w:left="108"/>
              <w:rPr>
                <w:rFonts w:ascii="Calibri"/>
                <w:sz w:val="21"/>
              </w:rPr>
            </w:pPr>
            <w:r>
              <w:rPr>
                <w:rFonts w:ascii="Calibri"/>
                <w:spacing w:val="-10"/>
                <w:sz w:val="21"/>
              </w:rPr>
              <w:t>1</w:t>
            </w:r>
          </w:p>
        </w:tc>
        <w:tc>
          <w:tcPr>
            <w:tcW w:w="1707" w:type="dxa"/>
          </w:tcPr>
          <w:p w14:paraId="4C7566D0">
            <w:pPr>
              <w:pStyle w:val="16"/>
              <w:spacing w:before="207"/>
              <w:ind w:left="107"/>
              <w:rPr>
                <w:sz w:val="21"/>
              </w:rPr>
            </w:pPr>
            <w:r>
              <w:rPr>
                <w:sz w:val="21"/>
              </w:rPr>
              <w:t>Equipment design and fabrication</w:t>
            </w:r>
          </w:p>
        </w:tc>
        <w:tc>
          <w:tcPr>
            <w:tcW w:w="1078" w:type="dxa"/>
          </w:tcPr>
          <w:p w14:paraId="64551C7F">
            <w:pPr>
              <w:pStyle w:val="16"/>
              <w:spacing w:before="15"/>
              <w:rPr>
                <w:sz w:val="18"/>
              </w:rPr>
            </w:pPr>
          </w:p>
          <w:p w14:paraId="5C52E3C1">
            <w:pPr>
              <w:pStyle w:val="16"/>
              <w:ind w:left="107"/>
              <w:rPr>
                <w:rFonts w:ascii="Calibri" w:hAnsi="Calibri"/>
                <w:sz w:val="18"/>
              </w:rPr>
            </w:pPr>
            <w:r>
              <w:rPr>
                <w:rFonts w:ascii="Calibri" w:hAnsi="Calibri"/>
                <w:spacing w:val="-2"/>
                <w:sz w:val="18"/>
              </w:rPr>
              <w:t>1—</w:t>
            </w:r>
            <w:r>
              <w:rPr>
                <w:rFonts w:ascii="Calibri" w:hAnsi="Calibri"/>
                <w:spacing w:val="-5"/>
                <w:sz w:val="18"/>
              </w:rPr>
              <w:t>60</w:t>
            </w:r>
          </w:p>
        </w:tc>
        <w:tc>
          <w:tcPr>
            <w:tcW w:w="984" w:type="dxa"/>
          </w:tcPr>
          <w:p w14:paraId="48BAEAEE">
            <w:pPr>
              <w:pStyle w:val="16"/>
              <w:rPr>
                <w:rFonts w:ascii="Times New Roman"/>
                <w:sz w:val="22"/>
              </w:rPr>
            </w:pPr>
          </w:p>
        </w:tc>
        <w:tc>
          <w:tcPr>
            <w:tcW w:w="982" w:type="dxa"/>
          </w:tcPr>
          <w:p w14:paraId="11E83624">
            <w:pPr>
              <w:pStyle w:val="16"/>
              <w:rPr>
                <w:rFonts w:ascii="Times New Roman"/>
                <w:sz w:val="22"/>
              </w:rPr>
            </w:pPr>
          </w:p>
        </w:tc>
        <w:tc>
          <w:tcPr>
            <w:tcW w:w="984" w:type="dxa"/>
          </w:tcPr>
          <w:p w14:paraId="0BF00B77">
            <w:pPr>
              <w:pStyle w:val="16"/>
              <w:rPr>
                <w:rFonts w:ascii="Times New Roman"/>
                <w:sz w:val="22"/>
              </w:rPr>
            </w:pPr>
          </w:p>
        </w:tc>
        <w:tc>
          <w:tcPr>
            <w:tcW w:w="1148" w:type="dxa"/>
          </w:tcPr>
          <w:p w14:paraId="5086C09F">
            <w:pPr>
              <w:pStyle w:val="16"/>
              <w:rPr>
                <w:rFonts w:ascii="Times New Roman"/>
                <w:sz w:val="22"/>
              </w:rPr>
            </w:pPr>
          </w:p>
        </w:tc>
        <w:tc>
          <w:tcPr>
            <w:tcW w:w="1150" w:type="dxa"/>
          </w:tcPr>
          <w:p w14:paraId="733A3AE8">
            <w:pPr>
              <w:pStyle w:val="16"/>
              <w:rPr>
                <w:rFonts w:ascii="Times New Roman"/>
                <w:sz w:val="22"/>
              </w:rPr>
            </w:pPr>
          </w:p>
        </w:tc>
        <w:tc>
          <w:tcPr>
            <w:tcW w:w="1314" w:type="dxa"/>
          </w:tcPr>
          <w:p w14:paraId="6955E0FF">
            <w:pPr>
              <w:pStyle w:val="16"/>
              <w:rPr>
                <w:rFonts w:ascii="Times New Roman"/>
                <w:sz w:val="22"/>
              </w:rPr>
            </w:pPr>
          </w:p>
        </w:tc>
      </w:tr>
      <w:tr w14:paraId="19D47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620" w:type="dxa"/>
          </w:tcPr>
          <w:p w14:paraId="69A80B48">
            <w:pPr>
              <w:pStyle w:val="16"/>
              <w:spacing w:before="217"/>
              <w:ind w:left="108"/>
              <w:rPr>
                <w:rFonts w:ascii="Calibri"/>
                <w:sz w:val="21"/>
              </w:rPr>
            </w:pPr>
            <w:r>
              <w:rPr>
                <w:rFonts w:ascii="Calibri"/>
                <w:spacing w:val="-10"/>
                <w:sz w:val="21"/>
              </w:rPr>
              <w:t>2</w:t>
            </w:r>
          </w:p>
        </w:tc>
        <w:tc>
          <w:tcPr>
            <w:tcW w:w="1707" w:type="dxa"/>
          </w:tcPr>
          <w:p w14:paraId="7311EDE3">
            <w:pPr>
              <w:pStyle w:val="16"/>
              <w:spacing w:before="207"/>
              <w:ind w:left="107"/>
              <w:rPr>
                <w:sz w:val="21"/>
              </w:rPr>
            </w:pPr>
            <w:r>
              <w:rPr>
                <w:sz w:val="21"/>
              </w:rPr>
              <w:t>Equipment shipment</w:t>
            </w:r>
          </w:p>
        </w:tc>
        <w:tc>
          <w:tcPr>
            <w:tcW w:w="1078" w:type="dxa"/>
          </w:tcPr>
          <w:p w14:paraId="5BEED7B5">
            <w:pPr>
              <w:pStyle w:val="16"/>
              <w:rPr>
                <w:rFonts w:ascii="Times New Roman"/>
                <w:sz w:val="22"/>
              </w:rPr>
            </w:pPr>
          </w:p>
        </w:tc>
        <w:tc>
          <w:tcPr>
            <w:tcW w:w="984" w:type="dxa"/>
          </w:tcPr>
          <w:p w14:paraId="2385C5A7">
            <w:pPr>
              <w:pStyle w:val="16"/>
              <w:spacing w:before="15"/>
              <w:rPr>
                <w:sz w:val="18"/>
              </w:rPr>
            </w:pPr>
          </w:p>
          <w:p w14:paraId="1D132A8E">
            <w:pPr>
              <w:pStyle w:val="16"/>
              <w:ind w:left="107"/>
              <w:rPr>
                <w:rFonts w:ascii="Calibri"/>
                <w:sz w:val="18"/>
              </w:rPr>
            </w:pPr>
            <w:r>
              <w:rPr>
                <w:rFonts w:ascii="Calibri"/>
                <w:spacing w:val="-2"/>
                <w:sz w:val="18"/>
              </w:rPr>
              <w:t>61-</w:t>
            </w:r>
            <w:r>
              <w:rPr>
                <w:rFonts w:ascii="Calibri"/>
                <w:spacing w:val="-7"/>
                <w:sz w:val="18"/>
              </w:rPr>
              <w:t>67</w:t>
            </w:r>
          </w:p>
        </w:tc>
        <w:tc>
          <w:tcPr>
            <w:tcW w:w="982" w:type="dxa"/>
          </w:tcPr>
          <w:p w14:paraId="45E54B4D">
            <w:pPr>
              <w:pStyle w:val="16"/>
              <w:rPr>
                <w:rFonts w:ascii="Times New Roman"/>
                <w:sz w:val="22"/>
              </w:rPr>
            </w:pPr>
          </w:p>
        </w:tc>
        <w:tc>
          <w:tcPr>
            <w:tcW w:w="984" w:type="dxa"/>
          </w:tcPr>
          <w:p w14:paraId="748A843F">
            <w:pPr>
              <w:pStyle w:val="16"/>
              <w:rPr>
                <w:rFonts w:ascii="Times New Roman"/>
                <w:sz w:val="22"/>
              </w:rPr>
            </w:pPr>
          </w:p>
        </w:tc>
        <w:tc>
          <w:tcPr>
            <w:tcW w:w="1148" w:type="dxa"/>
          </w:tcPr>
          <w:p w14:paraId="3C140086">
            <w:pPr>
              <w:pStyle w:val="16"/>
              <w:rPr>
                <w:rFonts w:ascii="Times New Roman"/>
                <w:sz w:val="22"/>
              </w:rPr>
            </w:pPr>
          </w:p>
        </w:tc>
        <w:tc>
          <w:tcPr>
            <w:tcW w:w="1150" w:type="dxa"/>
          </w:tcPr>
          <w:p w14:paraId="07757E57">
            <w:pPr>
              <w:pStyle w:val="16"/>
              <w:rPr>
                <w:rFonts w:ascii="Times New Roman"/>
                <w:sz w:val="22"/>
              </w:rPr>
            </w:pPr>
          </w:p>
        </w:tc>
        <w:tc>
          <w:tcPr>
            <w:tcW w:w="1314" w:type="dxa"/>
          </w:tcPr>
          <w:p w14:paraId="0E6ACD05">
            <w:pPr>
              <w:pStyle w:val="16"/>
              <w:rPr>
                <w:rFonts w:ascii="Times New Roman"/>
                <w:sz w:val="22"/>
              </w:rPr>
            </w:pPr>
          </w:p>
        </w:tc>
      </w:tr>
      <w:tr w14:paraId="4C9FA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31782139">
            <w:pPr>
              <w:pStyle w:val="16"/>
              <w:spacing w:before="218"/>
              <w:ind w:left="108"/>
              <w:rPr>
                <w:rFonts w:ascii="Calibri"/>
                <w:sz w:val="21"/>
              </w:rPr>
            </w:pPr>
            <w:r>
              <w:rPr>
                <w:rFonts w:ascii="Calibri"/>
                <w:spacing w:val="-10"/>
                <w:sz w:val="21"/>
              </w:rPr>
              <w:t>3</w:t>
            </w:r>
          </w:p>
        </w:tc>
        <w:tc>
          <w:tcPr>
            <w:tcW w:w="1707" w:type="dxa"/>
          </w:tcPr>
          <w:p w14:paraId="1B507A84">
            <w:pPr>
              <w:pStyle w:val="16"/>
              <w:spacing w:before="208"/>
              <w:ind w:left="107"/>
              <w:rPr>
                <w:sz w:val="21"/>
              </w:rPr>
            </w:pPr>
            <w:r>
              <w:rPr>
                <w:sz w:val="21"/>
              </w:rPr>
              <w:t>Equipment installation</w:t>
            </w:r>
          </w:p>
        </w:tc>
        <w:tc>
          <w:tcPr>
            <w:tcW w:w="1078" w:type="dxa"/>
          </w:tcPr>
          <w:p w14:paraId="7A1B502D">
            <w:pPr>
              <w:pStyle w:val="16"/>
              <w:rPr>
                <w:rFonts w:ascii="Times New Roman"/>
                <w:sz w:val="22"/>
              </w:rPr>
            </w:pPr>
          </w:p>
        </w:tc>
        <w:tc>
          <w:tcPr>
            <w:tcW w:w="984" w:type="dxa"/>
          </w:tcPr>
          <w:p w14:paraId="7B44C145">
            <w:pPr>
              <w:pStyle w:val="16"/>
              <w:rPr>
                <w:rFonts w:ascii="Times New Roman"/>
                <w:sz w:val="22"/>
              </w:rPr>
            </w:pPr>
          </w:p>
        </w:tc>
        <w:tc>
          <w:tcPr>
            <w:tcW w:w="982" w:type="dxa"/>
          </w:tcPr>
          <w:p w14:paraId="6A0C57F4">
            <w:pPr>
              <w:pStyle w:val="16"/>
              <w:rPr>
                <w:rFonts w:ascii="Times New Roman"/>
                <w:sz w:val="22"/>
              </w:rPr>
            </w:pPr>
          </w:p>
        </w:tc>
        <w:tc>
          <w:tcPr>
            <w:tcW w:w="984" w:type="dxa"/>
          </w:tcPr>
          <w:p w14:paraId="7BD8C254">
            <w:pPr>
              <w:pStyle w:val="16"/>
              <w:rPr>
                <w:rFonts w:ascii="Times New Roman"/>
                <w:sz w:val="22"/>
              </w:rPr>
            </w:pPr>
          </w:p>
        </w:tc>
        <w:tc>
          <w:tcPr>
            <w:tcW w:w="1148" w:type="dxa"/>
          </w:tcPr>
          <w:p w14:paraId="3E622201">
            <w:pPr>
              <w:pStyle w:val="16"/>
              <w:rPr>
                <w:rFonts w:ascii="Times New Roman"/>
                <w:sz w:val="22"/>
              </w:rPr>
            </w:pPr>
          </w:p>
        </w:tc>
        <w:tc>
          <w:tcPr>
            <w:tcW w:w="1150" w:type="dxa"/>
          </w:tcPr>
          <w:p w14:paraId="5E5319D8">
            <w:pPr>
              <w:pStyle w:val="16"/>
              <w:rPr>
                <w:rFonts w:ascii="Times New Roman"/>
                <w:sz w:val="22"/>
              </w:rPr>
            </w:pPr>
          </w:p>
        </w:tc>
        <w:tc>
          <w:tcPr>
            <w:tcW w:w="1314" w:type="dxa"/>
          </w:tcPr>
          <w:p w14:paraId="64393417">
            <w:pPr>
              <w:pStyle w:val="16"/>
              <w:rPr>
                <w:rFonts w:ascii="Times New Roman"/>
                <w:sz w:val="22"/>
              </w:rPr>
            </w:pPr>
          </w:p>
        </w:tc>
      </w:tr>
      <w:tr w14:paraId="3CCD2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620" w:type="dxa"/>
          </w:tcPr>
          <w:p w14:paraId="2B6830EC">
            <w:pPr>
              <w:pStyle w:val="16"/>
              <w:spacing w:before="215"/>
              <w:ind w:left="108"/>
              <w:rPr>
                <w:rFonts w:ascii="Calibri"/>
                <w:sz w:val="21"/>
              </w:rPr>
            </w:pPr>
            <w:r>
              <w:rPr>
                <w:rFonts w:ascii="Calibri"/>
                <w:spacing w:val="-5"/>
                <w:sz w:val="21"/>
              </w:rPr>
              <w:t>3.1</w:t>
            </w:r>
          </w:p>
        </w:tc>
        <w:tc>
          <w:tcPr>
            <w:tcW w:w="1707" w:type="dxa"/>
          </w:tcPr>
          <w:p w14:paraId="5D88B998">
            <w:pPr>
              <w:pStyle w:val="16"/>
              <w:spacing w:before="205"/>
              <w:ind w:left="107"/>
              <w:rPr>
                <w:sz w:val="21"/>
              </w:rPr>
            </w:pPr>
            <w:r>
              <w:rPr>
                <w:sz w:val="21"/>
              </w:rPr>
              <w:t>First installation of equipment</w:t>
            </w:r>
          </w:p>
        </w:tc>
        <w:tc>
          <w:tcPr>
            <w:tcW w:w="1078" w:type="dxa"/>
          </w:tcPr>
          <w:p w14:paraId="736E50E0">
            <w:pPr>
              <w:pStyle w:val="16"/>
              <w:rPr>
                <w:rFonts w:ascii="Times New Roman"/>
                <w:sz w:val="22"/>
              </w:rPr>
            </w:pPr>
          </w:p>
        </w:tc>
        <w:tc>
          <w:tcPr>
            <w:tcW w:w="984" w:type="dxa"/>
          </w:tcPr>
          <w:p w14:paraId="0E4F99BB">
            <w:pPr>
              <w:pStyle w:val="16"/>
              <w:rPr>
                <w:rFonts w:ascii="Times New Roman"/>
                <w:sz w:val="22"/>
              </w:rPr>
            </w:pPr>
          </w:p>
        </w:tc>
        <w:tc>
          <w:tcPr>
            <w:tcW w:w="982" w:type="dxa"/>
          </w:tcPr>
          <w:p w14:paraId="62437245">
            <w:pPr>
              <w:pStyle w:val="16"/>
              <w:spacing w:before="215"/>
              <w:ind w:left="107"/>
              <w:rPr>
                <w:rFonts w:ascii="Calibri"/>
                <w:sz w:val="21"/>
              </w:rPr>
            </w:pPr>
            <w:r>
              <w:rPr>
                <w:rFonts w:ascii="Calibri"/>
                <w:spacing w:val="-2"/>
                <w:sz w:val="21"/>
              </w:rPr>
              <w:t>68-</w:t>
            </w:r>
            <w:r>
              <w:rPr>
                <w:rFonts w:ascii="Calibri"/>
                <w:spacing w:val="-7"/>
                <w:sz w:val="21"/>
              </w:rPr>
              <w:t>88</w:t>
            </w:r>
          </w:p>
        </w:tc>
        <w:tc>
          <w:tcPr>
            <w:tcW w:w="984" w:type="dxa"/>
          </w:tcPr>
          <w:p w14:paraId="1FB9BDD6">
            <w:pPr>
              <w:pStyle w:val="16"/>
              <w:rPr>
                <w:rFonts w:ascii="Times New Roman"/>
                <w:sz w:val="22"/>
              </w:rPr>
            </w:pPr>
          </w:p>
        </w:tc>
        <w:tc>
          <w:tcPr>
            <w:tcW w:w="1148" w:type="dxa"/>
          </w:tcPr>
          <w:p w14:paraId="530089F2">
            <w:pPr>
              <w:pStyle w:val="16"/>
              <w:rPr>
                <w:rFonts w:ascii="Times New Roman"/>
                <w:sz w:val="22"/>
              </w:rPr>
            </w:pPr>
          </w:p>
        </w:tc>
        <w:tc>
          <w:tcPr>
            <w:tcW w:w="1150" w:type="dxa"/>
          </w:tcPr>
          <w:p w14:paraId="53F9E2C3">
            <w:pPr>
              <w:pStyle w:val="16"/>
              <w:rPr>
                <w:rFonts w:ascii="Times New Roman"/>
                <w:sz w:val="22"/>
              </w:rPr>
            </w:pPr>
          </w:p>
        </w:tc>
        <w:tc>
          <w:tcPr>
            <w:tcW w:w="1314" w:type="dxa"/>
          </w:tcPr>
          <w:p w14:paraId="3459F4C0">
            <w:pPr>
              <w:pStyle w:val="16"/>
              <w:rPr>
                <w:rFonts w:ascii="Times New Roman"/>
                <w:sz w:val="22"/>
              </w:rPr>
            </w:pPr>
          </w:p>
        </w:tc>
      </w:tr>
      <w:tr w14:paraId="78FA3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2DB461D2">
            <w:pPr>
              <w:pStyle w:val="16"/>
              <w:spacing w:before="217"/>
              <w:ind w:left="108"/>
              <w:rPr>
                <w:rFonts w:ascii="Calibri"/>
                <w:sz w:val="21"/>
              </w:rPr>
            </w:pPr>
            <w:r>
              <w:rPr>
                <w:rFonts w:ascii="Calibri"/>
                <w:spacing w:val="-5"/>
                <w:sz w:val="21"/>
              </w:rPr>
              <w:t>3.2</w:t>
            </w:r>
          </w:p>
        </w:tc>
        <w:tc>
          <w:tcPr>
            <w:tcW w:w="1707" w:type="dxa"/>
          </w:tcPr>
          <w:p w14:paraId="61F947F3">
            <w:pPr>
              <w:pStyle w:val="16"/>
              <w:spacing w:before="207"/>
              <w:ind w:left="107"/>
              <w:rPr>
                <w:sz w:val="21"/>
              </w:rPr>
            </w:pPr>
            <w:r>
              <w:rPr>
                <w:sz w:val="21"/>
              </w:rPr>
              <w:t>Second installation of equipment</w:t>
            </w:r>
          </w:p>
        </w:tc>
        <w:tc>
          <w:tcPr>
            <w:tcW w:w="1078" w:type="dxa"/>
          </w:tcPr>
          <w:p w14:paraId="37A1B8F4">
            <w:pPr>
              <w:pStyle w:val="16"/>
              <w:rPr>
                <w:rFonts w:ascii="Times New Roman"/>
                <w:sz w:val="22"/>
              </w:rPr>
            </w:pPr>
          </w:p>
        </w:tc>
        <w:tc>
          <w:tcPr>
            <w:tcW w:w="984" w:type="dxa"/>
          </w:tcPr>
          <w:p w14:paraId="64CCD8C3">
            <w:pPr>
              <w:pStyle w:val="16"/>
              <w:rPr>
                <w:rFonts w:ascii="Times New Roman"/>
                <w:sz w:val="22"/>
              </w:rPr>
            </w:pPr>
          </w:p>
        </w:tc>
        <w:tc>
          <w:tcPr>
            <w:tcW w:w="982" w:type="dxa"/>
          </w:tcPr>
          <w:p w14:paraId="0AA6BF42">
            <w:pPr>
              <w:pStyle w:val="16"/>
              <w:rPr>
                <w:rFonts w:ascii="Times New Roman"/>
                <w:sz w:val="22"/>
              </w:rPr>
            </w:pPr>
          </w:p>
        </w:tc>
        <w:tc>
          <w:tcPr>
            <w:tcW w:w="984" w:type="dxa"/>
          </w:tcPr>
          <w:p w14:paraId="7B3E2354">
            <w:pPr>
              <w:pStyle w:val="16"/>
              <w:spacing w:before="217"/>
              <w:ind w:left="107"/>
              <w:rPr>
                <w:rFonts w:ascii="Calibri"/>
                <w:sz w:val="21"/>
              </w:rPr>
            </w:pPr>
            <w:r>
              <w:rPr>
                <w:rFonts w:ascii="Calibri"/>
                <w:spacing w:val="-2"/>
                <w:sz w:val="21"/>
              </w:rPr>
              <w:t>89-</w:t>
            </w:r>
            <w:r>
              <w:rPr>
                <w:rFonts w:ascii="Calibri"/>
                <w:spacing w:val="-7"/>
                <w:sz w:val="21"/>
              </w:rPr>
              <w:t>96</w:t>
            </w:r>
          </w:p>
        </w:tc>
        <w:tc>
          <w:tcPr>
            <w:tcW w:w="1148" w:type="dxa"/>
          </w:tcPr>
          <w:p w14:paraId="2734C86B">
            <w:pPr>
              <w:pStyle w:val="16"/>
              <w:rPr>
                <w:rFonts w:ascii="Times New Roman"/>
                <w:sz w:val="22"/>
              </w:rPr>
            </w:pPr>
          </w:p>
        </w:tc>
        <w:tc>
          <w:tcPr>
            <w:tcW w:w="1150" w:type="dxa"/>
          </w:tcPr>
          <w:p w14:paraId="3C644E68">
            <w:pPr>
              <w:pStyle w:val="16"/>
              <w:rPr>
                <w:rFonts w:ascii="Times New Roman"/>
                <w:sz w:val="22"/>
              </w:rPr>
            </w:pPr>
          </w:p>
        </w:tc>
        <w:tc>
          <w:tcPr>
            <w:tcW w:w="1314" w:type="dxa"/>
          </w:tcPr>
          <w:p w14:paraId="76C69557">
            <w:pPr>
              <w:pStyle w:val="16"/>
              <w:rPr>
                <w:rFonts w:ascii="Times New Roman"/>
                <w:sz w:val="22"/>
              </w:rPr>
            </w:pPr>
          </w:p>
        </w:tc>
      </w:tr>
      <w:tr w14:paraId="3C28D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0E85A8CA">
            <w:pPr>
              <w:pStyle w:val="16"/>
              <w:spacing w:before="217"/>
              <w:ind w:left="108"/>
              <w:rPr>
                <w:rFonts w:ascii="Calibri"/>
                <w:sz w:val="21"/>
              </w:rPr>
            </w:pPr>
            <w:r>
              <w:rPr>
                <w:rFonts w:ascii="Calibri"/>
                <w:spacing w:val="-10"/>
                <w:sz w:val="21"/>
              </w:rPr>
              <w:t>4</w:t>
            </w:r>
          </w:p>
        </w:tc>
        <w:tc>
          <w:tcPr>
            <w:tcW w:w="1707" w:type="dxa"/>
          </w:tcPr>
          <w:p w14:paraId="0D20F2CB">
            <w:pPr>
              <w:pStyle w:val="16"/>
              <w:spacing w:before="207"/>
              <w:ind w:left="107"/>
              <w:rPr>
                <w:sz w:val="21"/>
              </w:rPr>
            </w:pPr>
            <w:r>
              <w:rPr>
                <w:sz w:val="21"/>
              </w:rPr>
              <w:t>Commissioning</w:t>
            </w:r>
            <w:r>
              <w:rPr>
                <w:sz w:val="21"/>
              </w:rPr>
              <w:t xml:space="preserve"> (training)</w:t>
            </w:r>
          </w:p>
        </w:tc>
        <w:tc>
          <w:tcPr>
            <w:tcW w:w="1078" w:type="dxa"/>
          </w:tcPr>
          <w:p w14:paraId="60FD70F5">
            <w:pPr>
              <w:pStyle w:val="16"/>
              <w:rPr>
                <w:rFonts w:ascii="Times New Roman"/>
                <w:sz w:val="22"/>
              </w:rPr>
            </w:pPr>
          </w:p>
        </w:tc>
        <w:tc>
          <w:tcPr>
            <w:tcW w:w="984" w:type="dxa"/>
          </w:tcPr>
          <w:p w14:paraId="7067681A">
            <w:pPr>
              <w:pStyle w:val="16"/>
              <w:rPr>
                <w:rFonts w:ascii="Times New Roman"/>
                <w:sz w:val="22"/>
              </w:rPr>
            </w:pPr>
          </w:p>
        </w:tc>
        <w:tc>
          <w:tcPr>
            <w:tcW w:w="982" w:type="dxa"/>
          </w:tcPr>
          <w:p w14:paraId="66EA2E77">
            <w:pPr>
              <w:pStyle w:val="16"/>
              <w:rPr>
                <w:rFonts w:ascii="Times New Roman"/>
                <w:sz w:val="22"/>
              </w:rPr>
            </w:pPr>
          </w:p>
        </w:tc>
        <w:tc>
          <w:tcPr>
            <w:tcW w:w="984" w:type="dxa"/>
          </w:tcPr>
          <w:p w14:paraId="3F3B7254">
            <w:pPr>
              <w:pStyle w:val="16"/>
              <w:rPr>
                <w:rFonts w:ascii="Times New Roman"/>
                <w:sz w:val="22"/>
              </w:rPr>
            </w:pPr>
          </w:p>
        </w:tc>
        <w:tc>
          <w:tcPr>
            <w:tcW w:w="1148" w:type="dxa"/>
          </w:tcPr>
          <w:p w14:paraId="50FBFD8A">
            <w:pPr>
              <w:pStyle w:val="16"/>
              <w:spacing w:before="217"/>
              <w:ind w:left="107"/>
              <w:rPr>
                <w:rFonts w:ascii="Calibri"/>
                <w:sz w:val="21"/>
              </w:rPr>
            </w:pPr>
            <w:r>
              <w:rPr>
                <w:rFonts w:ascii="Calibri"/>
                <w:spacing w:val="-2"/>
                <w:sz w:val="21"/>
              </w:rPr>
              <w:t>97-</w:t>
            </w:r>
            <w:r>
              <w:rPr>
                <w:rFonts w:ascii="Calibri"/>
                <w:spacing w:val="-5"/>
                <w:sz w:val="21"/>
              </w:rPr>
              <w:t>104</w:t>
            </w:r>
          </w:p>
        </w:tc>
        <w:tc>
          <w:tcPr>
            <w:tcW w:w="1150" w:type="dxa"/>
          </w:tcPr>
          <w:p w14:paraId="03AA4D2C">
            <w:pPr>
              <w:pStyle w:val="16"/>
              <w:rPr>
                <w:rFonts w:ascii="Times New Roman"/>
                <w:sz w:val="22"/>
              </w:rPr>
            </w:pPr>
          </w:p>
        </w:tc>
        <w:tc>
          <w:tcPr>
            <w:tcW w:w="1314" w:type="dxa"/>
          </w:tcPr>
          <w:p w14:paraId="64A481B8">
            <w:pPr>
              <w:pStyle w:val="16"/>
              <w:rPr>
                <w:rFonts w:ascii="Times New Roman"/>
                <w:sz w:val="22"/>
              </w:rPr>
            </w:pPr>
          </w:p>
        </w:tc>
      </w:tr>
      <w:tr w14:paraId="185DB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5BDDC148">
            <w:pPr>
              <w:pStyle w:val="16"/>
              <w:spacing w:before="217"/>
              <w:ind w:left="108"/>
              <w:rPr>
                <w:rFonts w:ascii="Calibri"/>
                <w:sz w:val="21"/>
              </w:rPr>
            </w:pPr>
            <w:r>
              <w:rPr>
                <w:rFonts w:ascii="Calibri"/>
                <w:spacing w:val="-10"/>
                <w:sz w:val="21"/>
              </w:rPr>
              <w:t>5</w:t>
            </w:r>
          </w:p>
        </w:tc>
        <w:tc>
          <w:tcPr>
            <w:tcW w:w="1707" w:type="dxa"/>
          </w:tcPr>
          <w:p w14:paraId="3422E4AD">
            <w:pPr>
              <w:pStyle w:val="16"/>
              <w:spacing w:before="207"/>
              <w:ind w:left="107"/>
              <w:rPr>
                <w:sz w:val="21"/>
              </w:rPr>
            </w:pPr>
            <w:r>
              <w:rPr>
                <w:sz w:val="21"/>
              </w:rPr>
              <w:t>Furnace curing</w:t>
            </w:r>
            <w:r>
              <w:rPr>
                <w:sz w:val="21"/>
              </w:rPr>
              <w:t xml:space="preserve"> (training)</w:t>
            </w:r>
          </w:p>
        </w:tc>
        <w:tc>
          <w:tcPr>
            <w:tcW w:w="1078" w:type="dxa"/>
          </w:tcPr>
          <w:p w14:paraId="12D1A8A5">
            <w:pPr>
              <w:pStyle w:val="16"/>
              <w:rPr>
                <w:rFonts w:ascii="Times New Roman"/>
                <w:sz w:val="22"/>
              </w:rPr>
            </w:pPr>
          </w:p>
        </w:tc>
        <w:tc>
          <w:tcPr>
            <w:tcW w:w="984" w:type="dxa"/>
          </w:tcPr>
          <w:p w14:paraId="078FE315">
            <w:pPr>
              <w:pStyle w:val="16"/>
              <w:rPr>
                <w:rFonts w:ascii="Times New Roman"/>
                <w:sz w:val="22"/>
              </w:rPr>
            </w:pPr>
          </w:p>
        </w:tc>
        <w:tc>
          <w:tcPr>
            <w:tcW w:w="982" w:type="dxa"/>
          </w:tcPr>
          <w:p w14:paraId="3FEE0360">
            <w:pPr>
              <w:pStyle w:val="16"/>
              <w:rPr>
                <w:rFonts w:ascii="Times New Roman"/>
                <w:sz w:val="22"/>
              </w:rPr>
            </w:pPr>
          </w:p>
        </w:tc>
        <w:tc>
          <w:tcPr>
            <w:tcW w:w="984" w:type="dxa"/>
          </w:tcPr>
          <w:p w14:paraId="6517C0C6">
            <w:pPr>
              <w:pStyle w:val="16"/>
              <w:rPr>
                <w:rFonts w:ascii="Times New Roman"/>
                <w:sz w:val="22"/>
              </w:rPr>
            </w:pPr>
          </w:p>
        </w:tc>
        <w:tc>
          <w:tcPr>
            <w:tcW w:w="1148" w:type="dxa"/>
          </w:tcPr>
          <w:p w14:paraId="6521C248">
            <w:pPr>
              <w:pStyle w:val="16"/>
              <w:rPr>
                <w:rFonts w:ascii="Times New Roman"/>
                <w:sz w:val="22"/>
              </w:rPr>
            </w:pPr>
          </w:p>
        </w:tc>
        <w:tc>
          <w:tcPr>
            <w:tcW w:w="1150" w:type="dxa"/>
          </w:tcPr>
          <w:p w14:paraId="57D13BE4">
            <w:pPr>
              <w:pStyle w:val="16"/>
              <w:spacing w:before="217"/>
              <w:ind w:left="106"/>
              <w:rPr>
                <w:rFonts w:ascii="Calibri"/>
                <w:sz w:val="21"/>
              </w:rPr>
            </w:pPr>
            <w:r>
              <w:rPr>
                <w:rFonts w:ascii="Calibri"/>
                <w:spacing w:val="-2"/>
                <w:sz w:val="21"/>
              </w:rPr>
              <w:t>105-</w:t>
            </w:r>
            <w:r>
              <w:rPr>
                <w:rFonts w:ascii="Calibri"/>
                <w:spacing w:val="-5"/>
                <w:sz w:val="21"/>
              </w:rPr>
              <w:t>113</w:t>
            </w:r>
          </w:p>
        </w:tc>
        <w:tc>
          <w:tcPr>
            <w:tcW w:w="1314" w:type="dxa"/>
          </w:tcPr>
          <w:p w14:paraId="4B647E3D">
            <w:pPr>
              <w:pStyle w:val="16"/>
              <w:rPr>
                <w:rFonts w:ascii="Times New Roman"/>
                <w:sz w:val="22"/>
              </w:rPr>
            </w:pPr>
          </w:p>
        </w:tc>
      </w:tr>
      <w:tr w14:paraId="4E5B68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620" w:type="dxa"/>
          </w:tcPr>
          <w:p w14:paraId="473AE6E7">
            <w:pPr>
              <w:pStyle w:val="16"/>
              <w:spacing w:before="217"/>
              <w:ind w:left="108"/>
              <w:rPr>
                <w:rFonts w:ascii="Calibri"/>
                <w:sz w:val="21"/>
              </w:rPr>
            </w:pPr>
            <w:r>
              <w:rPr>
                <w:rFonts w:ascii="Calibri"/>
                <w:spacing w:val="-10"/>
                <w:sz w:val="21"/>
              </w:rPr>
              <w:t>6</w:t>
            </w:r>
          </w:p>
        </w:tc>
        <w:tc>
          <w:tcPr>
            <w:tcW w:w="1707" w:type="dxa"/>
          </w:tcPr>
          <w:p w14:paraId="50A0CB15">
            <w:pPr>
              <w:pStyle w:val="16"/>
              <w:spacing w:before="207"/>
              <w:ind w:left="107"/>
              <w:rPr>
                <w:sz w:val="21"/>
              </w:rPr>
            </w:pPr>
            <w:r>
              <w:rPr>
                <w:sz w:val="21"/>
              </w:rPr>
              <w:t>Trial operation</w:t>
            </w:r>
            <w:r>
              <w:rPr>
                <w:sz w:val="21"/>
              </w:rPr>
              <w:t xml:space="preserve"> (training)</w:t>
            </w:r>
          </w:p>
        </w:tc>
        <w:tc>
          <w:tcPr>
            <w:tcW w:w="1078" w:type="dxa"/>
          </w:tcPr>
          <w:p w14:paraId="2D067BEA">
            <w:pPr>
              <w:pStyle w:val="16"/>
              <w:rPr>
                <w:rFonts w:ascii="Times New Roman"/>
                <w:sz w:val="22"/>
              </w:rPr>
            </w:pPr>
          </w:p>
        </w:tc>
        <w:tc>
          <w:tcPr>
            <w:tcW w:w="984" w:type="dxa"/>
          </w:tcPr>
          <w:p w14:paraId="21765452">
            <w:pPr>
              <w:pStyle w:val="16"/>
              <w:rPr>
                <w:rFonts w:ascii="Times New Roman"/>
                <w:sz w:val="22"/>
              </w:rPr>
            </w:pPr>
          </w:p>
        </w:tc>
        <w:tc>
          <w:tcPr>
            <w:tcW w:w="982" w:type="dxa"/>
          </w:tcPr>
          <w:p w14:paraId="03B3A913">
            <w:pPr>
              <w:pStyle w:val="16"/>
              <w:rPr>
                <w:rFonts w:ascii="Times New Roman"/>
                <w:sz w:val="22"/>
              </w:rPr>
            </w:pPr>
          </w:p>
        </w:tc>
        <w:tc>
          <w:tcPr>
            <w:tcW w:w="984" w:type="dxa"/>
          </w:tcPr>
          <w:p w14:paraId="17B73E08">
            <w:pPr>
              <w:pStyle w:val="16"/>
              <w:rPr>
                <w:rFonts w:ascii="Times New Roman"/>
                <w:sz w:val="22"/>
              </w:rPr>
            </w:pPr>
          </w:p>
        </w:tc>
        <w:tc>
          <w:tcPr>
            <w:tcW w:w="1148" w:type="dxa"/>
          </w:tcPr>
          <w:p w14:paraId="3965B6CC">
            <w:pPr>
              <w:pStyle w:val="16"/>
              <w:rPr>
                <w:rFonts w:ascii="Times New Roman"/>
                <w:sz w:val="22"/>
              </w:rPr>
            </w:pPr>
          </w:p>
        </w:tc>
        <w:tc>
          <w:tcPr>
            <w:tcW w:w="1150" w:type="dxa"/>
          </w:tcPr>
          <w:p w14:paraId="5005F6DE">
            <w:pPr>
              <w:pStyle w:val="16"/>
              <w:rPr>
                <w:rFonts w:ascii="Times New Roman"/>
                <w:sz w:val="22"/>
              </w:rPr>
            </w:pPr>
          </w:p>
        </w:tc>
        <w:tc>
          <w:tcPr>
            <w:tcW w:w="1314" w:type="dxa"/>
          </w:tcPr>
          <w:p w14:paraId="5D76442C">
            <w:pPr>
              <w:pStyle w:val="16"/>
              <w:spacing w:before="217"/>
              <w:ind w:left="106"/>
              <w:rPr>
                <w:rFonts w:ascii="Calibri"/>
                <w:sz w:val="21"/>
              </w:rPr>
            </w:pPr>
            <w:r>
              <w:rPr>
                <w:rFonts w:ascii="Calibri"/>
                <w:spacing w:val="-2"/>
                <w:sz w:val="21"/>
              </w:rPr>
              <w:t>113-</w:t>
            </w:r>
            <w:r>
              <w:rPr>
                <w:rFonts w:ascii="Calibri"/>
                <w:spacing w:val="-5"/>
                <w:sz w:val="21"/>
              </w:rPr>
              <w:t>120</w:t>
            </w:r>
          </w:p>
        </w:tc>
      </w:tr>
    </w:tbl>
    <w:p w14:paraId="5406642B">
      <w:pPr>
        <w:pStyle w:val="16"/>
        <w:spacing w:after="0"/>
        <w:rPr>
          <w:rFonts w:ascii="Calibri"/>
          <w:sz w:val="21"/>
        </w:rPr>
        <w:sectPr>
          <w:pgSz w:w="11910" w:h="16840"/>
          <w:pgMar w:top="1400" w:right="283" w:bottom="820" w:left="850" w:header="761" w:footer="628" w:gutter="0"/>
          <w:cols w:space="720" w:num="1"/>
        </w:sectPr>
      </w:pPr>
    </w:p>
    <w:p w14:paraId="6F9DAF73">
      <w:pPr>
        <w:pStyle w:val="2"/>
        <w:spacing w:before="422"/>
        <w:ind w:right="908"/>
      </w:pPr>
      <w:bookmarkStart w:id="22" w:name="_bookmark23"/>
      <w:bookmarkEnd w:id="22"/>
      <w:r>
        <w:rPr/>
        <w:t>Chapter 5  Operating Cost Estimation</w:t>
      </w:r>
    </w:p>
    <w:p w14:paraId="6E8CB227">
      <w:pPr>
        <w:pStyle w:val="5"/>
        <w:spacing w:before="464" w:line="381" w:lineRule="auto"/>
        <w:ind w:left="230" w:right="880" w:firstLine="480"/>
      </w:pPr>
      <w:r>
        <w:rPr/>
        <w:t>The design scale of this project is</w:t>
      </w:r>
      <w:r>
        <w:rPr/>
        <w:t xml:space="preserve"> 5t/d. The unit operating cost of the project includes electricity fees, chemical fees, staff wages and maintenance management costs, as well as the calculated operating cost per ton of waste. See the table below; the specific calculation process is as follows:</w:t>
      </w:r>
    </w:p>
    <w:p w14:paraId="09313C04">
      <w:pPr>
        <w:pStyle w:val="15"/>
        <w:numPr>
          <w:ilvl w:val="0"/>
          <w:numId w:val="23"/>
        </w:numPr>
        <w:tabs>
          <w:tab w:val="left" w:pos="873"/>
          <w:t/>
          <w:tab w:val="left" w:pos="1070"/>
          <w:t/>
        </w:tabs>
        <w:spacing w:before="0" w:after="0" w:line="381" w:lineRule="auto"/>
        <w:ind w:left="873" w:right="699" w:hanging="360"/>
        <w:jc w:val="left"/>
        <w:rPr>
          <w:sz w:val="24"/>
        </w:rPr>
      </w:pPr>
      <w:r>
        <w:rPr>
          <w:sz w:val="24"/>
        </w:rPr>
        <w:tab/>
      </w:r>
      <w:r>
        <w:rPr>
          <w:sz w:val="24"/>
        </w:rPr>
        <w:t>Electricity cost: the installed power</w:t>
      </w:r>
      <w:r>
        <w:rPr>
          <w:sz w:val="24"/>
        </w:rPr>
        <w:t xml:space="preserve"> is about 100kwh; some</w:t>
      </w:r>
      <w:r>
        <w:rPr>
          <w:sz w:val="24"/>
        </w:rPr>
        <w:t xml:space="preserve"> equipment runs continuously and some intermittently, converted into a daily</w:t>
      </w:r>
      <w:r>
        <w:rPr>
          <w:sz w:val="24"/>
        </w:rPr>
        <w:t xml:space="preserve"> consumption of 1080kw. The average industrial electricity price</w:t>
      </w:r>
      <w:r>
        <w:rPr>
          <w:sz w:val="24"/>
        </w:rPr>
        <w:t xml:space="preserve"> in Bangladesh</w:t>
      </w:r>
      <w:r>
        <w:rPr>
          <w:sz w:val="24"/>
        </w:rPr>
        <w:t xml:space="preserve"> is about 0.56 RMB/kWh, so the electricity</w:t>
      </w:r>
      <w:r>
        <w:rPr>
          <w:sz w:val="24"/>
        </w:rPr>
        <w:t xml:space="preserve"> cost is</w:t>
      </w:r>
      <w:r>
        <w:rPr>
          <w:sz w:val="24"/>
        </w:rPr>
        <w:t xml:space="preserve"> about 605 RMB/day.</w:t>
      </w:r>
    </w:p>
    <w:p w14:paraId="0FE70517">
      <w:pPr>
        <w:pStyle w:val="15"/>
        <w:numPr>
          <w:ilvl w:val="0"/>
          <w:numId w:val="23"/>
        </w:numPr>
        <w:tabs>
          <w:tab w:val="left" w:pos="873"/>
          <w:t/>
          <w:tab w:val="left" w:pos="1070"/>
          <w:t/>
        </w:tabs>
        <w:spacing w:before="1" w:after="0" w:line="381" w:lineRule="auto"/>
        <w:ind w:left="873" w:right="819" w:hanging="360"/>
        <w:jc w:val="left"/>
        <w:rPr>
          <w:sz w:val="24"/>
        </w:rPr>
      </w:pPr>
      <w:r>
        <w:rPr>
          <w:sz w:val="24"/>
        </w:rPr>
        <w:tab/>
      </w:r>
      <w:r>
        <w:rPr>
          <w:sz w:val="24"/>
        </w:rPr>
        <w:t>Chemical fees: including caustic soda, urea, activated carbon, quicklime, deodorizing liquid, water, etc. Considering that prices are lower than in China,</w:t>
      </w:r>
      <w:r>
        <w:rPr>
          <w:sz w:val="24"/>
        </w:rPr>
        <w:t xml:space="preserve"> the total daily consumption is</w:t>
      </w:r>
      <w:r>
        <w:rPr>
          <w:sz w:val="24"/>
        </w:rPr>
        <w:t xml:space="preserve"> estimated at</w:t>
      </w:r>
      <w:r>
        <w:rPr>
          <w:sz w:val="24"/>
        </w:rPr>
        <w:t xml:space="preserve"> about 100 RMB.</w:t>
      </w:r>
    </w:p>
    <w:p w14:paraId="60071B97">
      <w:pPr>
        <w:pStyle w:val="5"/>
        <w:spacing w:before="80"/>
        <w:ind w:left="1070"/>
      </w:pPr>
      <w:r>
        <w:rPr>
          <w:color w:val="FF0000"/>
        </w:rPr>
        <w:t>Total plant workforce: 7 persons</w:t>
      </w:r>
      <w:r>
        <w:rPr>
          <w:color w:val="FF0000"/>
        </w:rPr>
        <w:t xml:space="preserve"> (calculated</w:t>
      </w:r>
      <w:r>
        <w:rPr>
          <w:color w:val="FF0000"/>
        </w:rPr>
        <w:t xml:space="preserve"> at</w:t>
      </w:r>
      <w:r>
        <w:rPr>
          <w:color w:val="FF0000"/>
        </w:rPr>
        <w:t xml:space="preserve"> the Bangladesh</w:t>
      </w:r>
      <w:r>
        <w:rPr>
          <w:color w:val="FF0000"/>
        </w:rPr>
        <w:t xml:space="preserve"> average wage</w:t>
      </w:r>
      <w:r>
        <w:rPr>
          <w:color w:val="FF0000"/>
        </w:rPr>
        <w:t xml:space="preserve"> of 800</w:t>
      </w:r>
      <w:r>
        <w:rPr>
          <w:color w:val="FF0000"/>
        </w:rPr>
        <w:t xml:space="preserve"> RMB/month)</w:t>
      </w:r>
    </w:p>
    <w:p w14:paraId="79C07497">
      <w:pPr>
        <w:pStyle w:val="5"/>
        <w:spacing w:before="6"/>
        <w:rPr>
          <w:sz w:val="13"/>
        </w:rPr>
      </w:pPr>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41"/>
        <w:gridCol w:w="3558"/>
        <w:gridCol w:w="1666"/>
        <w:gridCol w:w="1591"/>
        <w:gridCol w:w="1608"/>
      </w:tblGrid>
      <w:tr w14:paraId="5BBAB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060B3D67">
            <w:pPr>
              <w:pStyle w:val="16"/>
              <w:spacing w:before="207"/>
              <w:ind w:right="50"/>
              <w:jc w:val="center"/>
              <w:rPr>
                <w:sz w:val="21"/>
              </w:rPr>
            </w:pPr>
            <w:r>
              <w:rPr>
                <w:sz w:val="21"/>
              </w:rPr>
              <w:t>No.</w:t>
            </w:r>
          </w:p>
        </w:tc>
        <w:tc>
          <w:tcPr>
            <w:tcW w:w="3558" w:type="dxa"/>
          </w:tcPr>
          <w:p w14:paraId="082745E3">
            <w:pPr>
              <w:pStyle w:val="16"/>
              <w:spacing w:before="207"/>
              <w:ind w:left="528"/>
              <w:rPr>
                <w:sz w:val="21"/>
              </w:rPr>
            </w:pPr>
            <w:r>
              <w:rPr>
                <w:sz w:val="21"/>
              </w:rPr>
              <w:t>Position</w:t>
            </w:r>
          </w:p>
        </w:tc>
        <w:tc>
          <w:tcPr>
            <w:tcW w:w="1666" w:type="dxa"/>
          </w:tcPr>
          <w:p w14:paraId="5B00DBDB">
            <w:pPr>
              <w:pStyle w:val="16"/>
              <w:spacing w:before="207"/>
              <w:ind w:left="527"/>
              <w:rPr>
                <w:sz w:val="21"/>
              </w:rPr>
            </w:pPr>
            <w:r>
              <w:rPr>
                <w:sz w:val="21"/>
              </w:rPr>
              <w:t>Configuration</w:t>
            </w:r>
          </w:p>
        </w:tc>
        <w:tc>
          <w:tcPr>
            <w:tcW w:w="1591" w:type="dxa"/>
          </w:tcPr>
          <w:p w14:paraId="2B015EB7">
            <w:pPr>
              <w:pStyle w:val="16"/>
              <w:spacing w:before="207"/>
              <w:ind w:right="100"/>
              <w:jc w:val="center"/>
              <w:rPr>
                <w:sz w:val="21"/>
              </w:rPr>
            </w:pPr>
            <w:r>
              <w:rPr>
                <w:sz w:val="21"/>
              </w:rPr>
              <w:t>Shift system</w:t>
            </w:r>
          </w:p>
        </w:tc>
        <w:tc>
          <w:tcPr>
            <w:tcW w:w="1608" w:type="dxa"/>
          </w:tcPr>
          <w:p w14:paraId="7AAB7D1A">
            <w:pPr>
              <w:pStyle w:val="16"/>
              <w:spacing w:before="207"/>
              <w:ind w:left="528"/>
              <w:rPr>
                <w:sz w:val="21"/>
              </w:rPr>
            </w:pPr>
            <w:r>
              <w:rPr>
                <w:sz w:val="21"/>
              </w:rPr>
              <w:t>Headcount</w:t>
            </w:r>
          </w:p>
        </w:tc>
      </w:tr>
      <w:tr w14:paraId="59929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1F9ED87F">
            <w:pPr>
              <w:pStyle w:val="16"/>
              <w:spacing w:before="217"/>
              <w:ind w:right="495"/>
              <w:jc w:val="right"/>
              <w:rPr>
                <w:rFonts w:ascii="Calibri"/>
                <w:sz w:val="21"/>
              </w:rPr>
            </w:pPr>
            <w:r>
              <w:rPr>
                <w:rFonts w:ascii="Calibri"/>
                <w:spacing w:val="-10"/>
                <w:sz w:val="21"/>
              </w:rPr>
              <w:t>1</w:t>
            </w:r>
          </w:p>
        </w:tc>
        <w:tc>
          <w:tcPr>
            <w:tcW w:w="3558" w:type="dxa"/>
          </w:tcPr>
          <w:p w14:paraId="0EB7EB90">
            <w:pPr>
              <w:pStyle w:val="16"/>
              <w:spacing w:before="207"/>
              <w:ind w:left="528"/>
              <w:rPr>
                <w:sz w:val="21"/>
              </w:rPr>
            </w:pPr>
            <w:r>
              <w:rPr>
                <w:sz w:val="21"/>
              </w:rPr>
              <w:t>Mechanical and electrical maintenance worker</w:t>
            </w:r>
          </w:p>
        </w:tc>
        <w:tc>
          <w:tcPr>
            <w:tcW w:w="1666" w:type="dxa"/>
          </w:tcPr>
          <w:p w14:paraId="552AA1F1">
            <w:pPr>
              <w:pStyle w:val="16"/>
              <w:spacing w:before="217"/>
              <w:ind w:right="558"/>
              <w:jc w:val="right"/>
              <w:rPr>
                <w:rFonts w:ascii="Calibri"/>
                <w:sz w:val="21"/>
              </w:rPr>
            </w:pPr>
            <w:r>
              <w:rPr>
                <w:rFonts w:ascii="Calibri"/>
                <w:spacing w:val="-10"/>
                <w:sz w:val="21"/>
              </w:rPr>
              <w:t>1</w:t>
            </w:r>
          </w:p>
        </w:tc>
        <w:tc>
          <w:tcPr>
            <w:tcW w:w="1591" w:type="dxa"/>
          </w:tcPr>
          <w:p w14:paraId="4EC5B0E7">
            <w:pPr>
              <w:pStyle w:val="16"/>
              <w:spacing w:before="217"/>
              <w:ind w:right="521"/>
              <w:jc w:val="right"/>
              <w:rPr>
                <w:rFonts w:ascii="Calibri"/>
                <w:sz w:val="21"/>
              </w:rPr>
            </w:pPr>
            <w:r>
              <w:rPr>
                <w:rFonts w:ascii="Calibri"/>
                <w:spacing w:val="-10"/>
                <w:sz w:val="21"/>
              </w:rPr>
              <w:t>1</w:t>
            </w:r>
          </w:p>
        </w:tc>
        <w:tc>
          <w:tcPr>
            <w:tcW w:w="1608" w:type="dxa"/>
          </w:tcPr>
          <w:p w14:paraId="0FF6700C">
            <w:pPr>
              <w:pStyle w:val="16"/>
              <w:spacing w:before="217"/>
              <w:ind w:right="528"/>
              <w:jc w:val="right"/>
              <w:rPr>
                <w:rFonts w:ascii="Calibri"/>
                <w:sz w:val="21"/>
              </w:rPr>
            </w:pPr>
            <w:r>
              <w:rPr>
                <w:rFonts w:ascii="Calibri"/>
                <w:spacing w:val="-10"/>
                <w:sz w:val="21"/>
              </w:rPr>
              <w:t>1</w:t>
            </w:r>
          </w:p>
        </w:tc>
      </w:tr>
      <w:tr w14:paraId="20E76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541" w:type="dxa"/>
          </w:tcPr>
          <w:p w14:paraId="7B4BF4FF">
            <w:pPr>
              <w:pStyle w:val="16"/>
              <w:spacing w:before="215"/>
              <w:ind w:right="495"/>
              <w:jc w:val="right"/>
              <w:rPr>
                <w:rFonts w:ascii="Calibri"/>
                <w:sz w:val="21"/>
              </w:rPr>
            </w:pPr>
            <w:r>
              <w:rPr>
                <w:rFonts w:ascii="Calibri"/>
                <w:spacing w:val="-10"/>
                <w:sz w:val="21"/>
              </w:rPr>
              <w:t>2</w:t>
            </w:r>
          </w:p>
        </w:tc>
        <w:tc>
          <w:tcPr>
            <w:tcW w:w="3558" w:type="dxa"/>
          </w:tcPr>
          <w:p w14:paraId="23EF1E44">
            <w:pPr>
              <w:pStyle w:val="16"/>
              <w:spacing w:before="205"/>
              <w:ind w:left="528"/>
              <w:rPr>
                <w:sz w:val="21"/>
              </w:rPr>
            </w:pPr>
            <w:r>
              <w:rPr>
                <w:sz w:val="21"/>
              </w:rPr>
              <w:t>Central control room operation and monitoring</w:t>
            </w:r>
          </w:p>
        </w:tc>
        <w:tc>
          <w:tcPr>
            <w:tcW w:w="1666" w:type="dxa"/>
          </w:tcPr>
          <w:p w14:paraId="385B59FD">
            <w:pPr>
              <w:pStyle w:val="16"/>
              <w:spacing w:before="215"/>
              <w:ind w:right="558"/>
              <w:jc w:val="right"/>
              <w:rPr>
                <w:rFonts w:ascii="Calibri"/>
                <w:sz w:val="21"/>
              </w:rPr>
            </w:pPr>
            <w:r>
              <w:rPr>
                <w:rFonts w:ascii="Calibri"/>
                <w:spacing w:val="-10"/>
                <w:sz w:val="21"/>
              </w:rPr>
              <w:t>1</w:t>
            </w:r>
          </w:p>
        </w:tc>
        <w:tc>
          <w:tcPr>
            <w:tcW w:w="1591" w:type="dxa"/>
          </w:tcPr>
          <w:p w14:paraId="47F39466">
            <w:pPr>
              <w:pStyle w:val="16"/>
              <w:spacing w:before="215"/>
              <w:ind w:right="521"/>
              <w:jc w:val="right"/>
              <w:rPr>
                <w:rFonts w:ascii="Calibri"/>
                <w:sz w:val="21"/>
              </w:rPr>
            </w:pPr>
            <w:r>
              <w:rPr>
                <w:rFonts w:ascii="Calibri"/>
                <w:spacing w:val="-10"/>
                <w:sz w:val="21"/>
              </w:rPr>
              <w:t>3</w:t>
            </w:r>
          </w:p>
        </w:tc>
        <w:tc>
          <w:tcPr>
            <w:tcW w:w="1608" w:type="dxa"/>
          </w:tcPr>
          <w:p w14:paraId="5A54552F">
            <w:pPr>
              <w:pStyle w:val="16"/>
              <w:spacing w:before="215"/>
              <w:ind w:right="528"/>
              <w:jc w:val="right"/>
              <w:rPr>
                <w:rFonts w:ascii="Calibri"/>
                <w:sz w:val="21"/>
              </w:rPr>
            </w:pPr>
            <w:r>
              <w:rPr>
                <w:rFonts w:ascii="Calibri"/>
                <w:spacing w:val="-10"/>
                <w:sz w:val="21"/>
              </w:rPr>
              <w:t>3</w:t>
            </w:r>
          </w:p>
        </w:tc>
      </w:tr>
      <w:tr w14:paraId="431536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737C6A15">
            <w:pPr>
              <w:pStyle w:val="16"/>
              <w:spacing w:before="217"/>
              <w:ind w:right="495"/>
              <w:jc w:val="right"/>
              <w:rPr>
                <w:rFonts w:ascii="Calibri"/>
                <w:sz w:val="21"/>
              </w:rPr>
            </w:pPr>
            <w:r>
              <w:rPr>
                <w:rFonts w:ascii="Calibri"/>
                <w:spacing w:val="-10"/>
                <w:sz w:val="21"/>
              </w:rPr>
              <w:t>3</w:t>
            </w:r>
          </w:p>
        </w:tc>
        <w:tc>
          <w:tcPr>
            <w:tcW w:w="3558" w:type="dxa"/>
          </w:tcPr>
          <w:p w14:paraId="2B4BC553">
            <w:pPr>
              <w:pStyle w:val="16"/>
              <w:spacing w:before="207"/>
              <w:ind w:left="528"/>
              <w:rPr>
                <w:sz w:val="21"/>
              </w:rPr>
            </w:pPr>
            <w:r>
              <w:rPr>
                <w:sz w:val="21"/>
              </w:rPr>
              <w:t>Chemical preparation, slag discharge and patrol inspection</w:t>
            </w:r>
          </w:p>
        </w:tc>
        <w:tc>
          <w:tcPr>
            <w:tcW w:w="1666" w:type="dxa"/>
          </w:tcPr>
          <w:p w14:paraId="4D41C39C">
            <w:pPr>
              <w:pStyle w:val="16"/>
              <w:spacing w:before="217"/>
              <w:ind w:right="558"/>
              <w:jc w:val="right"/>
              <w:rPr>
                <w:rFonts w:ascii="Calibri"/>
                <w:sz w:val="21"/>
              </w:rPr>
            </w:pPr>
            <w:r>
              <w:rPr>
                <w:rFonts w:ascii="Calibri"/>
                <w:spacing w:val="-10"/>
                <w:sz w:val="21"/>
              </w:rPr>
              <w:t>1</w:t>
            </w:r>
          </w:p>
        </w:tc>
        <w:tc>
          <w:tcPr>
            <w:tcW w:w="1591" w:type="dxa"/>
          </w:tcPr>
          <w:p w14:paraId="276F36E5">
            <w:pPr>
              <w:pStyle w:val="16"/>
              <w:spacing w:before="217"/>
              <w:ind w:right="521"/>
              <w:jc w:val="right"/>
              <w:rPr>
                <w:rFonts w:ascii="Calibri"/>
                <w:sz w:val="21"/>
              </w:rPr>
            </w:pPr>
            <w:r>
              <w:rPr>
                <w:rFonts w:ascii="Calibri"/>
                <w:spacing w:val="-10"/>
                <w:sz w:val="21"/>
              </w:rPr>
              <w:t>3</w:t>
            </w:r>
          </w:p>
        </w:tc>
        <w:tc>
          <w:tcPr>
            <w:tcW w:w="1608" w:type="dxa"/>
          </w:tcPr>
          <w:p w14:paraId="24E53DFF">
            <w:pPr>
              <w:pStyle w:val="16"/>
              <w:spacing w:before="217"/>
              <w:ind w:right="528"/>
              <w:jc w:val="right"/>
              <w:rPr>
                <w:rFonts w:ascii="Calibri"/>
                <w:sz w:val="21"/>
              </w:rPr>
            </w:pPr>
            <w:r>
              <w:rPr>
                <w:rFonts w:ascii="Calibri"/>
                <w:spacing w:val="-10"/>
                <w:sz w:val="21"/>
              </w:rPr>
              <w:t>3</w:t>
            </w:r>
          </w:p>
        </w:tc>
      </w:tr>
      <w:tr w14:paraId="2499D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3B371711">
            <w:pPr>
              <w:pStyle w:val="16"/>
              <w:rPr>
                <w:rFonts w:ascii="Times New Roman"/>
                <w:sz w:val="22"/>
              </w:rPr>
            </w:pPr>
          </w:p>
        </w:tc>
        <w:tc>
          <w:tcPr>
            <w:tcW w:w="3558" w:type="dxa"/>
          </w:tcPr>
          <w:p w14:paraId="4EFE56D4">
            <w:pPr>
              <w:pStyle w:val="16"/>
              <w:spacing w:before="207"/>
              <w:ind w:left="528"/>
              <w:rPr>
                <w:sz w:val="21"/>
              </w:rPr>
            </w:pPr>
            <w:r>
              <w:rPr>
                <w:sz w:val="21"/>
              </w:rPr>
              <w:t>Total</w:t>
            </w:r>
          </w:p>
        </w:tc>
        <w:tc>
          <w:tcPr>
            <w:tcW w:w="1666" w:type="dxa"/>
          </w:tcPr>
          <w:p w14:paraId="6967767C">
            <w:pPr>
              <w:pStyle w:val="16"/>
              <w:rPr>
                <w:rFonts w:ascii="Times New Roman"/>
                <w:sz w:val="22"/>
              </w:rPr>
            </w:pPr>
          </w:p>
        </w:tc>
        <w:tc>
          <w:tcPr>
            <w:tcW w:w="1591" w:type="dxa"/>
          </w:tcPr>
          <w:p w14:paraId="606CB04D">
            <w:pPr>
              <w:pStyle w:val="16"/>
              <w:rPr>
                <w:rFonts w:ascii="Times New Roman"/>
                <w:sz w:val="22"/>
              </w:rPr>
            </w:pPr>
          </w:p>
        </w:tc>
        <w:tc>
          <w:tcPr>
            <w:tcW w:w="1608" w:type="dxa"/>
          </w:tcPr>
          <w:p w14:paraId="687A4A79">
            <w:pPr>
              <w:pStyle w:val="16"/>
              <w:spacing w:before="217"/>
              <w:ind w:right="528"/>
              <w:jc w:val="right"/>
              <w:rPr>
                <w:rFonts w:ascii="Calibri"/>
                <w:sz w:val="21"/>
              </w:rPr>
            </w:pPr>
            <w:r>
              <w:rPr>
                <w:rFonts w:ascii="Calibri"/>
                <w:spacing w:val="-10"/>
                <w:sz w:val="21"/>
              </w:rPr>
              <w:t>7</w:t>
            </w:r>
          </w:p>
        </w:tc>
      </w:tr>
    </w:tbl>
    <w:p w14:paraId="074AEC4C">
      <w:pPr>
        <w:pStyle w:val="5"/>
        <w:spacing w:before="93"/>
        <w:ind w:left="513"/>
      </w:pPr>
      <w:r>
        <w:rPr/>
        <w:t>③ Staff wages:</w:t>
      </w:r>
      <w:r>
        <w:t xml:space="preserve"> 7</w:t>
      </w:r>
      <w:r>
        <w:rPr/>
        <w:t xml:space="preserve"> persons</w:t>
      </w:r>
      <w:r>
        <w:t xml:space="preserve"> at</w:t>
      </w:r>
      <w:r>
        <w:rPr/>
        <w:t xml:space="preserve"> (800</w:t>
      </w:r>
      <w:r>
        <w:t xml:space="preserve"> RMB/(person·month)) *12/365 = 184</w:t>
      </w:r>
      <w:r>
        <w:rPr/>
        <w:t xml:space="preserve"> RMB/day.</w:t>
      </w:r>
    </w:p>
    <w:p w14:paraId="4B9D67A0">
      <w:pPr>
        <w:pStyle w:val="15"/>
        <w:numPr>
          <w:ilvl w:val="0"/>
          <w:numId w:val="24"/>
        </w:numPr>
        <w:tabs>
          <w:tab w:val="left" w:pos="873"/>
        </w:tabs>
        <w:spacing w:before="182" w:after="0" w:line="240" w:lineRule="auto"/>
        <w:ind w:left="873" w:right="0" w:hanging="360"/>
        <w:jc w:val="left"/>
        <w:rPr>
          <w:sz w:val="24"/>
        </w:rPr>
      </w:pPr>
      <w:r>
        <w:rPr>
          <w:sz w:val="24"/>
        </w:rPr>
        <w:t>Equipment maintenance cost: annual maintenance</w:t>
      </w:r>
      <w:r>
        <w:rPr>
          <w:sz w:val="24"/>
        </w:rPr>
        <w:t xml:space="preserve"> cost</w:t>
      </w:r>
      <w:r>
        <w:rPr>
          <w:sz w:val="24"/>
        </w:rPr>
        <w:t xml:space="preserve"> is 10,000 RMB, daily</w:t>
      </w:r>
      <w:r>
        <w:rPr>
          <w:sz w:val="24"/>
        </w:rPr>
        <w:t xml:space="preserve"> expenditure</w:t>
      </w:r>
      <w:r>
        <w:rPr>
          <w:sz w:val="24"/>
        </w:rPr>
        <w:t xml:space="preserve"> 27 RMB.</w:t>
      </w:r>
    </w:p>
    <w:p w14:paraId="08EFAD66">
      <w:pPr>
        <w:pStyle w:val="15"/>
        <w:numPr>
          <w:ilvl w:val="0"/>
          <w:numId w:val="24"/>
        </w:numPr>
        <w:tabs>
          <w:tab w:val="left" w:pos="650"/>
        </w:tabs>
        <w:spacing w:before="93" w:after="0" w:line="240" w:lineRule="auto"/>
        <w:ind w:left="650" w:right="0" w:hanging="420"/>
        <w:jc w:val="left"/>
        <w:rPr>
          <w:sz w:val="24"/>
        </w:rPr>
      </w:pPr>
      <w:r>
        <w:rPr>
          <w:sz w:val="24"/>
        </w:rPr>
        <w:t>Solid waste treatment cost: the bottom ash of this project can be recycled for brick making, generating additional value, which is not calculated here.</w:t>
      </w:r>
    </w:p>
    <w:p w14:paraId="2D7A2C40">
      <w:pPr>
        <w:pStyle w:val="5"/>
        <w:spacing w:before="55"/>
        <w:rPr>
          <w:sz w:val="20"/>
        </w:rPr>
      </w:pPr>
    </w:p>
    <w:tbl>
      <w:tblPr>
        <w:tblStyle w:val="12"/>
        <w:tblW w:w="0" w:type="auto"/>
        <w:tblInd w:w="2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95"/>
        <w:gridCol w:w="2635"/>
        <w:gridCol w:w="2693"/>
      </w:tblGrid>
      <w:tr w14:paraId="10476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5B13D4AA">
            <w:pPr>
              <w:pStyle w:val="16"/>
              <w:spacing w:before="178"/>
              <w:ind w:left="494" w:right="5"/>
              <w:jc w:val="center"/>
              <w:rPr>
                <w:sz w:val="24"/>
              </w:rPr>
            </w:pPr>
            <w:r>
              <w:rPr>
                <w:sz w:val="24"/>
              </w:rPr>
              <w:t>Item</w:t>
            </w:r>
          </w:p>
        </w:tc>
        <w:tc>
          <w:tcPr>
            <w:tcW w:w="2635" w:type="dxa"/>
          </w:tcPr>
          <w:p w14:paraId="77F79889">
            <w:pPr>
              <w:pStyle w:val="16"/>
              <w:spacing w:before="178"/>
              <w:ind w:left="588" w:right="-15"/>
              <w:jc w:val="center"/>
              <w:rPr>
                <w:sz w:val="24"/>
              </w:rPr>
            </w:pPr>
            <w:r>
              <w:rPr>
                <w:sz w:val="24"/>
              </w:rPr>
              <w:t>Operating cost</w:t>
            </w:r>
            <w:r>
              <w:rPr>
                <w:sz w:val="24"/>
              </w:rPr>
              <w:t xml:space="preserve"> (RMB/day)</w:t>
            </w:r>
          </w:p>
        </w:tc>
        <w:tc>
          <w:tcPr>
            <w:tcW w:w="2693" w:type="dxa"/>
          </w:tcPr>
          <w:p w14:paraId="0175F01E">
            <w:pPr>
              <w:pStyle w:val="16"/>
              <w:spacing w:before="178"/>
              <w:ind w:left="535"/>
              <w:jc w:val="center"/>
              <w:rPr>
                <w:sz w:val="24"/>
              </w:rPr>
            </w:pPr>
            <w:r>
              <w:rPr>
                <w:sz w:val="24"/>
              </w:rPr>
              <w:t>Operating cost</w:t>
            </w:r>
            <w:r>
              <w:rPr>
                <w:sz w:val="24"/>
              </w:rPr>
              <w:t xml:space="preserve"> (RMB/ton)</w:t>
            </w:r>
          </w:p>
        </w:tc>
      </w:tr>
      <w:tr w14:paraId="66970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3D5B11A2">
            <w:pPr>
              <w:pStyle w:val="16"/>
              <w:spacing w:before="177"/>
              <w:ind w:left="494" w:right="5"/>
              <w:jc w:val="center"/>
              <w:rPr>
                <w:sz w:val="24"/>
              </w:rPr>
            </w:pPr>
            <w:r>
              <w:rPr>
                <w:sz w:val="24"/>
              </w:rPr>
              <w:t>Electricity fee</w:t>
            </w:r>
          </w:p>
        </w:tc>
        <w:tc>
          <w:tcPr>
            <w:tcW w:w="2635" w:type="dxa"/>
          </w:tcPr>
          <w:p w14:paraId="43DFD1DD">
            <w:pPr>
              <w:pStyle w:val="16"/>
              <w:spacing w:before="177"/>
              <w:ind w:left="588" w:right="103"/>
              <w:jc w:val="center"/>
              <w:rPr>
                <w:sz w:val="24"/>
              </w:rPr>
            </w:pPr>
            <w:r>
              <w:rPr>
                <w:spacing w:val="-5"/>
                <w:sz w:val="24"/>
              </w:rPr>
              <w:t>605</w:t>
            </w:r>
          </w:p>
        </w:tc>
        <w:tc>
          <w:tcPr>
            <w:tcW w:w="2693" w:type="dxa"/>
          </w:tcPr>
          <w:p w14:paraId="496201FE">
            <w:pPr>
              <w:pStyle w:val="16"/>
              <w:spacing w:before="212"/>
              <w:ind w:left="449"/>
              <w:jc w:val="center"/>
              <w:rPr>
                <w:rFonts w:ascii="Times New Roman"/>
                <w:sz w:val="22"/>
              </w:rPr>
            </w:pPr>
            <w:r>
              <w:rPr>
                <w:rFonts w:ascii="Times New Roman"/>
                <w:spacing w:val="-5"/>
                <w:sz w:val="22"/>
              </w:rPr>
              <w:t>121</w:t>
            </w:r>
          </w:p>
        </w:tc>
      </w:tr>
      <w:tr w14:paraId="3EEC5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17F12129">
            <w:pPr>
              <w:pStyle w:val="16"/>
              <w:spacing w:before="177"/>
              <w:ind w:left="494" w:right="5"/>
              <w:jc w:val="center"/>
              <w:rPr>
                <w:sz w:val="24"/>
              </w:rPr>
            </w:pPr>
            <w:r>
              <w:rPr>
                <w:sz w:val="24"/>
              </w:rPr>
              <w:t>Chemical fees</w:t>
            </w:r>
          </w:p>
        </w:tc>
        <w:tc>
          <w:tcPr>
            <w:tcW w:w="2635" w:type="dxa"/>
          </w:tcPr>
          <w:p w14:paraId="0A31A27B">
            <w:pPr>
              <w:pStyle w:val="16"/>
              <w:spacing w:before="177"/>
              <w:ind w:left="588" w:right="103"/>
              <w:jc w:val="center"/>
              <w:rPr>
                <w:sz w:val="24"/>
              </w:rPr>
            </w:pPr>
            <w:r>
              <w:rPr>
                <w:spacing w:val="-5"/>
                <w:sz w:val="24"/>
              </w:rPr>
              <w:t>100</w:t>
            </w:r>
          </w:p>
        </w:tc>
        <w:tc>
          <w:tcPr>
            <w:tcW w:w="2693" w:type="dxa"/>
          </w:tcPr>
          <w:p w14:paraId="6D20279C">
            <w:pPr>
              <w:pStyle w:val="16"/>
              <w:spacing w:before="212"/>
              <w:ind w:left="449"/>
              <w:jc w:val="center"/>
              <w:rPr>
                <w:rFonts w:ascii="Times New Roman"/>
                <w:sz w:val="22"/>
              </w:rPr>
            </w:pPr>
            <w:r>
              <w:rPr>
                <w:rFonts w:ascii="Times New Roman"/>
                <w:spacing w:val="-5"/>
                <w:sz w:val="22"/>
              </w:rPr>
              <w:t>20</w:t>
            </w:r>
          </w:p>
        </w:tc>
      </w:tr>
      <w:tr w14:paraId="4D803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4DFEFDDD">
            <w:pPr>
              <w:pStyle w:val="16"/>
              <w:spacing w:before="177"/>
              <w:ind w:left="494" w:right="5"/>
              <w:jc w:val="center"/>
              <w:rPr>
                <w:sz w:val="24"/>
              </w:rPr>
            </w:pPr>
            <w:r>
              <w:rPr>
                <w:sz w:val="24"/>
              </w:rPr>
              <w:t>Worker wages</w:t>
            </w:r>
          </w:p>
        </w:tc>
        <w:tc>
          <w:tcPr>
            <w:tcW w:w="2635" w:type="dxa"/>
          </w:tcPr>
          <w:p w14:paraId="71EB393D">
            <w:pPr>
              <w:pStyle w:val="16"/>
              <w:spacing w:before="177"/>
              <w:ind w:left="588" w:right="103"/>
              <w:jc w:val="center"/>
              <w:rPr>
                <w:sz w:val="24"/>
              </w:rPr>
            </w:pPr>
            <w:r>
              <w:rPr>
                <w:spacing w:val="-5"/>
                <w:sz w:val="24"/>
              </w:rPr>
              <w:t>184</w:t>
            </w:r>
          </w:p>
        </w:tc>
        <w:tc>
          <w:tcPr>
            <w:tcW w:w="2693" w:type="dxa"/>
          </w:tcPr>
          <w:p w14:paraId="726B25BB">
            <w:pPr>
              <w:pStyle w:val="16"/>
              <w:spacing w:before="212"/>
              <w:ind w:left="451"/>
              <w:jc w:val="center"/>
              <w:rPr>
                <w:rFonts w:ascii="Times New Roman"/>
                <w:sz w:val="22"/>
              </w:rPr>
            </w:pPr>
            <w:r>
              <w:rPr>
                <w:rFonts w:ascii="Times New Roman"/>
                <w:spacing w:val="-4"/>
                <w:sz w:val="22"/>
              </w:rPr>
              <w:t>36.8</w:t>
            </w:r>
          </w:p>
        </w:tc>
      </w:tr>
      <w:tr w14:paraId="483F4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2895" w:type="dxa"/>
          </w:tcPr>
          <w:p w14:paraId="10B535F9">
            <w:pPr>
              <w:pStyle w:val="16"/>
              <w:spacing w:before="175"/>
              <w:ind w:left="494" w:right="5"/>
              <w:jc w:val="center"/>
              <w:rPr>
                <w:sz w:val="24"/>
              </w:rPr>
            </w:pPr>
            <w:r>
              <w:rPr>
                <w:sz w:val="24"/>
              </w:rPr>
              <w:t>Equipment maintenance cost</w:t>
            </w:r>
          </w:p>
        </w:tc>
        <w:tc>
          <w:tcPr>
            <w:tcW w:w="2635" w:type="dxa"/>
          </w:tcPr>
          <w:p w14:paraId="2169B0C0">
            <w:pPr>
              <w:pStyle w:val="16"/>
              <w:spacing w:before="175"/>
              <w:ind w:left="588" w:right="103"/>
              <w:jc w:val="center"/>
              <w:rPr>
                <w:sz w:val="24"/>
              </w:rPr>
            </w:pPr>
            <w:r>
              <w:rPr>
                <w:spacing w:val="-5"/>
                <w:sz w:val="24"/>
              </w:rPr>
              <w:t>27</w:t>
            </w:r>
          </w:p>
        </w:tc>
        <w:tc>
          <w:tcPr>
            <w:tcW w:w="2693" w:type="dxa"/>
          </w:tcPr>
          <w:p w14:paraId="171AE102">
            <w:pPr>
              <w:pStyle w:val="16"/>
              <w:spacing w:before="209"/>
              <w:ind w:left="451"/>
              <w:jc w:val="center"/>
              <w:rPr>
                <w:rFonts w:ascii="Times New Roman"/>
                <w:sz w:val="22"/>
              </w:rPr>
            </w:pPr>
            <w:r>
              <w:rPr>
                <w:rFonts w:ascii="Times New Roman"/>
                <w:spacing w:val="-5"/>
                <w:sz w:val="22"/>
              </w:rPr>
              <w:t>5.4</w:t>
            </w:r>
          </w:p>
        </w:tc>
      </w:tr>
      <w:tr w14:paraId="664CE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4D580750">
            <w:pPr>
              <w:pStyle w:val="16"/>
              <w:spacing w:before="98" w:line="402" w:lineRule="atLeast"/>
              <w:ind w:left="494"/>
              <w:jc w:val="center"/>
              <w:rPr>
                <w:rFonts w:ascii="Microsoft JhengHei" w:eastAsia="Microsoft JhengHei"/>
                <w:b/>
                <w:sz w:val="24"/>
              </w:rPr>
            </w:pPr>
            <w:r>
              <w:rPr>
                <w:rFonts w:ascii="Microsoft JhengHei" w:eastAsia="Microsoft JhengHei"/>
                <w:b/>
                <w:sz w:val="24"/>
              </w:rPr>
              <w:t>Total</w:t>
            </w:r>
          </w:p>
        </w:tc>
        <w:tc>
          <w:tcPr>
            <w:tcW w:w="2635" w:type="dxa"/>
          </w:tcPr>
          <w:p w14:paraId="34299C60">
            <w:pPr>
              <w:pStyle w:val="16"/>
              <w:spacing w:before="193"/>
              <w:ind w:left="588" w:right="100"/>
              <w:jc w:val="center"/>
              <w:rPr>
                <w:rFonts w:ascii="Times New Roman"/>
                <w:b/>
                <w:sz w:val="24"/>
              </w:rPr>
            </w:pPr>
            <w:r>
              <w:rPr>
                <w:rFonts w:ascii="Times New Roman"/>
                <w:b/>
                <w:spacing w:val="-5"/>
                <w:sz w:val="24"/>
              </w:rPr>
              <w:t>916</w:t>
            </w:r>
          </w:p>
        </w:tc>
        <w:tc>
          <w:tcPr>
            <w:tcW w:w="2693" w:type="dxa"/>
          </w:tcPr>
          <w:p w14:paraId="5D4DF5C2">
            <w:pPr>
              <w:pStyle w:val="16"/>
              <w:spacing w:before="193"/>
              <w:ind w:left="492"/>
              <w:jc w:val="center"/>
              <w:rPr>
                <w:rFonts w:ascii="Times New Roman"/>
                <w:b/>
                <w:sz w:val="24"/>
              </w:rPr>
            </w:pPr>
            <w:r>
              <w:rPr>
                <w:rFonts w:ascii="Times New Roman"/>
                <w:b/>
                <w:spacing w:val="-2"/>
                <w:w w:val="115"/>
                <w:sz w:val="24"/>
              </w:rPr>
              <w:t>181.2</w:t>
            </w:r>
          </w:p>
        </w:tc>
      </w:tr>
    </w:tbl>
    <w:p w14:paraId="5EA9C389">
      <w:pPr>
        <w:pStyle w:val="5"/>
        <w:spacing w:before="275"/>
      </w:pPr>
    </w:p>
    <w:p w14:paraId="2E2848B1">
      <w:pPr>
        <w:pStyle w:val="5"/>
        <w:spacing w:before="1"/>
        <w:ind/>
      </w:pPr>
      <w:r>
        <w:rPr/>
        <w:t>Project Operating Cost Table</w:t>
      </w:r>
    </w:p>
    <w:p w14:paraId="70354019">
      <w:pPr>
        <w:spacing w:before="298"/>
        <w:ind w:left="650" w:right="0" w:firstLine="0"/>
        <w:jc w:val="left"/>
        <w:rPr>
          <w:sz w:val="21"/>
        </w:rPr>
      </w:pPr>
      <w:r>
        <w:rPr>
          <w:color w:val="FF0000"/>
          <w:sz w:val="21"/>
        </w:rPr>
        <w:t>The above is only the estimated operating cost (the actual operating cost shall be adjusted according to the local labor, electricity price and environmental protection requirements,</w:t>
      </w:r>
      <w:r>
        <w:rPr>
          <w:color w:val="FF0000"/>
          <w:sz w:val="21"/>
        </w:rPr>
        <w:t xml:space="preserve"> etc.).</w:t>
      </w:r>
    </w:p>
    <w:p w14:paraId="3363CE4D">
      <w:pPr>
        <w:spacing w:after="0"/>
        <w:jc w:val="left"/>
        <w:rPr>
          <w:sz w:val="21"/>
        </w:rPr>
        <w:sectPr>
          <w:pgSz w:w="11910" w:h="16840"/>
          <w:pgMar w:top="1400" w:right="283" w:bottom="820" w:left="850" w:header="761" w:footer="628" w:gutter="0"/>
          <w:cols w:space="720" w:num="1"/>
        </w:sectPr>
      </w:pPr>
    </w:p>
    <w:p w14:paraId="111A176B">
      <w:pPr>
        <w:pStyle w:val="2"/>
        <w:ind w:right="678"/>
      </w:pPr>
      <w:bookmarkStart w:id="23" w:name="_bookmark24"/>
      <w:bookmarkEnd w:id="23"/>
      <w:r>
        <w:rPr/>
        <w:t>Chapter 6 Technical Features</w:t>
      </w:r>
    </w:p>
    <w:p w14:paraId="6AF9D57B">
      <w:pPr>
        <w:pStyle w:val="5"/>
        <w:spacing w:before="46"/>
        <w:rPr>
          <w:sz w:val="28"/>
        </w:rPr>
      </w:pPr>
    </w:p>
    <w:p w14:paraId="45F269E4">
      <w:pPr>
        <w:pStyle w:val="4"/>
        <w:numPr>
          <w:ilvl w:val="1"/>
          <w:numId w:val="25"/>
        </w:numPr>
        <w:tabs>
          <w:tab w:val="left" w:pos="690"/>
        </w:tabs>
        <w:spacing w:before="0" w:after="0" w:line="240" w:lineRule="auto"/>
        <w:ind w:left="690" w:right="0" w:hanging="460"/>
        <w:jc w:val="left"/>
      </w:pPr>
      <w:bookmarkStart w:id="24" w:name="_bookmark25"/>
      <w:bookmarkEnd w:id="24"/>
      <w:r>
        <w:rPr/>
        <w:t>Key Technologies</w:t>
      </w:r>
    </w:p>
    <w:p w14:paraId="341B2ABC">
      <w:pPr>
        <w:pStyle w:val="5"/>
        <w:spacing w:before="239"/>
        <w:rPr>
          <w:sz w:val="28"/>
        </w:rPr>
      </w:pPr>
    </w:p>
    <w:p w14:paraId="46AD2046">
      <w:pPr>
        <w:pStyle w:val="15"/>
        <w:numPr>
          <w:ilvl w:val="0"/>
          <w:numId w:val="26"/>
        </w:numPr>
        <w:tabs>
          <w:tab w:val="left" w:pos="1069"/>
        </w:tabs>
        <w:spacing w:before="0" w:after="0" w:line="240" w:lineRule="auto"/>
        <w:ind w:left="1069" w:right="0" w:hanging="354"/>
        <w:jc w:val="left"/>
        <w:rPr>
          <w:sz w:val="24"/>
        </w:rPr>
      </w:pPr>
      <w:r>
        <w:rPr>
          <w:sz w:val="24"/>
        </w:rPr>
        <w:t>The mechanical movement of the grate realizes the physical and chemical changes of the waste at each stage, promoting waste combustion</w:t>
      </w:r>
    </w:p>
    <w:p w14:paraId="188BCBD6">
      <w:pPr>
        <w:pStyle w:val="5"/>
        <w:spacing w:before="36"/>
      </w:pPr>
    </w:p>
    <w:p w14:paraId="5042EF71">
      <w:pPr>
        <w:pStyle w:val="15"/>
        <w:numPr>
          <w:ilvl w:val="0"/>
          <w:numId w:val="26"/>
        </w:numPr>
        <w:tabs>
          <w:tab w:val="left" w:pos="1069"/>
        </w:tabs>
        <w:spacing w:before="0" w:after="0" w:line="240" w:lineRule="auto"/>
        <w:ind w:left="1069" w:right="0" w:hanging="354"/>
        <w:jc w:val="left"/>
        <w:rPr>
          <w:sz w:val="24"/>
        </w:rPr>
      </w:pPr>
      <w:r>
        <w:rPr>
          <w:sz w:val="24"/>
        </w:rPr>
        <w:t>The waste in the furnace burns stably and relatively completely, with little fly ash and low loss on ignition</w:t>
      </w:r>
    </w:p>
    <w:p w14:paraId="73179803">
      <w:pPr>
        <w:pStyle w:val="5"/>
        <w:spacing w:before="38"/>
      </w:pPr>
    </w:p>
    <w:p w14:paraId="49F81440">
      <w:pPr>
        <w:pStyle w:val="15"/>
        <w:numPr>
          <w:ilvl w:val="0"/>
          <w:numId w:val="26"/>
        </w:numPr>
        <w:tabs>
          <w:tab w:val="left" w:pos="1069"/>
        </w:tabs>
        <w:spacing w:before="0" w:after="0" w:line="240" w:lineRule="auto"/>
        <w:ind w:left="1069" w:right="0" w:hanging="357"/>
        <w:jc w:val="left"/>
        <w:rPr>
          <w:sz w:val="24"/>
        </w:rPr>
      </w:pPr>
      <w:r>
        <w:rPr>
          <w:sz w:val="24"/>
        </w:rPr>
        <w:t>Material on the grate burns in layers and zones</w:t>
      </w:r>
    </w:p>
    <w:p w14:paraId="45F04010">
      <w:pPr>
        <w:pStyle w:val="5"/>
        <w:spacing w:before="158"/>
      </w:pPr>
    </w:p>
    <w:p w14:paraId="0B1067BC">
      <w:pPr>
        <w:pStyle w:val="5"/>
        <w:spacing w:line="508" w:lineRule="auto"/>
        <w:ind w:left="230" w:right="701" w:firstLine="480"/>
      </w:pPr>
      <w:r>
        <w:rPr/>
        <w:t>After entering the furnace, the material gradually moves backward with the grate. In the front part of the grate is the preheating and drying zone of the new material; then the material begins to pyrolyze and gasify (i.e. the release of waste volatiles), then ignites and enters the combustion zone; in the middle and rear part is the coke combustion zone, where oxidation and reduction reactions proceed simultaneously, releasing a large amount of heat. At the tail of the grate is the ash burnout zone, where the remaining residual coke in the ash is continuously burned and completely burnt out.</w:t>
      </w:r>
    </w:p>
    <w:p w14:paraId="00E53BFA">
      <w:pPr>
        <w:pStyle w:val="15"/>
        <w:numPr>
          <w:ilvl w:val="0"/>
          <w:numId w:val="26"/>
        </w:numPr>
        <w:tabs>
          <w:tab w:val="left" w:pos="1069"/>
        </w:tabs>
        <w:spacing w:before="0" w:after="0" w:line="307" w:lineRule="atLeast"/>
        <w:ind w:left="1069" w:right="0" w:hanging="357"/>
        <w:jc w:val="left"/>
        <w:rPr>
          <w:sz w:val="24"/>
        </w:rPr>
      </w:pPr>
      <w:r>
        <w:rPr>
          <w:sz w:val="24"/>
        </w:rPr>
        <w:t>Staged and controllable air supply on the grate</w:t>
      </w:r>
    </w:p>
    <w:p w14:paraId="6E09777C">
      <w:pPr>
        <w:pStyle w:val="5"/>
        <w:spacing w:before="38"/>
      </w:pPr>
    </w:p>
    <w:p w14:paraId="663DA789">
      <w:pPr>
        <w:pStyle w:val="5"/>
        <w:spacing w:line="508" w:lineRule="auto"/>
        <w:ind w:left="230" w:right="701" w:firstLine="480"/>
        <w:rPr>
          <w:rFonts w:ascii="Times New Roman" w:eastAsia="Times New Roman"/>
          <w:sz w:val="21"/>
        </w:rPr>
      </w:pPr>
      <w:r>
        <w:rPr/>
        <w:t>In the preheating and drying zone and the pyrolysis gasification zone (i.e. the release of waste volatiles), not much air is needed, while in the coke combustion zone sufficient air must be guaranteed to meet the oxygen required for combustion. To adapt to the different air volume requirements of each section of the grate combustion, the area under the grate is divided into several air chambers for staged air supply (primary air). Each air chamber is tightly sealed to prevent short circuits that would lose the regulating function. To make the air volume distribution uniform across the entire grate width, air is supplied from both sides. The air volume of each air chamber is regulated separately by an individual damper. The opening of each damper shall be determined through repeated operating tests according to the characteristics of different fuels to find the optimal opening position for material combustion. When the material characteristics change, it can be readjusted. This technology adopts staged air supply with adjustable air supply, avoiding the drawback of excess air at both the front and rear ends of the furnace and insufficient air in the middle, thereby achieving the best operating effect.</w:t>
      </w:r>
      <w:bookmarkStart w:id="25" w:name="_bookmark28"/>
      <w:bookmarkEnd w:id="25"/>
    </w:p>
    <w:sectPr>
      <w:headerReference r:id="rId8" w:type="default"/>
      <w:footerReference r:id="rId9" w:type="default"/>
      <w:pgSz w:w="11910" w:h="16840"/>
      <w:pgMar w:top="1280" w:right="283" w:bottom="280" w:left="850" w:header="1093"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Gadugi">
    <w:panose1 w:val="020B0502040204020203"/>
    <w:charset w:val="01"/>
    <w:family w:val="swiss"/>
    <w:pitch w:val="default"/>
    <w:sig w:usb0="80000003" w:usb1="02000000" w:usb2="00003000" w:usb3="00000000" w:csb0="00000001" w:csb1="00000000"/>
  </w:font>
  <w:font w:name="Microsoft JhengHei UI">
    <w:panose1 w:val="020B0604030504040204"/>
    <w:charset w:val="88"/>
    <w:family w:val="swiss"/>
    <w:pitch w:val="default"/>
    <w:sig w:usb0="000002A7" w:usb1="28CF4400" w:usb2="00000016" w:usb3="00000000" w:csb0="00100009"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swiss"/>
    <w:pitch w:val="default"/>
    <w:sig w:usb0="80000287" w:usb1="2ACF3C50" w:usb2="00000016" w:usb3="00000000" w:csb0="0004001F" w:csb1="00000000"/>
  </w:font>
  <w:font w:name="MS PGothic">
    <w:panose1 w:val="020B0600070205080204"/>
    <w:charset w:val="80"/>
    <w:family w:val="swiss"/>
    <w:pitch w:val="default"/>
    <w:sig w:usb0="E00002FF" w:usb1="6AC7FDFB" w:usb2="08000012" w:usb3="00000000" w:csb0="4002009F" w:csb1="DFD70000"/>
  </w:font>
  <w:font w:name="Arial MT">
    <w:altName w:val="Arial"/>
    <w:panose1 w:val="00000000000000000000"/>
    <w:charset w:val="01"/>
    <w:family w:val="swiss"/>
    <w:pitch w:val="default"/>
    <w:sig w:usb0="00000000" w:usb1="00000000" w:usb2="00000000" w:usb3="00000000" w:csb0="00000000" w:csb1="00000000"/>
  </w:font>
  <w:font w:name="Segoe UI Symbol">
    <w:panose1 w:val="020B0502040204020203"/>
    <w:charset w:val="01"/>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67960">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4888B">
    <w:pPr>
      <w:pStyle w:val="5"/>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4B4DF">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29FCF">
    <w:pPr>
      <w:pStyle w:val="5"/>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4A3BE"/>
    <w:multiLevelType w:val="singleLevel"/>
    <w:tmpl w:val="81C4A3BE"/>
    <w:lvl w:ilvl="0" w:tentative="0">
      <w:start w:val="2"/>
      <w:numFmt w:val="decimal"/>
      <w:suff w:val="space"/>
      <w:lvlText w:val="Chapter %1"/>
      <w:lvlJc w:val="left"/>
      <w:rPr>
        <w:rFonts w:hint="eastAsia"/>
      </w:rPr>
    </w:lvl>
  </w:abstractNum>
  <w:abstractNum w:abstractNumId="1">
    <w:nsid w:val="824D18AB"/>
    <w:multiLevelType w:val="multilevel"/>
    <w:tmpl w:val="824D18AB"/>
    <w:lvl w:ilvl="0" w:tentative="0">
      <w:start w:val="1"/>
      <w:numFmt w:val="decimal"/>
      <w:lvlText w:val="%1."/>
      <w:lvlJc w:val="left"/>
      <w:pPr>
        <w:ind w:left="1070" w:hanging="356"/>
        <w:jc w:val="left"/>
      </w:pPr>
      <w:rPr>
        <w:rFonts w:hint="default" w:ascii="宋体" w:hAnsi="宋体" w:eastAsia="宋体" w:cs="宋体"/>
        <w:b w:val="0"/>
        <w:bCs w:val="0"/>
        <w:i w:val="0"/>
        <w:iCs w:val="0"/>
        <w:spacing w:val="0"/>
        <w:w w:val="92"/>
        <w:sz w:val="24"/>
        <w:szCs w:val="24"/>
        <w:lang w:val="nl-NL" w:eastAsia="en-US" w:bidi="ar-SA"/>
      </w:rPr>
    </w:lvl>
    <w:lvl w:ilvl="1" w:tentative="0">
      <w:start w:val="0"/>
      <w:numFmt w:val="bullet"/>
      <w:lvlText w:val="•"/>
      <w:lvlJc w:val="left"/>
      <w:pPr>
        <w:ind w:left="2049" w:hanging="356"/>
      </w:pPr>
      <w:rPr>
        <w:rFonts w:hint="default"/>
        <w:lang w:val="nl-NL" w:eastAsia="en-US" w:bidi="ar-SA"/>
      </w:rPr>
    </w:lvl>
    <w:lvl w:ilvl="2" w:tentative="0">
      <w:start w:val="0"/>
      <w:numFmt w:val="bullet"/>
      <w:lvlText w:val="•"/>
      <w:lvlJc w:val="left"/>
      <w:pPr>
        <w:ind w:left="3018" w:hanging="356"/>
      </w:pPr>
      <w:rPr>
        <w:rFonts w:hint="default"/>
        <w:lang w:val="nl-NL" w:eastAsia="en-US" w:bidi="ar-SA"/>
      </w:rPr>
    </w:lvl>
    <w:lvl w:ilvl="3" w:tentative="0">
      <w:start w:val="0"/>
      <w:numFmt w:val="bullet"/>
      <w:lvlText w:val="•"/>
      <w:lvlJc w:val="left"/>
      <w:pPr>
        <w:ind w:left="3988" w:hanging="356"/>
      </w:pPr>
      <w:rPr>
        <w:rFonts w:hint="default"/>
        <w:lang w:val="nl-NL" w:eastAsia="en-US" w:bidi="ar-SA"/>
      </w:rPr>
    </w:lvl>
    <w:lvl w:ilvl="4" w:tentative="0">
      <w:start w:val="0"/>
      <w:numFmt w:val="bullet"/>
      <w:lvlText w:val="•"/>
      <w:lvlJc w:val="left"/>
      <w:pPr>
        <w:ind w:left="4957" w:hanging="356"/>
      </w:pPr>
      <w:rPr>
        <w:rFonts w:hint="default"/>
        <w:lang w:val="nl-NL" w:eastAsia="en-US" w:bidi="ar-SA"/>
      </w:rPr>
    </w:lvl>
    <w:lvl w:ilvl="5" w:tentative="0">
      <w:start w:val="0"/>
      <w:numFmt w:val="bullet"/>
      <w:lvlText w:val="•"/>
      <w:lvlJc w:val="left"/>
      <w:pPr>
        <w:ind w:left="5926" w:hanging="356"/>
      </w:pPr>
      <w:rPr>
        <w:rFonts w:hint="default"/>
        <w:lang w:val="nl-NL" w:eastAsia="en-US" w:bidi="ar-SA"/>
      </w:rPr>
    </w:lvl>
    <w:lvl w:ilvl="6" w:tentative="0">
      <w:start w:val="0"/>
      <w:numFmt w:val="bullet"/>
      <w:lvlText w:val="•"/>
      <w:lvlJc w:val="left"/>
      <w:pPr>
        <w:ind w:left="6896" w:hanging="356"/>
      </w:pPr>
      <w:rPr>
        <w:rFonts w:hint="default"/>
        <w:lang w:val="nl-NL" w:eastAsia="en-US" w:bidi="ar-SA"/>
      </w:rPr>
    </w:lvl>
    <w:lvl w:ilvl="7" w:tentative="0">
      <w:start w:val="0"/>
      <w:numFmt w:val="bullet"/>
      <w:lvlText w:val="•"/>
      <w:lvlJc w:val="left"/>
      <w:pPr>
        <w:ind w:left="7865" w:hanging="356"/>
      </w:pPr>
      <w:rPr>
        <w:rFonts w:hint="default"/>
        <w:lang w:val="nl-NL" w:eastAsia="en-US" w:bidi="ar-SA"/>
      </w:rPr>
    </w:lvl>
    <w:lvl w:ilvl="8" w:tentative="0">
      <w:start w:val="0"/>
      <w:numFmt w:val="bullet"/>
      <w:lvlText w:val="•"/>
      <w:lvlJc w:val="left"/>
      <w:pPr>
        <w:ind w:left="8834" w:hanging="356"/>
      </w:pPr>
      <w:rPr>
        <w:rFonts w:hint="default"/>
        <w:lang w:val="nl-NL" w:eastAsia="en-US" w:bidi="ar-SA"/>
      </w:rPr>
    </w:lvl>
  </w:abstractNum>
  <w:abstractNum w:abstractNumId="2">
    <w:nsid w:val="8C1DB823"/>
    <w:multiLevelType w:val="multilevel"/>
    <w:tmpl w:val="8C1DB823"/>
    <w:lvl w:ilvl="0" w:tentative="0">
      <w:start w:val="3"/>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07" w:hanging="678"/>
        <w:jc w:val="left"/>
      </w:pPr>
      <w:rPr>
        <w:rFonts w:hint="default" w:ascii="Times New Roman" w:hAnsi="Times New Roman" w:eastAsia="Times New Roman" w:cs="Times New Roman"/>
        <w:b/>
        <w:bCs/>
        <w:i w:val="0"/>
        <w:iCs w:val="0"/>
        <w:spacing w:val="0"/>
        <w:w w:val="100"/>
        <w:sz w:val="30"/>
        <w:szCs w:val="30"/>
        <w:lang w:val="nl-NL" w:eastAsia="en-US" w:bidi="ar-SA"/>
      </w:rPr>
    </w:lvl>
    <w:lvl w:ilvl="3" w:tentative="0">
      <w:start w:val="1"/>
      <w:numFmt w:val="decimal"/>
      <w:lvlText w:val="%4、"/>
      <w:lvlJc w:val="left"/>
      <w:pPr>
        <w:ind w:left="1075" w:hanging="363"/>
        <w:jc w:val="left"/>
      </w:pPr>
      <w:rPr>
        <w:rFonts w:hint="default" w:ascii="Times New Roman" w:hAnsi="Times New Roman" w:eastAsia="Times New Roman" w:cs="Times New Roman"/>
        <w:b/>
        <w:bCs/>
        <w:i w:val="0"/>
        <w:iCs w:val="0"/>
        <w:spacing w:val="0"/>
        <w:w w:val="100"/>
        <w:sz w:val="22"/>
        <w:szCs w:val="22"/>
        <w:lang w:val="nl-NL" w:eastAsia="en-US" w:bidi="ar-SA"/>
      </w:rPr>
    </w:lvl>
    <w:lvl w:ilvl="4" w:tentative="0">
      <w:start w:val="0"/>
      <w:numFmt w:val="bullet"/>
      <w:lvlText w:val="•"/>
      <w:lvlJc w:val="left"/>
      <w:pPr>
        <w:ind w:left="3503" w:hanging="363"/>
      </w:pPr>
      <w:rPr>
        <w:rFonts w:hint="default"/>
        <w:lang w:val="nl-NL" w:eastAsia="en-US" w:bidi="ar-SA"/>
      </w:rPr>
    </w:lvl>
    <w:lvl w:ilvl="5" w:tentative="0">
      <w:start w:val="0"/>
      <w:numFmt w:val="bullet"/>
      <w:lvlText w:val="•"/>
      <w:lvlJc w:val="left"/>
      <w:pPr>
        <w:ind w:left="4715" w:hanging="363"/>
      </w:pPr>
      <w:rPr>
        <w:rFonts w:hint="default"/>
        <w:lang w:val="nl-NL" w:eastAsia="en-US" w:bidi="ar-SA"/>
      </w:rPr>
    </w:lvl>
    <w:lvl w:ilvl="6" w:tentative="0">
      <w:start w:val="0"/>
      <w:numFmt w:val="bullet"/>
      <w:lvlText w:val="•"/>
      <w:lvlJc w:val="left"/>
      <w:pPr>
        <w:ind w:left="5926" w:hanging="363"/>
      </w:pPr>
      <w:rPr>
        <w:rFonts w:hint="default"/>
        <w:lang w:val="nl-NL" w:eastAsia="en-US" w:bidi="ar-SA"/>
      </w:rPr>
    </w:lvl>
    <w:lvl w:ilvl="7" w:tentative="0">
      <w:start w:val="0"/>
      <w:numFmt w:val="bullet"/>
      <w:lvlText w:val="•"/>
      <w:lvlJc w:val="left"/>
      <w:pPr>
        <w:ind w:left="7138" w:hanging="363"/>
      </w:pPr>
      <w:rPr>
        <w:rFonts w:hint="default"/>
        <w:lang w:val="nl-NL" w:eastAsia="en-US" w:bidi="ar-SA"/>
      </w:rPr>
    </w:lvl>
    <w:lvl w:ilvl="8" w:tentative="0">
      <w:start w:val="0"/>
      <w:numFmt w:val="bullet"/>
      <w:lvlText w:val="•"/>
      <w:lvlJc w:val="left"/>
      <w:pPr>
        <w:ind w:left="8350" w:hanging="363"/>
      </w:pPr>
      <w:rPr>
        <w:rFonts w:hint="default"/>
        <w:lang w:val="nl-NL" w:eastAsia="en-US" w:bidi="ar-SA"/>
      </w:rPr>
    </w:lvl>
  </w:abstractNum>
  <w:abstractNum w:abstractNumId="3">
    <w:nsid w:val="ADA77074"/>
    <w:multiLevelType w:val="multilevel"/>
    <w:tmpl w:val="ADA77074"/>
    <w:lvl w:ilvl="0" w:tentative="0">
      <w:start w:val="2"/>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31" w:hanging="702"/>
        <w:jc w:val="left"/>
      </w:pPr>
      <w:rPr>
        <w:rFonts w:hint="default"/>
        <w:spacing w:val="-4"/>
        <w:w w:val="100"/>
        <w:lang w:val="nl-NL" w:eastAsia="en-US" w:bidi="ar-SA"/>
      </w:rPr>
    </w:lvl>
    <w:lvl w:ilvl="3" w:tentative="0">
      <w:start w:val="1"/>
      <w:numFmt w:val="decimal"/>
      <w:suff w:val="space"/>
      <w:lvlText w:val="（%4）"/>
      <w:lvlJc w:val="left"/>
      <w:pPr>
        <w:ind w:left="-480" w:hanging="702"/>
        <w:jc w:val="left"/>
      </w:pPr>
      <w:rPr>
        <w:rFonts w:hint="default" w:ascii="宋体" w:hAnsi="宋体" w:eastAsia="宋体" w:cs="宋体"/>
        <w:b w:val="0"/>
        <w:bCs w:val="0"/>
        <w:i w:val="0"/>
        <w:iCs w:val="0"/>
        <w:spacing w:val="0"/>
        <w:w w:val="100"/>
        <w:sz w:val="22"/>
        <w:szCs w:val="22"/>
        <w:lang w:val="nl-NL" w:eastAsia="en-US" w:bidi="ar-SA"/>
      </w:rPr>
    </w:lvl>
    <w:lvl w:ilvl="4" w:tentative="0">
      <w:start w:val="0"/>
      <w:numFmt w:val="bullet"/>
      <w:lvlText w:val="•"/>
      <w:lvlJc w:val="left"/>
      <w:pPr>
        <w:ind w:left="1320" w:hanging="702"/>
      </w:pPr>
      <w:rPr>
        <w:rFonts w:hint="default"/>
        <w:lang w:val="nl-NL" w:eastAsia="en-US" w:bidi="ar-SA"/>
      </w:rPr>
    </w:lvl>
    <w:lvl w:ilvl="5" w:tentative="0">
      <w:start w:val="0"/>
      <w:numFmt w:val="bullet"/>
      <w:lvlText w:val="•"/>
      <w:lvlJc w:val="left"/>
      <w:pPr>
        <w:ind w:left="2895" w:hanging="702"/>
      </w:pPr>
      <w:rPr>
        <w:rFonts w:hint="default"/>
        <w:lang w:val="nl-NL" w:eastAsia="en-US" w:bidi="ar-SA"/>
      </w:rPr>
    </w:lvl>
    <w:lvl w:ilvl="6" w:tentative="0">
      <w:start w:val="0"/>
      <w:numFmt w:val="bullet"/>
      <w:lvlText w:val="•"/>
      <w:lvlJc w:val="left"/>
      <w:pPr>
        <w:ind w:left="4471" w:hanging="702"/>
      </w:pPr>
      <w:rPr>
        <w:rFonts w:hint="default"/>
        <w:lang w:val="nl-NL" w:eastAsia="en-US" w:bidi="ar-SA"/>
      </w:rPr>
    </w:lvl>
    <w:lvl w:ilvl="7" w:tentative="0">
      <w:start w:val="0"/>
      <w:numFmt w:val="bullet"/>
      <w:lvlText w:val="•"/>
      <w:lvlJc w:val="left"/>
      <w:pPr>
        <w:ind w:left="6046" w:hanging="702"/>
      </w:pPr>
      <w:rPr>
        <w:rFonts w:hint="default"/>
        <w:lang w:val="nl-NL" w:eastAsia="en-US" w:bidi="ar-SA"/>
      </w:rPr>
    </w:lvl>
    <w:lvl w:ilvl="8" w:tentative="0">
      <w:start w:val="0"/>
      <w:numFmt w:val="bullet"/>
      <w:lvlText w:val="•"/>
      <w:lvlJc w:val="left"/>
      <w:pPr>
        <w:ind w:left="7622" w:hanging="702"/>
      </w:pPr>
      <w:rPr>
        <w:rFonts w:hint="default"/>
        <w:lang w:val="nl-NL" w:eastAsia="en-US" w:bidi="ar-SA"/>
      </w:rPr>
    </w:lvl>
  </w:abstractNum>
  <w:abstractNum w:abstractNumId="4">
    <w:nsid w:val="B3BB22B9"/>
    <w:multiLevelType w:val="multilevel"/>
    <w:tmpl w:val="B3BB22B9"/>
    <w:lvl w:ilvl="0" w:tentative="0">
      <w:start w:val="2"/>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31" w:hanging="702"/>
        <w:jc w:val="left"/>
      </w:pPr>
      <w:rPr>
        <w:rFonts w:hint="default"/>
        <w:spacing w:val="-4"/>
        <w:w w:val="100"/>
        <w:lang w:val="nl-NL" w:eastAsia="en-US" w:bidi="ar-SA"/>
      </w:rPr>
    </w:lvl>
    <w:lvl w:ilvl="3" w:tentative="0">
      <w:start w:val="1"/>
      <w:numFmt w:val="decimal"/>
      <w:lvlText w:val="（%4）"/>
      <w:lvlJc w:val="left"/>
      <w:pPr>
        <w:ind w:left="-480" w:hanging="702"/>
        <w:jc w:val="left"/>
      </w:pPr>
      <w:rPr>
        <w:rFonts w:hint="default" w:ascii="宋体" w:hAnsi="宋体" w:eastAsia="宋体" w:cs="宋体"/>
        <w:b w:val="0"/>
        <w:bCs w:val="0"/>
        <w:i w:val="0"/>
        <w:iCs w:val="0"/>
        <w:spacing w:val="0"/>
        <w:w w:val="100"/>
        <w:sz w:val="22"/>
        <w:szCs w:val="22"/>
        <w:lang w:val="nl-NL" w:eastAsia="en-US" w:bidi="ar-SA"/>
      </w:rPr>
    </w:lvl>
    <w:lvl w:ilvl="4" w:tentative="0">
      <w:start w:val="0"/>
      <w:numFmt w:val="bullet"/>
      <w:lvlText w:val="•"/>
      <w:lvlJc w:val="left"/>
      <w:pPr>
        <w:ind w:left="1320" w:hanging="702"/>
      </w:pPr>
      <w:rPr>
        <w:rFonts w:hint="default"/>
        <w:lang w:val="nl-NL" w:eastAsia="en-US" w:bidi="ar-SA"/>
      </w:rPr>
    </w:lvl>
    <w:lvl w:ilvl="5" w:tentative="0">
      <w:start w:val="0"/>
      <w:numFmt w:val="bullet"/>
      <w:lvlText w:val="•"/>
      <w:lvlJc w:val="left"/>
      <w:pPr>
        <w:ind w:left="2895" w:hanging="702"/>
      </w:pPr>
      <w:rPr>
        <w:rFonts w:hint="default"/>
        <w:lang w:val="nl-NL" w:eastAsia="en-US" w:bidi="ar-SA"/>
      </w:rPr>
    </w:lvl>
    <w:lvl w:ilvl="6" w:tentative="0">
      <w:start w:val="0"/>
      <w:numFmt w:val="bullet"/>
      <w:lvlText w:val="•"/>
      <w:lvlJc w:val="left"/>
      <w:pPr>
        <w:ind w:left="4471" w:hanging="702"/>
      </w:pPr>
      <w:rPr>
        <w:rFonts w:hint="default"/>
        <w:lang w:val="nl-NL" w:eastAsia="en-US" w:bidi="ar-SA"/>
      </w:rPr>
    </w:lvl>
    <w:lvl w:ilvl="7" w:tentative="0">
      <w:start w:val="0"/>
      <w:numFmt w:val="bullet"/>
      <w:lvlText w:val="•"/>
      <w:lvlJc w:val="left"/>
      <w:pPr>
        <w:ind w:left="6046" w:hanging="702"/>
      </w:pPr>
      <w:rPr>
        <w:rFonts w:hint="default"/>
        <w:lang w:val="nl-NL" w:eastAsia="en-US" w:bidi="ar-SA"/>
      </w:rPr>
    </w:lvl>
    <w:lvl w:ilvl="8" w:tentative="0">
      <w:start w:val="0"/>
      <w:numFmt w:val="bullet"/>
      <w:lvlText w:val="•"/>
      <w:lvlJc w:val="left"/>
      <w:pPr>
        <w:ind w:left="7622" w:hanging="702"/>
      </w:pPr>
      <w:rPr>
        <w:rFonts w:hint="default"/>
        <w:lang w:val="nl-NL" w:eastAsia="en-US" w:bidi="ar-SA"/>
      </w:rPr>
    </w:lvl>
  </w:abstractNum>
  <w:abstractNum w:abstractNumId="5">
    <w:nsid w:val="BF205925"/>
    <w:multiLevelType w:val="multilevel"/>
    <w:tmpl w:val="BF205925"/>
    <w:lvl w:ilvl="0" w:tentative="0">
      <w:start w:val="7"/>
      <w:numFmt w:val="decimal"/>
      <w:lvlText w:val="%1"/>
      <w:lvlJc w:val="left"/>
      <w:pPr>
        <w:ind w:left="2426" w:hanging="420"/>
        <w:jc w:val="left"/>
      </w:pPr>
      <w:rPr>
        <w:rFonts w:hint="default"/>
        <w:lang w:val="nl-NL" w:eastAsia="en-US" w:bidi="ar-SA"/>
      </w:rPr>
    </w:lvl>
    <w:lvl w:ilvl="1" w:tentative="0">
      <w:start w:val="1"/>
      <w:numFmt w:val="decimal"/>
      <w:lvlText w:val="%1.%2"/>
      <w:lvlJc w:val="left"/>
      <w:pPr>
        <w:ind w:left="2426" w:hanging="42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0"/>
      <w:numFmt w:val="bullet"/>
      <w:lvlText w:val="•"/>
      <w:lvlJc w:val="left"/>
      <w:pPr>
        <w:ind w:left="4090" w:hanging="420"/>
      </w:pPr>
      <w:rPr>
        <w:rFonts w:hint="default"/>
        <w:lang w:val="nl-NL" w:eastAsia="en-US" w:bidi="ar-SA"/>
      </w:rPr>
    </w:lvl>
    <w:lvl w:ilvl="3" w:tentative="0">
      <w:start w:val="0"/>
      <w:numFmt w:val="bullet"/>
      <w:lvlText w:val="•"/>
      <w:lvlJc w:val="left"/>
      <w:pPr>
        <w:ind w:left="4926" w:hanging="420"/>
      </w:pPr>
      <w:rPr>
        <w:rFonts w:hint="default"/>
        <w:lang w:val="nl-NL" w:eastAsia="en-US" w:bidi="ar-SA"/>
      </w:rPr>
    </w:lvl>
    <w:lvl w:ilvl="4" w:tentative="0">
      <w:start w:val="0"/>
      <w:numFmt w:val="bullet"/>
      <w:lvlText w:val="•"/>
      <w:lvlJc w:val="left"/>
      <w:pPr>
        <w:ind w:left="5761" w:hanging="420"/>
      </w:pPr>
      <w:rPr>
        <w:rFonts w:hint="default"/>
        <w:lang w:val="nl-NL" w:eastAsia="en-US" w:bidi="ar-SA"/>
      </w:rPr>
    </w:lvl>
    <w:lvl w:ilvl="5" w:tentative="0">
      <w:start w:val="0"/>
      <w:numFmt w:val="bullet"/>
      <w:lvlText w:val="•"/>
      <w:lvlJc w:val="left"/>
      <w:pPr>
        <w:ind w:left="6596" w:hanging="420"/>
      </w:pPr>
      <w:rPr>
        <w:rFonts w:hint="default"/>
        <w:lang w:val="nl-NL" w:eastAsia="en-US" w:bidi="ar-SA"/>
      </w:rPr>
    </w:lvl>
    <w:lvl w:ilvl="6" w:tentative="0">
      <w:start w:val="0"/>
      <w:numFmt w:val="bullet"/>
      <w:lvlText w:val="•"/>
      <w:lvlJc w:val="left"/>
      <w:pPr>
        <w:ind w:left="7432" w:hanging="420"/>
      </w:pPr>
      <w:rPr>
        <w:rFonts w:hint="default"/>
        <w:lang w:val="nl-NL" w:eastAsia="en-US" w:bidi="ar-SA"/>
      </w:rPr>
    </w:lvl>
    <w:lvl w:ilvl="7" w:tentative="0">
      <w:start w:val="0"/>
      <w:numFmt w:val="bullet"/>
      <w:lvlText w:val="•"/>
      <w:lvlJc w:val="left"/>
      <w:pPr>
        <w:ind w:left="8267" w:hanging="420"/>
      </w:pPr>
      <w:rPr>
        <w:rFonts w:hint="default"/>
        <w:lang w:val="nl-NL" w:eastAsia="en-US" w:bidi="ar-SA"/>
      </w:rPr>
    </w:lvl>
    <w:lvl w:ilvl="8" w:tentative="0">
      <w:start w:val="0"/>
      <w:numFmt w:val="bullet"/>
      <w:lvlText w:val="•"/>
      <w:lvlJc w:val="left"/>
      <w:pPr>
        <w:ind w:left="9102" w:hanging="420"/>
      </w:pPr>
      <w:rPr>
        <w:rFonts w:hint="default"/>
        <w:lang w:val="nl-NL" w:eastAsia="en-US" w:bidi="ar-SA"/>
      </w:rPr>
    </w:lvl>
  </w:abstractNum>
  <w:abstractNum w:abstractNumId="6">
    <w:nsid w:val="C674B3F6"/>
    <w:multiLevelType w:val="multilevel"/>
    <w:tmpl w:val="C674B3F6"/>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7">
    <w:nsid w:val="C6E5264F"/>
    <w:multiLevelType w:val="multilevel"/>
    <w:tmpl w:val="C6E5264F"/>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8">
    <w:nsid w:val="CF092B84"/>
    <w:multiLevelType w:val="multilevel"/>
    <w:tmpl w:val="CF092B84"/>
    <w:lvl w:ilvl="0" w:tentative="0">
      <w:start w:val="3"/>
      <w:numFmt w:val="decimal"/>
      <w:lvlText w:val="%1"/>
      <w:lvlJc w:val="left"/>
      <w:pPr>
        <w:ind w:left="1886" w:hanging="360"/>
        <w:jc w:val="left"/>
      </w:pPr>
      <w:rPr>
        <w:rFonts w:hint="default"/>
        <w:lang w:val="nl-NL" w:eastAsia="en-US" w:bidi="ar-SA"/>
      </w:rPr>
    </w:lvl>
    <w:lvl w:ilvl="1" w:tentative="0">
      <w:start w:val="1"/>
      <w:numFmt w:val="decimal"/>
      <w:lvlText w:val="%1.%2"/>
      <w:lvlJc w:val="left"/>
      <w:pPr>
        <w:ind w:left="1886" w:hanging="36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1"/>
      <w:numFmt w:val="decimal"/>
      <w:lvlText w:val="%1.%2.%3"/>
      <w:lvlJc w:val="left"/>
      <w:pPr>
        <w:ind w:left="2066" w:hanging="54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3" w:tentative="0">
      <w:start w:val="0"/>
      <w:numFmt w:val="bullet"/>
      <w:lvlText w:val="•"/>
      <w:lvlJc w:val="left"/>
      <w:pPr>
        <w:ind w:left="3996" w:hanging="540"/>
      </w:pPr>
      <w:rPr>
        <w:rFonts w:hint="default"/>
        <w:lang w:val="nl-NL" w:eastAsia="en-US" w:bidi="ar-SA"/>
      </w:rPr>
    </w:lvl>
    <w:lvl w:ilvl="4" w:tentative="0">
      <w:start w:val="0"/>
      <w:numFmt w:val="bullet"/>
      <w:lvlText w:val="•"/>
      <w:lvlJc w:val="left"/>
      <w:pPr>
        <w:ind w:left="4964" w:hanging="540"/>
      </w:pPr>
      <w:rPr>
        <w:rFonts w:hint="default"/>
        <w:lang w:val="nl-NL" w:eastAsia="en-US" w:bidi="ar-SA"/>
      </w:rPr>
    </w:lvl>
    <w:lvl w:ilvl="5" w:tentative="0">
      <w:start w:val="0"/>
      <w:numFmt w:val="bullet"/>
      <w:lvlText w:val="•"/>
      <w:lvlJc w:val="left"/>
      <w:pPr>
        <w:ind w:left="5932" w:hanging="540"/>
      </w:pPr>
      <w:rPr>
        <w:rFonts w:hint="default"/>
        <w:lang w:val="nl-NL" w:eastAsia="en-US" w:bidi="ar-SA"/>
      </w:rPr>
    </w:lvl>
    <w:lvl w:ilvl="6" w:tentative="0">
      <w:start w:val="0"/>
      <w:numFmt w:val="bullet"/>
      <w:lvlText w:val="•"/>
      <w:lvlJc w:val="left"/>
      <w:pPr>
        <w:ind w:left="6900" w:hanging="540"/>
      </w:pPr>
      <w:rPr>
        <w:rFonts w:hint="default"/>
        <w:lang w:val="nl-NL" w:eastAsia="en-US" w:bidi="ar-SA"/>
      </w:rPr>
    </w:lvl>
    <w:lvl w:ilvl="7" w:tentative="0">
      <w:start w:val="0"/>
      <w:numFmt w:val="bullet"/>
      <w:lvlText w:val="•"/>
      <w:lvlJc w:val="left"/>
      <w:pPr>
        <w:ind w:left="7868" w:hanging="540"/>
      </w:pPr>
      <w:rPr>
        <w:rFonts w:hint="default"/>
        <w:lang w:val="nl-NL" w:eastAsia="en-US" w:bidi="ar-SA"/>
      </w:rPr>
    </w:lvl>
    <w:lvl w:ilvl="8" w:tentative="0">
      <w:start w:val="0"/>
      <w:numFmt w:val="bullet"/>
      <w:lvlText w:val="•"/>
      <w:lvlJc w:val="left"/>
      <w:pPr>
        <w:ind w:left="8837" w:hanging="540"/>
      </w:pPr>
      <w:rPr>
        <w:rFonts w:hint="default"/>
        <w:lang w:val="nl-NL" w:eastAsia="en-US" w:bidi="ar-SA"/>
      </w:rPr>
    </w:lvl>
  </w:abstractNum>
  <w:abstractNum w:abstractNumId="9">
    <w:nsid w:val="E13D2F2F"/>
    <w:multiLevelType w:val="multilevel"/>
    <w:tmpl w:val="E13D2F2F"/>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0">
    <w:nsid w:val="EA6737B9"/>
    <w:multiLevelType w:val="multilevel"/>
    <w:tmpl w:val="EA6737B9"/>
    <w:lvl w:ilvl="0" w:tentative="0">
      <w:start w:val="2"/>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31" w:hanging="702"/>
        <w:jc w:val="left"/>
      </w:pPr>
      <w:rPr>
        <w:rFonts w:hint="default"/>
        <w:spacing w:val="-4"/>
        <w:w w:val="100"/>
        <w:lang w:val="nl-NL" w:eastAsia="en-US" w:bidi="ar-SA"/>
      </w:rPr>
    </w:lvl>
    <w:lvl w:ilvl="3" w:tentative="0">
      <w:start w:val="1"/>
      <w:numFmt w:val="decimal"/>
      <w:suff w:val="space"/>
      <w:lvlText w:val="（%4）"/>
      <w:lvlJc w:val="left"/>
      <w:pPr>
        <w:ind w:left="-480" w:hanging="702"/>
        <w:jc w:val="left"/>
      </w:pPr>
      <w:rPr>
        <w:rFonts w:hint="default" w:ascii="宋体" w:hAnsi="宋体" w:eastAsia="宋体" w:cs="宋体"/>
        <w:b w:val="0"/>
        <w:bCs w:val="0"/>
        <w:i w:val="0"/>
        <w:iCs w:val="0"/>
        <w:spacing w:val="0"/>
        <w:w w:val="100"/>
        <w:sz w:val="22"/>
        <w:szCs w:val="22"/>
        <w:lang w:val="nl-NL" w:eastAsia="en-US" w:bidi="ar-SA"/>
      </w:rPr>
    </w:lvl>
    <w:lvl w:ilvl="4" w:tentative="0">
      <w:start w:val="0"/>
      <w:numFmt w:val="bullet"/>
      <w:lvlText w:val="•"/>
      <w:lvlJc w:val="left"/>
      <w:pPr>
        <w:ind w:left="1320" w:hanging="702"/>
      </w:pPr>
      <w:rPr>
        <w:rFonts w:hint="default"/>
        <w:lang w:val="nl-NL" w:eastAsia="en-US" w:bidi="ar-SA"/>
      </w:rPr>
    </w:lvl>
    <w:lvl w:ilvl="5" w:tentative="0">
      <w:start w:val="0"/>
      <w:numFmt w:val="bullet"/>
      <w:lvlText w:val="•"/>
      <w:lvlJc w:val="left"/>
      <w:pPr>
        <w:ind w:left="2895" w:hanging="702"/>
      </w:pPr>
      <w:rPr>
        <w:rFonts w:hint="default"/>
        <w:lang w:val="nl-NL" w:eastAsia="en-US" w:bidi="ar-SA"/>
      </w:rPr>
    </w:lvl>
    <w:lvl w:ilvl="6" w:tentative="0">
      <w:start w:val="0"/>
      <w:numFmt w:val="bullet"/>
      <w:lvlText w:val="•"/>
      <w:lvlJc w:val="left"/>
      <w:pPr>
        <w:ind w:left="4471" w:hanging="702"/>
      </w:pPr>
      <w:rPr>
        <w:rFonts w:hint="default"/>
        <w:lang w:val="nl-NL" w:eastAsia="en-US" w:bidi="ar-SA"/>
      </w:rPr>
    </w:lvl>
    <w:lvl w:ilvl="7" w:tentative="0">
      <w:start w:val="0"/>
      <w:numFmt w:val="bullet"/>
      <w:lvlText w:val="•"/>
      <w:lvlJc w:val="left"/>
      <w:pPr>
        <w:ind w:left="6046" w:hanging="702"/>
      </w:pPr>
      <w:rPr>
        <w:rFonts w:hint="default"/>
        <w:lang w:val="nl-NL" w:eastAsia="en-US" w:bidi="ar-SA"/>
      </w:rPr>
    </w:lvl>
    <w:lvl w:ilvl="8" w:tentative="0">
      <w:start w:val="0"/>
      <w:numFmt w:val="bullet"/>
      <w:lvlText w:val="•"/>
      <w:lvlJc w:val="left"/>
      <w:pPr>
        <w:ind w:left="7622" w:hanging="702"/>
      </w:pPr>
      <w:rPr>
        <w:rFonts w:hint="default"/>
        <w:lang w:val="nl-NL" w:eastAsia="en-US" w:bidi="ar-SA"/>
      </w:rPr>
    </w:lvl>
  </w:abstractNum>
  <w:abstractNum w:abstractNumId="11">
    <w:nsid w:val="EDC465FC"/>
    <w:multiLevelType w:val="multilevel"/>
    <w:tmpl w:val="EDC465FC"/>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12">
    <w:nsid w:val="F50C6CCC"/>
    <w:multiLevelType w:val="multilevel"/>
    <w:tmpl w:val="F50C6CCC"/>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3">
    <w:nsid w:val="FA05963F"/>
    <w:multiLevelType w:val="multilevel"/>
    <w:tmpl w:val="FA05963F"/>
    <w:lvl w:ilvl="0" w:tentative="0">
      <w:start w:val="1"/>
      <w:numFmt w:val="decimal"/>
      <w:lvlText w:val="（%1）"/>
      <w:lvlJc w:val="left"/>
      <w:pPr>
        <w:ind w:left="1311" w:hanging="601"/>
        <w:jc w:val="right"/>
      </w:pPr>
      <w:rPr>
        <w:rFonts w:hint="default" w:ascii="宋体" w:hAnsi="宋体" w:eastAsia="宋体" w:cs="宋体"/>
        <w:b w:val="0"/>
        <w:bCs w:val="0"/>
        <w:i w:val="0"/>
        <w:iCs w:val="0"/>
        <w:spacing w:val="0"/>
        <w:w w:val="100"/>
        <w:sz w:val="22"/>
        <w:szCs w:val="22"/>
        <w:lang w:val="nl-NL" w:eastAsia="en-US" w:bidi="ar-SA"/>
      </w:rPr>
    </w:lvl>
    <w:lvl w:ilvl="1" w:tentative="0">
      <w:start w:val="0"/>
      <w:numFmt w:val="bullet"/>
      <w:lvlText w:val="•"/>
      <w:lvlJc w:val="left"/>
      <w:pPr>
        <w:ind w:left="2265" w:hanging="601"/>
      </w:pPr>
      <w:rPr>
        <w:rFonts w:hint="default"/>
        <w:lang w:val="nl-NL" w:eastAsia="en-US" w:bidi="ar-SA"/>
      </w:rPr>
    </w:lvl>
    <w:lvl w:ilvl="2" w:tentative="0">
      <w:start w:val="0"/>
      <w:numFmt w:val="bullet"/>
      <w:lvlText w:val="•"/>
      <w:lvlJc w:val="left"/>
      <w:pPr>
        <w:ind w:left="3210" w:hanging="601"/>
      </w:pPr>
      <w:rPr>
        <w:rFonts w:hint="default"/>
        <w:lang w:val="nl-NL" w:eastAsia="en-US" w:bidi="ar-SA"/>
      </w:rPr>
    </w:lvl>
    <w:lvl w:ilvl="3" w:tentative="0">
      <w:start w:val="0"/>
      <w:numFmt w:val="bullet"/>
      <w:lvlText w:val="•"/>
      <w:lvlJc w:val="left"/>
      <w:pPr>
        <w:ind w:left="4156" w:hanging="601"/>
      </w:pPr>
      <w:rPr>
        <w:rFonts w:hint="default"/>
        <w:lang w:val="nl-NL" w:eastAsia="en-US" w:bidi="ar-SA"/>
      </w:rPr>
    </w:lvl>
    <w:lvl w:ilvl="4" w:tentative="0">
      <w:start w:val="0"/>
      <w:numFmt w:val="bullet"/>
      <w:lvlText w:val="•"/>
      <w:lvlJc w:val="left"/>
      <w:pPr>
        <w:ind w:left="5101" w:hanging="601"/>
      </w:pPr>
      <w:rPr>
        <w:rFonts w:hint="default"/>
        <w:lang w:val="nl-NL" w:eastAsia="en-US" w:bidi="ar-SA"/>
      </w:rPr>
    </w:lvl>
    <w:lvl w:ilvl="5" w:tentative="0">
      <w:start w:val="0"/>
      <w:numFmt w:val="bullet"/>
      <w:lvlText w:val="•"/>
      <w:lvlJc w:val="left"/>
      <w:pPr>
        <w:ind w:left="6046" w:hanging="601"/>
      </w:pPr>
      <w:rPr>
        <w:rFonts w:hint="default"/>
        <w:lang w:val="nl-NL" w:eastAsia="en-US" w:bidi="ar-SA"/>
      </w:rPr>
    </w:lvl>
    <w:lvl w:ilvl="6" w:tentative="0">
      <w:start w:val="0"/>
      <w:numFmt w:val="bullet"/>
      <w:lvlText w:val="•"/>
      <w:lvlJc w:val="left"/>
      <w:pPr>
        <w:ind w:left="6992" w:hanging="601"/>
      </w:pPr>
      <w:rPr>
        <w:rFonts w:hint="default"/>
        <w:lang w:val="nl-NL" w:eastAsia="en-US" w:bidi="ar-SA"/>
      </w:rPr>
    </w:lvl>
    <w:lvl w:ilvl="7" w:tentative="0">
      <w:start w:val="0"/>
      <w:numFmt w:val="bullet"/>
      <w:lvlText w:val="•"/>
      <w:lvlJc w:val="left"/>
      <w:pPr>
        <w:ind w:left="7937" w:hanging="601"/>
      </w:pPr>
      <w:rPr>
        <w:rFonts w:hint="default"/>
        <w:lang w:val="nl-NL" w:eastAsia="en-US" w:bidi="ar-SA"/>
      </w:rPr>
    </w:lvl>
    <w:lvl w:ilvl="8" w:tentative="0">
      <w:start w:val="0"/>
      <w:numFmt w:val="bullet"/>
      <w:lvlText w:val="•"/>
      <w:lvlJc w:val="left"/>
      <w:pPr>
        <w:ind w:left="8882" w:hanging="601"/>
      </w:pPr>
      <w:rPr>
        <w:rFonts w:hint="default"/>
        <w:lang w:val="nl-NL" w:eastAsia="en-US" w:bidi="ar-SA"/>
      </w:rPr>
    </w:lvl>
  </w:abstractNum>
  <w:abstractNum w:abstractNumId="14">
    <w:nsid w:val="0053208E"/>
    <w:multiLevelType w:val="multilevel"/>
    <w:tmpl w:val="0053208E"/>
    <w:lvl w:ilvl="0" w:tentative="0">
      <w:start w:val="2"/>
      <w:numFmt w:val="decimal"/>
      <w:lvlText w:val="%1"/>
      <w:lvlJc w:val="left"/>
      <w:pPr>
        <w:ind w:left="1886" w:hanging="360"/>
        <w:jc w:val="left"/>
      </w:pPr>
      <w:rPr>
        <w:rFonts w:hint="default"/>
        <w:lang w:val="nl-NL" w:eastAsia="en-US" w:bidi="ar-SA"/>
      </w:rPr>
    </w:lvl>
    <w:lvl w:ilvl="1" w:tentative="0">
      <w:start w:val="1"/>
      <w:numFmt w:val="decimal"/>
      <w:lvlText w:val="%1.%2"/>
      <w:lvlJc w:val="left"/>
      <w:pPr>
        <w:ind w:left="1886" w:hanging="36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1"/>
      <w:numFmt w:val="decimal"/>
      <w:lvlText w:val="%1.%2.%3"/>
      <w:lvlJc w:val="left"/>
      <w:pPr>
        <w:ind w:left="2066" w:hanging="54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3" w:tentative="0">
      <w:start w:val="0"/>
      <w:numFmt w:val="bullet"/>
      <w:lvlText w:val="•"/>
      <w:lvlJc w:val="left"/>
      <w:pPr>
        <w:ind w:left="3621" w:hanging="540"/>
      </w:pPr>
      <w:rPr>
        <w:rFonts w:hint="default"/>
        <w:lang w:val="nl-NL" w:eastAsia="en-US" w:bidi="ar-SA"/>
      </w:rPr>
    </w:lvl>
    <w:lvl w:ilvl="4" w:tentative="0">
      <w:start w:val="0"/>
      <w:numFmt w:val="bullet"/>
      <w:lvlText w:val="•"/>
      <w:lvlJc w:val="left"/>
      <w:pPr>
        <w:ind w:left="4643" w:hanging="540"/>
      </w:pPr>
      <w:rPr>
        <w:rFonts w:hint="default"/>
        <w:lang w:val="nl-NL" w:eastAsia="en-US" w:bidi="ar-SA"/>
      </w:rPr>
    </w:lvl>
    <w:lvl w:ilvl="5" w:tentative="0">
      <w:start w:val="0"/>
      <w:numFmt w:val="bullet"/>
      <w:lvlText w:val="•"/>
      <w:lvlJc w:val="left"/>
      <w:pPr>
        <w:ind w:left="5665" w:hanging="540"/>
      </w:pPr>
      <w:rPr>
        <w:rFonts w:hint="default"/>
        <w:lang w:val="nl-NL" w:eastAsia="en-US" w:bidi="ar-SA"/>
      </w:rPr>
    </w:lvl>
    <w:lvl w:ilvl="6" w:tentative="0">
      <w:start w:val="0"/>
      <w:numFmt w:val="bullet"/>
      <w:lvlText w:val="•"/>
      <w:lvlJc w:val="left"/>
      <w:pPr>
        <w:ind w:left="6686" w:hanging="540"/>
      </w:pPr>
      <w:rPr>
        <w:rFonts w:hint="default"/>
        <w:lang w:val="nl-NL" w:eastAsia="en-US" w:bidi="ar-SA"/>
      </w:rPr>
    </w:lvl>
    <w:lvl w:ilvl="7" w:tentative="0">
      <w:start w:val="0"/>
      <w:numFmt w:val="bullet"/>
      <w:lvlText w:val="•"/>
      <w:lvlJc w:val="left"/>
      <w:pPr>
        <w:ind w:left="7708" w:hanging="540"/>
      </w:pPr>
      <w:rPr>
        <w:rFonts w:hint="default"/>
        <w:lang w:val="nl-NL" w:eastAsia="en-US" w:bidi="ar-SA"/>
      </w:rPr>
    </w:lvl>
    <w:lvl w:ilvl="8" w:tentative="0">
      <w:start w:val="0"/>
      <w:numFmt w:val="bullet"/>
      <w:lvlText w:val="•"/>
      <w:lvlJc w:val="left"/>
      <w:pPr>
        <w:ind w:left="8730" w:hanging="540"/>
      </w:pPr>
      <w:rPr>
        <w:rFonts w:hint="default"/>
        <w:lang w:val="nl-NL" w:eastAsia="en-US" w:bidi="ar-SA"/>
      </w:rPr>
    </w:lvl>
  </w:abstractNum>
  <w:abstractNum w:abstractNumId="15">
    <w:nsid w:val="04CB1E96"/>
    <w:multiLevelType w:val="multilevel"/>
    <w:tmpl w:val="04CB1E96"/>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6">
    <w:nsid w:val="17C4A8EE"/>
    <w:multiLevelType w:val="multilevel"/>
    <w:tmpl w:val="17C4A8EE"/>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7">
    <w:nsid w:val="1B0404CE"/>
    <w:multiLevelType w:val="multilevel"/>
    <w:tmpl w:val="1B0404CE"/>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18">
    <w:nsid w:val="45E9A2E8"/>
    <w:multiLevelType w:val="multilevel"/>
    <w:tmpl w:val="45E9A2E8"/>
    <w:lvl w:ilvl="0" w:tentative="0">
      <w:start w:val="4"/>
      <w:numFmt w:val="decimalEnclosedCircle"/>
      <w:lvlText w:val="%1"/>
      <w:lvlJc w:val="left"/>
      <w:pPr>
        <w:ind w:left="873" w:hanging="360"/>
        <w:jc w:val="right"/>
      </w:pPr>
      <w:rPr>
        <w:rFonts w:hint="default" w:ascii="宋体" w:hAnsi="宋体" w:eastAsia="宋体" w:cs="宋体"/>
        <w:b w:val="0"/>
        <w:bCs w:val="0"/>
        <w:i w:val="0"/>
        <w:iCs w:val="0"/>
        <w:spacing w:val="0"/>
        <w:w w:val="100"/>
        <w:sz w:val="24"/>
        <w:szCs w:val="24"/>
        <w:lang w:val="nl-NL" w:eastAsia="en-US" w:bidi="ar-SA"/>
      </w:rPr>
    </w:lvl>
    <w:lvl w:ilvl="1" w:tentative="0">
      <w:start w:val="0"/>
      <w:numFmt w:val="bullet"/>
      <w:lvlText w:val="•"/>
      <w:lvlJc w:val="left"/>
      <w:pPr>
        <w:ind w:left="1869" w:hanging="360"/>
      </w:pPr>
      <w:rPr>
        <w:rFonts w:hint="default"/>
        <w:lang w:val="nl-NL" w:eastAsia="en-US" w:bidi="ar-SA"/>
      </w:rPr>
    </w:lvl>
    <w:lvl w:ilvl="2" w:tentative="0">
      <w:start w:val="0"/>
      <w:numFmt w:val="bullet"/>
      <w:lvlText w:val="•"/>
      <w:lvlJc w:val="left"/>
      <w:pPr>
        <w:ind w:left="2858" w:hanging="360"/>
      </w:pPr>
      <w:rPr>
        <w:rFonts w:hint="default"/>
        <w:lang w:val="nl-NL" w:eastAsia="en-US" w:bidi="ar-SA"/>
      </w:rPr>
    </w:lvl>
    <w:lvl w:ilvl="3" w:tentative="0">
      <w:start w:val="0"/>
      <w:numFmt w:val="bullet"/>
      <w:lvlText w:val="•"/>
      <w:lvlJc w:val="left"/>
      <w:pPr>
        <w:ind w:left="3848" w:hanging="360"/>
      </w:pPr>
      <w:rPr>
        <w:rFonts w:hint="default"/>
        <w:lang w:val="nl-NL" w:eastAsia="en-US" w:bidi="ar-SA"/>
      </w:rPr>
    </w:lvl>
    <w:lvl w:ilvl="4" w:tentative="0">
      <w:start w:val="0"/>
      <w:numFmt w:val="bullet"/>
      <w:lvlText w:val="•"/>
      <w:lvlJc w:val="left"/>
      <w:pPr>
        <w:ind w:left="4837" w:hanging="360"/>
      </w:pPr>
      <w:rPr>
        <w:rFonts w:hint="default"/>
        <w:lang w:val="nl-NL" w:eastAsia="en-US" w:bidi="ar-SA"/>
      </w:rPr>
    </w:lvl>
    <w:lvl w:ilvl="5" w:tentative="0">
      <w:start w:val="0"/>
      <w:numFmt w:val="bullet"/>
      <w:lvlText w:val="•"/>
      <w:lvlJc w:val="left"/>
      <w:pPr>
        <w:ind w:left="5826" w:hanging="360"/>
      </w:pPr>
      <w:rPr>
        <w:rFonts w:hint="default"/>
        <w:lang w:val="nl-NL" w:eastAsia="en-US" w:bidi="ar-SA"/>
      </w:rPr>
    </w:lvl>
    <w:lvl w:ilvl="6" w:tentative="0">
      <w:start w:val="0"/>
      <w:numFmt w:val="bullet"/>
      <w:lvlText w:val="•"/>
      <w:lvlJc w:val="left"/>
      <w:pPr>
        <w:ind w:left="6816" w:hanging="360"/>
      </w:pPr>
      <w:rPr>
        <w:rFonts w:hint="default"/>
        <w:lang w:val="nl-NL" w:eastAsia="en-US" w:bidi="ar-SA"/>
      </w:rPr>
    </w:lvl>
    <w:lvl w:ilvl="7" w:tentative="0">
      <w:start w:val="0"/>
      <w:numFmt w:val="bullet"/>
      <w:lvlText w:val="•"/>
      <w:lvlJc w:val="left"/>
      <w:pPr>
        <w:ind w:left="7805" w:hanging="360"/>
      </w:pPr>
      <w:rPr>
        <w:rFonts w:hint="default"/>
        <w:lang w:val="nl-NL" w:eastAsia="en-US" w:bidi="ar-SA"/>
      </w:rPr>
    </w:lvl>
    <w:lvl w:ilvl="8" w:tentative="0">
      <w:start w:val="0"/>
      <w:numFmt w:val="bullet"/>
      <w:lvlText w:val="•"/>
      <w:lvlJc w:val="left"/>
      <w:pPr>
        <w:ind w:left="8794" w:hanging="360"/>
      </w:pPr>
      <w:rPr>
        <w:rFonts w:hint="default"/>
        <w:lang w:val="nl-NL" w:eastAsia="en-US" w:bidi="ar-SA"/>
      </w:rPr>
    </w:lvl>
  </w:abstractNum>
  <w:abstractNum w:abstractNumId="19">
    <w:nsid w:val="48D7724C"/>
    <w:multiLevelType w:val="multilevel"/>
    <w:tmpl w:val="48D7724C"/>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20">
    <w:nsid w:val="4AFEE34F"/>
    <w:multiLevelType w:val="multilevel"/>
    <w:tmpl w:val="4AFEE34F"/>
    <w:lvl w:ilvl="0" w:tentative="0">
      <w:start w:val="6"/>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861" w:hanging="632"/>
        <w:jc w:val="left"/>
      </w:pPr>
      <w:rPr>
        <w:rFonts w:hint="default" w:ascii="Times New Roman" w:hAnsi="Times New Roman" w:eastAsia="Times New Roman" w:cs="Times New Roman"/>
        <w:b/>
        <w:bCs/>
        <w:i w:val="0"/>
        <w:iCs w:val="0"/>
        <w:spacing w:val="0"/>
        <w:w w:val="100"/>
        <w:sz w:val="28"/>
        <w:szCs w:val="28"/>
        <w:lang w:val="nl-NL" w:eastAsia="en-US" w:bidi="ar-SA"/>
      </w:rPr>
    </w:lvl>
    <w:lvl w:ilvl="3" w:tentative="0">
      <w:start w:val="0"/>
      <w:numFmt w:val="bullet"/>
      <w:lvlText w:val="•"/>
      <w:lvlJc w:val="left"/>
      <w:pPr>
        <w:ind w:left="3062" w:hanging="632"/>
      </w:pPr>
      <w:rPr>
        <w:rFonts w:hint="default"/>
        <w:lang w:val="nl-NL" w:eastAsia="en-US" w:bidi="ar-SA"/>
      </w:rPr>
    </w:lvl>
    <w:lvl w:ilvl="4" w:tentative="0">
      <w:start w:val="0"/>
      <w:numFmt w:val="bullet"/>
      <w:lvlText w:val="•"/>
      <w:lvlJc w:val="left"/>
      <w:pPr>
        <w:ind w:left="4164" w:hanging="632"/>
      </w:pPr>
      <w:rPr>
        <w:rFonts w:hint="default"/>
        <w:lang w:val="nl-NL" w:eastAsia="en-US" w:bidi="ar-SA"/>
      </w:rPr>
    </w:lvl>
    <w:lvl w:ilvl="5" w:tentative="0">
      <w:start w:val="0"/>
      <w:numFmt w:val="bullet"/>
      <w:lvlText w:val="•"/>
      <w:lvlJc w:val="left"/>
      <w:pPr>
        <w:ind w:left="5265" w:hanging="632"/>
      </w:pPr>
      <w:rPr>
        <w:rFonts w:hint="default"/>
        <w:lang w:val="nl-NL" w:eastAsia="en-US" w:bidi="ar-SA"/>
      </w:rPr>
    </w:lvl>
    <w:lvl w:ilvl="6" w:tentative="0">
      <w:start w:val="0"/>
      <w:numFmt w:val="bullet"/>
      <w:lvlText w:val="•"/>
      <w:lvlJc w:val="left"/>
      <w:pPr>
        <w:ind w:left="6367" w:hanging="632"/>
      </w:pPr>
      <w:rPr>
        <w:rFonts w:hint="default"/>
        <w:lang w:val="nl-NL" w:eastAsia="en-US" w:bidi="ar-SA"/>
      </w:rPr>
    </w:lvl>
    <w:lvl w:ilvl="7" w:tentative="0">
      <w:start w:val="0"/>
      <w:numFmt w:val="bullet"/>
      <w:lvlText w:val="•"/>
      <w:lvlJc w:val="left"/>
      <w:pPr>
        <w:ind w:left="7468" w:hanging="632"/>
      </w:pPr>
      <w:rPr>
        <w:rFonts w:hint="default"/>
        <w:lang w:val="nl-NL" w:eastAsia="en-US" w:bidi="ar-SA"/>
      </w:rPr>
    </w:lvl>
    <w:lvl w:ilvl="8" w:tentative="0">
      <w:start w:val="0"/>
      <w:numFmt w:val="bullet"/>
      <w:lvlText w:val="•"/>
      <w:lvlJc w:val="left"/>
      <w:pPr>
        <w:ind w:left="8570" w:hanging="632"/>
      </w:pPr>
      <w:rPr>
        <w:rFonts w:hint="default"/>
        <w:lang w:val="nl-NL" w:eastAsia="en-US" w:bidi="ar-SA"/>
      </w:rPr>
    </w:lvl>
  </w:abstractNum>
  <w:abstractNum w:abstractNumId="21">
    <w:nsid w:val="502610EC"/>
    <w:multiLevelType w:val="multilevel"/>
    <w:tmpl w:val="502610EC"/>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22">
    <w:nsid w:val="59ADCABA"/>
    <w:multiLevelType w:val="multilevel"/>
    <w:tmpl w:val="59ADCABA"/>
    <w:lvl w:ilvl="0" w:tentative="0">
      <w:start w:val="6"/>
      <w:numFmt w:val="decimal"/>
      <w:lvlText w:val="%1"/>
      <w:lvlJc w:val="left"/>
      <w:pPr>
        <w:ind w:left="1886" w:hanging="360"/>
        <w:jc w:val="left"/>
      </w:pPr>
      <w:rPr>
        <w:rFonts w:hint="default"/>
        <w:lang w:val="nl-NL" w:eastAsia="en-US" w:bidi="ar-SA"/>
      </w:rPr>
    </w:lvl>
    <w:lvl w:ilvl="1" w:tentative="0">
      <w:start w:val="1"/>
      <w:numFmt w:val="decimal"/>
      <w:lvlText w:val="%1.%2"/>
      <w:lvlJc w:val="left"/>
      <w:pPr>
        <w:ind w:left="1886" w:hanging="36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1"/>
      <w:numFmt w:val="decimal"/>
      <w:lvlText w:val="%1.%2.%3"/>
      <w:lvlJc w:val="left"/>
      <w:pPr>
        <w:ind w:left="2547" w:hanging="541"/>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3" w:tentative="0">
      <w:start w:val="0"/>
      <w:numFmt w:val="bullet"/>
      <w:lvlText w:val="•"/>
      <w:lvlJc w:val="left"/>
      <w:pPr>
        <w:ind w:left="4369" w:hanging="541"/>
      </w:pPr>
      <w:rPr>
        <w:rFonts w:hint="default"/>
        <w:lang w:val="nl-NL" w:eastAsia="en-US" w:bidi="ar-SA"/>
      </w:rPr>
    </w:lvl>
    <w:lvl w:ilvl="4" w:tentative="0">
      <w:start w:val="0"/>
      <w:numFmt w:val="bullet"/>
      <w:lvlText w:val="•"/>
      <w:lvlJc w:val="left"/>
      <w:pPr>
        <w:ind w:left="5284" w:hanging="541"/>
      </w:pPr>
      <w:rPr>
        <w:rFonts w:hint="default"/>
        <w:lang w:val="nl-NL" w:eastAsia="en-US" w:bidi="ar-SA"/>
      </w:rPr>
    </w:lvl>
    <w:lvl w:ilvl="5" w:tentative="0">
      <w:start w:val="0"/>
      <w:numFmt w:val="bullet"/>
      <w:lvlText w:val="•"/>
      <w:lvlJc w:val="left"/>
      <w:pPr>
        <w:ind w:left="6199" w:hanging="541"/>
      </w:pPr>
      <w:rPr>
        <w:rFonts w:hint="default"/>
        <w:lang w:val="nl-NL" w:eastAsia="en-US" w:bidi="ar-SA"/>
      </w:rPr>
    </w:lvl>
    <w:lvl w:ilvl="6" w:tentative="0">
      <w:start w:val="0"/>
      <w:numFmt w:val="bullet"/>
      <w:lvlText w:val="•"/>
      <w:lvlJc w:val="left"/>
      <w:pPr>
        <w:ind w:left="7114" w:hanging="541"/>
      </w:pPr>
      <w:rPr>
        <w:rFonts w:hint="default"/>
        <w:lang w:val="nl-NL" w:eastAsia="en-US" w:bidi="ar-SA"/>
      </w:rPr>
    </w:lvl>
    <w:lvl w:ilvl="7" w:tentative="0">
      <w:start w:val="0"/>
      <w:numFmt w:val="bullet"/>
      <w:lvlText w:val="•"/>
      <w:lvlJc w:val="left"/>
      <w:pPr>
        <w:ind w:left="8028" w:hanging="541"/>
      </w:pPr>
      <w:rPr>
        <w:rFonts w:hint="default"/>
        <w:lang w:val="nl-NL" w:eastAsia="en-US" w:bidi="ar-SA"/>
      </w:rPr>
    </w:lvl>
    <w:lvl w:ilvl="8" w:tentative="0">
      <w:start w:val="0"/>
      <w:numFmt w:val="bullet"/>
      <w:lvlText w:val="•"/>
      <w:lvlJc w:val="left"/>
      <w:pPr>
        <w:ind w:left="8943" w:hanging="541"/>
      </w:pPr>
      <w:rPr>
        <w:rFonts w:hint="default"/>
        <w:lang w:val="nl-NL" w:eastAsia="en-US" w:bidi="ar-SA"/>
      </w:rPr>
    </w:lvl>
  </w:abstractNum>
  <w:abstractNum w:abstractNumId="23">
    <w:nsid w:val="607009E3"/>
    <w:multiLevelType w:val="multilevel"/>
    <w:tmpl w:val="607009E3"/>
    <w:lvl w:ilvl="0" w:tentative="0">
      <w:start w:val="1"/>
      <w:numFmt w:val="decimalEnclosedCircle"/>
      <w:lvlText w:val="%1"/>
      <w:lvlJc w:val="left"/>
      <w:pPr>
        <w:ind w:left="873" w:hanging="557"/>
        <w:jc w:val="left"/>
      </w:pPr>
      <w:rPr>
        <w:rFonts w:hint="default" w:ascii="宋体" w:hAnsi="宋体" w:eastAsia="宋体" w:cs="宋体"/>
        <w:b w:val="0"/>
        <w:bCs w:val="0"/>
        <w:i w:val="0"/>
        <w:iCs w:val="0"/>
        <w:spacing w:val="0"/>
        <w:w w:val="100"/>
        <w:sz w:val="24"/>
        <w:szCs w:val="24"/>
        <w:lang w:val="nl-NL" w:eastAsia="en-US" w:bidi="ar-SA"/>
      </w:rPr>
    </w:lvl>
    <w:lvl w:ilvl="1" w:tentative="0">
      <w:start w:val="0"/>
      <w:numFmt w:val="bullet"/>
      <w:lvlText w:val="•"/>
      <w:lvlJc w:val="left"/>
      <w:pPr>
        <w:ind w:left="1869" w:hanging="557"/>
      </w:pPr>
      <w:rPr>
        <w:rFonts w:hint="default"/>
        <w:lang w:val="nl-NL" w:eastAsia="en-US" w:bidi="ar-SA"/>
      </w:rPr>
    </w:lvl>
    <w:lvl w:ilvl="2" w:tentative="0">
      <w:start w:val="0"/>
      <w:numFmt w:val="bullet"/>
      <w:lvlText w:val="•"/>
      <w:lvlJc w:val="left"/>
      <w:pPr>
        <w:ind w:left="2858" w:hanging="557"/>
      </w:pPr>
      <w:rPr>
        <w:rFonts w:hint="default"/>
        <w:lang w:val="nl-NL" w:eastAsia="en-US" w:bidi="ar-SA"/>
      </w:rPr>
    </w:lvl>
    <w:lvl w:ilvl="3" w:tentative="0">
      <w:start w:val="0"/>
      <w:numFmt w:val="bullet"/>
      <w:lvlText w:val="•"/>
      <w:lvlJc w:val="left"/>
      <w:pPr>
        <w:ind w:left="3848" w:hanging="557"/>
      </w:pPr>
      <w:rPr>
        <w:rFonts w:hint="default"/>
        <w:lang w:val="nl-NL" w:eastAsia="en-US" w:bidi="ar-SA"/>
      </w:rPr>
    </w:lvl>
    <w:lvl w:ilvl="4" w:tentative="0">
      <w:start w:val="0"/>
      <w:numFmt w:val="bullet"/>
      <w:lvlText w:val="•"/>
      <w:lvlJc w:val="left"/>
      <w:pPr>
        <w:ind w:left="4837" w:hanging="557"/>
      </w:pPr>
      <w:rPr>
        <w:rFonts w:hint="default"/>
        <w:lang w:val="nl-NL" w:eastAsia="en-US" w:bidi="ar-SA"/>
      </w:rPr>
    </w:lvl>
    <w:lvl w:ilvl="5" w:tentative="0">
      <w:start w:val="0"/>
      <w:numFmt w:val="bullet"/>
      <w:lvlText w:val="•"/>
      <w:lvlJc w:val="left"/>
      <w:pPr>
        <w:ind w:left="5826" w:hanging="557"/>
      </w:pPr>
      <w:rPr>
        <w:rFonts w:hint="default"/>
        <w:lang w:val="nl-NL" w:eastAsia="en-US" w:bidi="ar-SA"/>
      </w:rPr>
    </w:lvl>
    <w:lvl w:ilvl="6" w:tentative="0">
      <w:start w:val="0"/>
      <w:numFmt w:val="bullet"/>
      <w:lvlText w:val="•"/>
      <w:lvlJc w:val="left"/>
      <w:pPr>
        <w:ind w:left="6816" w:hanging="557"/>
      </w:pPr>
      <w:rPr>
        <w:rFonts w:hint="default"/>
        <w:lang w:val="nl-NL" w:eastAsia="en-US" w:bidi="ar-SA"/>
      </w:rPr>
    </w:lvl>
    <w:lvl w:ilvl="7" w:tentative="0">
      <w:start w:val="0"/>
      <w:numFmt w:val="bullet"/>
      <w:lvlText w:val="•"/>
      <w:lvlJc w:val="left"/>
      <w:pPr>
        <w:ind w:left="7805" w:hanging="557"/>
      </w:pPr>
      <w:rPr>
        <w:rFonts w:hint="default"/>
        <w:lang w:val="nl-NL" w:eastAsia="en-US" w:bidi="ar-SA"/>
      </w:rPr>
    </w:lvl>
    <w:lvl w:ilvl="8" w:tentative="0">
      <w:start w:val="0"/>
      <w:numFmt w:val="bullet"/>
      <w:lvlText w:val="•"/>
      <w:lvlJc w:val="left"/>
      <w:pPr>
        <w:ind w:left="8794" w:hanging="557"/>
      </w:pPr>
      <w:rPr>
        <w:rFonts w:hint="default"/>
        <w:lang w:val="nl-NL" w:eastAsia="en-US" w:bidi="ar-SA"/>
      </w:rPr>
    </w:lvl>
  </w:abstractNum>
  <w:abstractNum w:abstractNumId="24">
    <w:nsid w:val="69F51FBB"/>
    <w:multiLevelType w:val="multilevel"/>
    <w:tmpl w:val="69F51FBB"/>
    <w:lvl w:ilvl="0" w:tentative="0">
      <w:start w:val="0"/>
      <w:numFmt w:val="bullet"/>
      <w:lvlText w:val=""/>
      <w:lvlJc w:val="left"/>
      <w:pPr>
        <w:ind w:left="475" w:hanging="329"/>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675" w:hanging="329"/>
      </w:pPr>
      <w:rPr>
        <w:rFonts w:hint="default"/>
        <w:lang w:val="nl-NL" w:eastAsia="en-US" w:bidi="ar-SA"/>
      </w:rPr>
    </w:lvl>
    <w:lvl w:ilvl="2" w:tentative="0">
      <w:start w:val="0"/>
      <w:numFmt w:val="bullet"/>
      <w:lvlText w:val="•"/>
      <w:lvlJc w:val="left"/>
      <w:pPr>
        <w:ind w:left="871" w:hanging="329"/>
      </w:pPr>
      <w:rPr>
        <w:rFonts w:hint="default"/>
        <w:lang w:val="nl-NL" w:eastAsia="en-US" w:bidi="ar-SA"/>
      </w:rPr>
    </w:lvl>
    <w:lvl w:ilvl="3" w:tentative="0">
      <w:start w:val="0"/>
      <w:numFmt w:val="bullet"/>
      <w:lvlText w:val="•"/>
      <w:lvlJc w:val="left"/>
      <w:pPr>
        <w:ind w:left="1066" w:hanging="329"/>
      </w:pPr>
      <w:rPr>
        <w:rFonts w:hint="default"/>
        <w:lang w:val="nl-NL" w:eastAsia="en-US" w:bidi="ar-SA"/>
      </w:rPr>
    </w:lvl>
    <w:lvl w:ilvl="4" w:tentative="0">
      <w:start w:val="0"/>
      <w:numFmt w:val="bullet"/>
      <w:lvlText w:val="•"/>
      <w:lvlJc w:val="left"/>
      <w:pPr>
        <w:ind w:left="1262" w:hanging="329"/>
      </w:pPr>
      <w:rPr>
        <w:rFonts w:hint="default"/>
        <w:lang w:val="nl-NL" w:eastAsia="en-US" w:bidi="ar-SA"/>
      </w:rPr>
    </w:lvl>
    <w:lvl w:ilvl="5" w:tentative="0">
      <w:start w:val="0"/>
      <w:numFmt w:val="bullet"/>
      <w:lvlText w:val="•"/>
      <w:lvlJc w:val="left"/>
      <w:pPr>
        <w:ind w:left="1458" w:hanging="329"/>
      </w:pPr>
      <w:rPr>
        <w:rFonts w:hint="default"/>
        <w:lang w:val="nl-NL" w:eastAsia="en-US" w:bidi="ar-SA"/>
      </w:rPr>
    </w:lvl>
    <w:lvl w:ilvl="6" w:tentative="0">
      <w:start w:val="0"/>
      <w:numFmt w:val="bullet"/>
      <w:lvlText w:val="•"/>
      <w:lvlJc w:val="left"/>
      <w:pPr>
        <w:ind w:left="1653" w:hanging="329"/>
      </w:pPr>
      <w:rPr>
        <w:rFonts w:hint="default"/>
        <w:lang w:val="nl-NL" w:eastAsia="en-US" w:bidi="ar-SA"/>
      </w:rPr>
    </w:lvl>
    <w:lvl w:ilvl="7" w:tentative="0">
      <w:start w:val="0"/>
      <w:numFmt w:val="bullet"/>
      <w:lvlText w:val="•"/>
      <w:lvlJc w:val="left"/>
      <w:pPr>
        <w:ind w:left="1849" w:hanging="329"/>
      </w:pPr>
      <w:rPr>
        <w:rFonts w:hint="default"/>
        <w:lang w:val="nl-NL" w:eastAsia="en-US" w:bidi="ar-SA"/>
      </w:rPr>
    </w:lvl>
    <w:lvl w:ilvl="8" w:tentative="0">
      <w:start w:val="0"/>
      <w:numFmt w:val="bullet"/>
      <w:lvlText w:val="•"/>
      <w:lvlJc w:val="left"/>
      <w:pPr>
        <w:ind w:left="2044" w:hanging="329"/>
      </w:pPr>
      <w:rPr>
        <w:rFonts w:hint="default"/>
        <w:lang w:val="nl-NL" w:eastAsia="en-US" w:bidi="ar-SA"/>
      </w:rPr>
    </w:lvl>
  </w:abstractNum>
  <w:abstractNum w:abstractNumId="25">
    <w:nsid w:val="748E3DA1"/>
    <w:multiLevelType w:val="multilevel"/>
    <w:tmpl w:val="748E3DA1"/>
    <w:lvl w:ilvl="0" w:tentative="0">
      <w:start w:val="1"/>
      <w:numFmt w:val="lowerRoman"/>
      <w:lvlText w:val="%1."/>
      <w:lvlJc w:val="left"/>
      <w:pPr>
        <w:ind w:left="1070" w:hanging="488"/>
        <w:jc w:val="right"/>
      </w:pPr>
      <w:rPr>
        <w:rFonts w:hint="default" w:ascii="Times New Roman" w:hAnsi="Times New Roman" w:eastAsia="Times New Roman" w:cs="Times New Roman"/>
        <w:b w:val="0"/>
        <w:bCs w:val="0"/>
        <w:i w:val="0"/>
        <w:iCs w:val="0"/>
        <w:spacing w:val="0"/>
        <w:w w:val="100"/>
        <w:sz w:val="24"/>
        <w:szCs w:val="24"/>
        <w:lang w:val="nl-NL" w:eastAsia="en-US" w:bidi="ar-SA"/>
      </w:rPr>
    </w:lvl>
    <w:lvl w:ilvl="1" w:tentative="0">
      <w:start w:val="0"/>
      <w:numFmt w:val="bullet"/>
      <w:lvlText w:val="•"/>
      <w:lvlJc w:val="left"/>
      <w:pPr>
        <w:ind w:left="2049" w:hanging="488"/>
      </w:pPr>
      <w:rPr>
        <w:rFonts w:hint="default"/>
        <w:lang w:val="nl-NL" w:eastAsia="en-US" w:bidi="ar-SA"/>
      </w:rPr>
    </w:lvl>
    <w:lvl w:ilvl="2" w:tentative="0">
      <w:start w:val="0"/>
      <w:numFmt w:val="bullet"/>
      <w:lvlText w:val="•"/>
      <w:lvlJc w:val="left"/>
      <w:pPr>
        <w:ind w:left="3018" w:hanging="488"/>
      </w:pPr>
      <w:rPr>
        <w:rFonts w:hint="default"/>
        <w:lang w:val="nl-NL" w:eastAsia="en-US" w:bidi="ar-SA"/>
      </w:rPr>
    </w:lvl>
    <w:lvl w:ilvl="3" w:tentative="0">
      <w:start w:val="0"/>
      <w:numFmt w:val="bullet"/>
      <w:lvlText w:val="•"/>
      <w:lvlJc w:val="left"/>
      <w:pPr>
        <w:ind w:left="3988" w:hanging="488"/>
      </w:pPr>
      <w:rPr>
        <w:rFonts w:hint="default"/>
        <w:lang w:val="nl-NL" w:eastAsia="en-US" w:bidi="ar-SA"/>
      </w:rPr>
    </w:lvl>
    <w:lvl w:ilvl="4" w:tentative="0">
      <w:start w:val="0"/>
      <w:numFmt w:val="bullet"/>
      <w:lvlText w:val="•"/>
      <w:lvlJc w:val="left"/>
      <w:pPr>
        <w:ind w:left="4957" w:hanging="488"/>
      </w:pPr>
      <w:rPr>
        <w:rFonts w:hint="default"/>
        <w:lang w:val="nl-NL" w:eastAsia="en-US" w:bidi="ar-SA"/>
      </w:rPr>
    </w:lvl>
    <w:lvl w:ilvl="5" w:tentative="0">
      <w:start w:val="0"/>
      <w:numFmt w:val="bullet"/>
      <w:lvlText w:val="•"/>
      <w:lvlJc w:val="left"/>
      <w:pPr>
        <w:ind w:left="5926" w:hanging="488"/>
      </w:pPr>
      <w:rPr>
        <w:rFonts w:hint="default"/>
        <w:lang w:val="nl-NL" w:eastAsia="en-US" w:bidi="ar-SA"/>
      </w:rPr>
    </w:lvl>
    <w:lvl w:ilvl="6" w:tentative="0">
      <w:start w:val="0"/>
      <w:numFmt w:val="bullet"/>
      <w:lvlText w:val="•"/>
      <w:lvlJc w:val="left"/>
      <w:pPr>
        <w:ind w:left="6896" w:hanging="488"/>
      </w:pPr>
      <w:rPr>
        <w:rFonts w:hint="default"/>
        <w:lang w:val="nl-NL" w:eastAsia="en-US" w:bidi="ar-SA"/>
      </w:rPr>
    </w:lvl>
    <w:lvl w:ilvl="7" w:tentative="0">
      <w:start w:val="0"/>
      <w:numFmt w:val="bullet"/>
      <w:lvlText w:val="•"/>
      <w:lvlJc w:val="left"/>
      <w:pPr>
        <w:ind w:left="7865" w:hanging="488"/>
      </w:pPr>
      <w:rPr>
        <w:rFonts w:hint="default"/>
        <w:lang w:val="nl-NL" w:eastAsia="en-US" w:bidi="ar-SA"/>
      </w:rPr>
    </w:lvl>
    <w:lvl w:ilvl="8" w:tentative="0">
      <w:start w:val="0"/>
      <w:numFmt w:val="bullet"/>
      <w:lvlText w:val="•"/>
      <w:lvlJc w:val="left"/>
      <w:pPr>
        <w:ind w:left="8834" w:hanging="488"/>
      </w:pPr>
      <w:rPr>
        <w:rFonts w:hint="default"/>
        <w:lang w:val="nl-NL" w:eastAsia="en-US" w:bidi="ar-SA"/>
      </w:rPr>
    </w:lvl>
  </w:abstractNum>
  <w:num w:numId="1">
    <w:abstractNumId w:val="14"/>
  </w:num>
  <w:num w:numId="2">
    <w:abstractNumId w:val="8"/>
  </w:num>
  <w:num w:numId="3">
    <w:abstractNumId w:val="22"/>
  </w:num>
  <w:num w:numId="4">
    <w:abstractNumId w:val="5"/>
  </w:num>
  <w:num w:numId="5">
    <w:abstractNumId w:val="0"/>
  </w:num>
  <w:num w:numId="6">
    <w:abstractNumId w:val="4"/>
  </w:num>
  <w:num w:numId="7">
    <w:abstractNumId w:val="19"/>
  </w:num>
  <w:num w:numId="8">
    <w:abstractNumId w:val="6"/>
  </w:num>
  <w:num w:numId="9">
    <w:abstractNumId w:val="15"/>
  </w:num>
  <w:num w:numId="10">
    <w:abstractNumId w:val="17"/>
  </w:num>
  <w:num w:numId="11">
    <w:abstractNumId w:val="12"/>
  </w:num>
  <w:num w:numId="12">
    <w:abstractNumId w:val="21"/>
  </w:num>
  <w:num w:numId="13">
    <w:abstractNumId w:val="24"/>
  </w:num>
  <w:num w:numId="14">
    <w:abstractNumId w:val="11"/>
  </w:num>
  <w:num w:numId="15">
    <w:abstractNumId w:val="16"/>
  </w:num>
  <w:num w:numId="16">
    <w:abstractNumId w:val="7"/>
  </w:num>
  <w:num w:numId="17">
    <w:abstractNumId w:val="9"/>
  </w:num>
  <w:num w:numId="18">
    <w:abstractNumId w:val="3"/>
  </w:num>
  <w:num w:numId="19">
    <w:abstractNumId w:val="10"/>
  </w:num>
  <w:num w:numId="20">
    <w:abstractNumId w:val="2"/>
  </w:num>
  <w:num w:numId="21">
    <w:abstractNumId w:val="13"/>
  </w:num>
  <w:num w:numId="22">
    <w:abstractNumId w:val="25"/>
  </w:num>
  <w:num w:numId="23">
    <w:abstractNumId w:val="23"/>
  </w:num>
  <w:num w:numId="24">
    <w:abstractNumId w:val="18"/>
  </w:num>
  <w:num w:numId="25">
    <w:abstractNumId w:val="2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045F3797"/>
    <w:rsid w:val="09C2600E"/>
    <w:rsid w:val="20F46465"/>
    <w:rsid w:val="22A81C68"/>
    <w:rsid w:val="333F226C"/>
    <w:rsid w:val="3E151A9D"/>
    <w:rsid w:val="50347360"/>
    <w:rsid w:val="612B004B"/>
    <w:rsid w:val="63A05C7E"/>
    <w:rsid w:val="642C74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nl-NL" w:eastAsia="en-US" w:bidi="ar-SA"/>
    </w:rPr>
  </w:style>
  <w:style w:type="paragraph" w:styleId="2">
    <w:name w:val="heading 1"/>
    <w:basedOn w:val="1"/>
    <w:qFormat/>
    <w:uiPriority w:val="1"/>
    <w:pPr>
      <w:spacing w:before="81"/>
      <w:ind w:left="315"/>
      <w:jc w:val="center"/>
      <w:outlineLvl w:val="1"/>
    </w:pPr>
    <w:rPr>
      <w:rFonts w:ascii="宋体" w:hAnsi="宋体" w:eastAsia="宋体" w:cs="宋体"/>
      <w:sz w:val="44"/>
      <w:szCs w:val="44"/>
      <w:lang w:val="nl-NL" w:eastAsia="en-US" w:bidi="ar-SA"/>
    </w:rPr>
  </w:style>
  <w:style w:type="paragraph" w:styleId="3">
    <w:name w:val="heading 2"/>
    <w:basedOn w:val="1"/>
    <w:qFormat/>
    <w:uiPriority w:val="1"/>
    <w:pPr>
      <w:ind w:left="906" w:hanging="676"/>
      <w:outlineLvl w:val="2"/>
    </w:pPr>
    <w:rPr>
      <w:rFonts w:ascii="宋体" w:hAnsi="宋体" w:eastAsia="宋体" w:cs="宋体"/>
      <w:sz w:val="30"/>
      <w:szCs w:val="30"/>
      <w:lang w:val="nl-NL" w:eastAsia="en-US" w:bidi="ar-SA"/>
    </w:rPr>
  </w:style>
  <w:style w:type="paragraph" w:styleId="4">
    <w:name w:val="heading 3"/>
    <w:basedOn w:val="1"/>
    <w:qFormat/>
    <w:uiPriority w:val="1"/>
    <w:pPr>
      <w:ind w:left="690" w:hanging="460"/>
      <w:outlineLvl w:val="3"/>
    </w:pPr>
    <w:rPr>
      <w:rFonts w:ascii="宋体" w:hAnsi="宋体" w:eastAsia="宋体" w:cs="宋体"/>
      <w:sz w:val="28"/>
      <w:szCs w:val="28"/>
      <w:lang w:val="nl-NL" w:eastAsia="en-US" w:bidi="ar-SA"/>
    </w:rPr>
  </w:style>
  <w:style w:type="character" w:default="1" w:styleId="13">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宋体" w:hAnsi="宋体" w:eastAsia="宋体" w:cs="宋体"/>
      <w:sz w:val="24"/>
      <w:szCs w:val="24"/>
      <w:lang w:val="nl-NL" w:eastAsia="en-US" w:bidi="ar-SA"/>
    </w:rPr>
  </w:style>
  <w:style w:type="paragraph" w:styleId="6">
    <w:name w:val="toc 3"/>
    <w:basedOn w:val="1"/>
    <w:qFormat/>
    <w:uiPriority w:val="1"/>
    <w:pPr>
      <w:spacing w:before="213"/>
      <w:ind w:left="2546" w:hanging="540"/>
    </w:pPr>
    <w:rPr>
      <w:rFonts w:ascii="宋体" w:hAnsi="宋体" w:eastAsia="宋体" w:cs="宋体"/>
      <w:sz w:val="24"/>
      <w:szCs w:val="24"/>
      <w:lang w:val="nl-NL" w:eastAsia="en-US" w:bidi="ar-SA"/>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qFormat/>
    <w:uiPriority w:val="1"/>
    <w:pPr>
      <w:spacing w:before="211"/>
      <w:ind w:left="1046"/>
    </w:pPr>
    <w:rPr>
      <w:rFonts w:ascii="宋体" w:hAnsi="宋体" w:eastAsia="宋体" w:cs="宋体"/>
      <w:sz w:val="24"/>
      <w:szCs w:val="24"/>
      <w:lang w:val="nl-NL" w:eastAsia="en-US" w:bidi="ar-SA"/>
    </w:rPr>
  </w:style>
  <w:style w:type="paragraph" w:styleId="10">
    <w:name w:val="toc 2"/>
    <w:basedOn w:val="1"/>
    <w:qFormat/>
    <w:uiPriority w:val="1"/>
    <w:pPr>
      <w:spacing w:before="211"/>
      <w:ind w:left="2066" w:hanging="540"/>
    </w:pPr>
    <w:rPr>
      <w:rFonts w:ascii="宋体" w:hAnsi="宋体" w:eastAsia="宋体" w:cs="宋体"/>
      <w:sz w:val="24"/>
      <w:szCs w:val="24"/>
      <w:lang w:val="nl-NL" w:eastAsia="en-US" w:bidi="ar-SA"/>
    </w:rPr>
  </w:style>
  <w:style w:type="paragraph" w:styleId="11">
    <w:name w:val="Title"/>
    <w:basedOn w:val="1"/>
    <w:qFormat/>
    <w:uiPriority w:val="1"/>
    <w:pPr>
      <w:spacing w:line="1105" w:lineRule="exact"/>
      <w:ind w:left="6857"/>
    </w:pPr>
    <w:rPr>
      <w:rFonts w:ascii="Gadugi" w:hAnsi="Gadugi" w:eastAsia="Gadugi" w:cs="Gadugi"/>
      <w:b/>
      <w:bCs/>
      <w:sz w:val="96"/>
      <w:szCs w:val="96"/>
      <w:lang w:val="nl-NL" w:eastAsia="en-US" w:bidi="ar-SA"/>
    </w:rPr>
  </w:style>
  <w:style w:type="table" w:customStyle="1" w:styleId="14">
    <w:name w:val="Table Normal"/>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1070" w:hanging="360"/>
    </w:pPr>
    <w:rPr>
      <w:rFonts w:ascii="宋体" w:hAnsi="宋体" w:eastAsia="宋体" w:cs="宋体"/>
      <w:lang w:val="nl-NL" w:eastAsia="en-US" w:bidi="ar-SA"/>
    </w:rPr>
  </w:style>
  <w:style w:type="paragraph" w:customStyle="1" w:styleId="16">
    <w:name w:val="Table Paragraph"/>
    <w:basedOn w:val="1"/>
    <w:qFormat/>
    <w:uiPriority w:val="1"/>
    <w:rPr>
      <w:rFonts w:ascii="宋体" w:hAnsi="宋体" w:eastAsia="宋体" w:cs="宋体"/>
      <w:lang w:val="nl-NL"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9.jpeg"/><Relationship Id="rId28" Type="http://schemas.openxmlformats.org/officeDocument/2006/relationships/image" Target="media/image18.jpeg"/><Relationship Id="rId27" Type="http://schemas.openxmlformats.org/officeDocument/2006/relationships/image" Target="media/image17.png"/><Relationship Id="rId26" Type="http://schemas.openxmlformats.org/officeDocument/2006/relationships/image" Target="media/image16.jpeg"/><Relationship Id="rId25" Type="http://schemas.openxmlformats.org/officeDocument/2006/relationships/image" Target="media/image15.jpeg"/><Relationship Id="rId24" Type="http://schemas.openxmlformats.org/officeDocument/2006/relationships/image" Target="media/image14.jpeg"/><Relationship Id="rId23" Type="http://schemas.openxmlformats.org/officeDocument/2006/relationships/image" Target="media/image13.jpeg"/><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jpe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jpe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6529</Words>
  <Characters>7201</Characters>
  <TotalTime>1</TotalTime>
  <ScaleCrop>false</ScaleCrop>
  <LinksUpToDate>false</LinksUpToDate>
  <CharactersWithSpaces>7473</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2026-09-01T01:17:00Z</dcterms:created>
  <dc:creator>song chen</dc:creator>
  <cp:lastModifiedBy>AGICO</cp:lastModifiedBy>
  <cp:lastPrinted>2026-09-01T03:35:00Z</cp:lastPrinted>
  <dcterms:modified xsi:type="dcterms:W3CDTF">2026-09-03T07:07:20Z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Creator">
    <vt:lpwstr>Microsoft® Word 适用于 Microsoft 365</vt:lpwstr>
  </property>
  <property fmtid="{D5CDD505-2E9C-101B-9397-08002B2CF9AE}" pid="5" name="LastSaved">
    <vt:filetime>2026-09-01T00:00:00Z</vt:filetime>
  </property>
  <property fmtid="{D5CDD505-2E9C-101B-9397-08002B2CF9AE}" pid="6" name="Producer">
    <vt:lpwstr>Microsoft® Word 适用于 Microsoft 365</vt:lpwstr>
  </property>
  <property fmtid="{D5CDD505-2E9C-101B-9397-08002B2CF9AE}" pid="7" name="KSOTemplateDocerSaveRecord">
    <vt:lpwstr>eyJoZGlkIjoiMjM4Y2EzMTM4MGM3MTlmMmEzMWNkMTNkZTY2OWI0ODIifQ==</vt:lpwstr>
  </property>
  <property fmtid="{D5CDD505-2E9C-101B-9397-08002B2CF9AE}" pid="8" name="KSOProductBuildVer">
    <vt:lpwstr>2052-12.1.0.28488</vt:lpwstr>
  </property>
  <property fmtid="{D5CDD505-2E9C-101B-9397-08002B2CF9AE}" pid="9" name="ICV">
    <vt:lpwstr>F4B3C7EDBD85411B83CB1FFBCC3A6EDC_13</vt:lpwstr>
  </property>
</Properties>
</file>