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B71" w:rsidRPr="00EF3B71" w:rsidRDefault="00EF3B71" w:rsidP="00EF3B71">
      <w:pPr>
        <w:spacing w:line="301" w:lineRule="atLeast"/>
        <w:jc w:val="center"/>
        <w:outlineLvl w:val="0"/>
        <w:rPr>
          <w:rFonts w:asciiTheme="majorEastAsia" w:eastAsiaTheme="majorEastAsia" w:hAnsiTheme="majorEastAsia" w:cs="Arial"/>
          <w:b/>
          <w:color w:val="000000"/>
          <w:kern w:val="36"/>
          <w:sz w:val="30"/>
          <w:szCs w:val="30"/>
        </w:rPr>
      </w:pPr>
      <w:bookmarkStart w:id="0" w:name="OLE_LINK1"/>
      <w:bookmarkStart w:id="1" w:name="OLE_LINK2"/>
      <w:r w:rsidRPr="00EF3B71">
        <w:rPr>
          <w:rFonts w:asciiTheme="majorEastAsia" w:eastAsiaTheme="majorEastAsia" w:hAnsiTheme="majorEastAsia" w:cs="Arial"/>
          <w:b/>
          <w:color w:val="000000"/>
          <w:kern w:val="36"/>
          <w:sz w:val="30"/>
          <w:szCs w:val="30"/>
        </w:rPr>
        <w:t>Bolivia 20-25TPD Coating-Grade PCC Production Line Complete Equipment Quotation</w:t>
      </w:r>
    </w:p>
    <w:bookmarkEnd w:id="0"/>
    <w:bookmarkEnd w:id="1"/>
    <w:p w:rsidR="00EF3B71" w:rsidRPr="00EF3B71" w:rsidRDefault="00EF3B71" w:rsidP="00EF3B71">
      <w:pPr>
        <w:spacing w:line="301" w:lineRule="atLeast"/>
        <w:outlineLvl w:val="1"/>
        <w:rPr>
          <w:rFonts w:asciiTheme="minorEastAsia" w:hAnsiTheme="minorEastAsia" w:cs="Arial"/>
          <w:b/>
          <w:color w:val="000000"/>
          <w:sz w:val="24"/>
          <w:szCs w:val="24"/>
        </w:rPr>
      </w:pPr>
      <w:r>
        <w:rPr>
          <w:rFonts w:asciiTheme="minorEastAsia" w:hAnsiTheme="minorEastAsia" w:cs="Arial" w:hint="eastAsia"/>
          <w:b/>
          <w:color w:val="000000"/>
          <w:sz w:val="24"/>
          <w:szCs w:val="24"/>
          <w:lang w:eastAsia="zh-CN"/>
        </w:rPr>
        <w:t>I. Notes:</w:t>
      </w:r>
    </w:p>
    <w:p w:rsidR="00EF3B71" w:rsidRPr="00EF3B71" w:rsidRDefault="00EF3B71" w:rsidP="00EF3B71">
      <w:pPr>
        <w:numPr>
          <w:ilvl w:val="0"/>
          <w:numId w:val="1"/>
        </w:numPr>
        <w:spacing w:line="301" w:lineRule="atLeast"/>
        <w:ind w:left="0" w:firstLine="567"/>
        <w:rPr>
          <w:rFonts w:asciiTheme="minorEastAsia" w:hAnsiTheme="minorEastAsia" w:cs="Arial"/>
          <w:color w:val="000000"/>
          <w:sz w:val="24"/>
          <w:szCs w:val="24"/>
          <w:lang w:eastAsia="zh-CN"/>
        </w:rPr>
      </w:pPr>
      <w:r w:rsidRPr="00EF3B71">
        <w:rPr>
          <w:rFonts w:asciiTheme="minorEastAsia" w:hAnsiTheme="minorEastAsia" w:cs="Arial"/>
          <w:color w:val="000000"/>
          <w:sz w:val="24"/>
          <w:szCs w:val="24"/>
          <w:lang w:eastAsia="zh-CN"/>
        </w:rPr>
        <w:t>Capacity: Daily output 20–25 tons PCC (coating-grade, D50=1–3µm, ISO brightness &gt;95, no coating process)</w:t>
      </w:r>
    </w:p>
    <w:p w:rsidR="00EF3B71" w:rsidRPr="00EF3B71" w:rsidRDefault="00EF3B71" w:rsidP="00EF3B71">
      <w:pPr>
        <w:numPr>
          <w:ilvl w:val="0"/>
          <w:numId w:val="1"/>
        </w:numPr>
        <w:spacing w:line="301" w:lineRule="atLeast"/>
        <w:ind w:left="0" w:firstLine="567"/>
        <w:rPr>
          <w:rFonts w:asciiTheme="minorEastAsia" w:hAnsiTheme="minorEastAsia" w:cs="Arial"/>
          <w:b/>
          <w:color w:val="000000"/>
          <w:sz w:val="24"/>
          <w:szCs w:val="24"/>
          <w:lang w:eastAsia="zh-CN"/>
        </w:rPr>
      </w:pPr>
      <w:r w:rsidRPr="00EF3B71">
        <w:rPr>
          <w:rFonts w:asciiTheme="minorEastAsia" w:hAnsiTheme="minorEastAsia" w:cs="Arial"/>
          <w:color w:val="000000"/>
          <w:sz w:val="24"/>
          <w:szCs w:val="24"/>
          <w:lang w:eastAsia="zh-CN"/>
        </w:rPr>
        <w:t xml:space="preserve">Raw material conditions: Customer provides qualified particle-size limestone; </w:t>
      </w:r>
      <w:r w:rsidRPr="00400AD2">
        <w:rPr>
          <w:rFonts w:asciiTheme="minorEastAsia" w:hAnsiTheme="minorEastAsia" w:cs="Arial"/>
          <w:b/>
          <w:color w:val="000000"/>
          <w:sz w:val="24"/>
          <w:szCs w:val="24"/>
          <w:lang w:eastAsia="zh-CN"/>
        </w:rPr>
        <w:t>crushing section equipment not included.</w:t>
      </w:r>
    </w:p>
    <w:p w:rsidR="00EF3B71" w:rsidRPr="00EF3B71" w:rsidRDefault="00EF3B71" w:rsidP="00EF3B71">
      <w:pPr>
        <w:numPr>
          <w:ilvl w:val="0"/>
          <w:numId w:val="1"/>
        </w:numPr>
        <w:spacing w:line="301" w:lineRule="atLeast"/>
        <w:ind w:left="0" w:firstLine="567"/>
        <w:rPr>
          <w:rFonts w:asciiTheme="minorEastAsia" w:hAnsiTheme="minorEastAsia" w:cs="Arial"/>
          <w:color w:val="000000"/>
          <w:sz w:val="24"/>
          <w:szCs w:val="24"/>
          <w:lang w:eastAsia="zh-CN"/>
        </w:rPr>
      </w:pPr>
      <w:r w:rsidRPr="00EF3B71">
        <w:rPr>
          <w:rFonts w:asciiTheme="minorEastAsia" w:hAnsiTheme="minorEastAsia" w:cs="Arial"/>
          <w:color w:val="000000"/>
          <w:sz w:val="24"/>
          <w:szCs w:val="24"/>
          <w:lang w:eastAsia="zh-CN"/>
        </w:rPr>
        <w:t>Operating condition adaptation: Plateau-customized fan pressurization for altitude 2560–2640m, moderate seismic structural reinforcement</w:t>
      </w:r>
    </w:p>
    <w:p w:rsidR="00EF3B71" w:rsidRPr="00EF3B71" w:rsidRDefault="00EF3B71" w:rsidP="00EF3B71">
      <w:pPr>
        <w:numPr>
          <w:ilvl w:val="0"/>
          <w:numId w:val="1"/>
        </w:numPr>
        <w:spacing w:line="301" w:lineRule="atLeast"/>
        <w:ind w:left="0" w:firstLine="567"/>
        <w:rPr>
          <w:rFonts w:asciiTheme="minorEastAsia" w:hAnsiTheme="minorEastAsia" w:cs="Arial"/>
          <w:color w:val="000000"/>
          <w:sz w:val="24"/>
          <w:szCs w:val="24"/>
          <w:lang w:eastAsia="zh-CN"/>
        </w:rPr>
      </w:pPr>
      <w:r w:rsidRPr="00EF3B71">
        <w:rPr>
          <w:rFonts w:asciiTheme="minorEastAsia" w:hAnsiTheme="minorEastAsia" w:cs="Arial"/>
          <w:color w:val="000000"/>
          <w:sz w:val="24"/>
          <w:szCs w:val="24"/>
          <w:lang w:eastAsia="zh-CN"/>
        </w:rPr>
        <w:t>Full process: Calcination → Slaking &amp; Refining → Carbonation → Dewatering → Drying → Grinding &amp; Classification → 30kg Bag Packaging</w:t>
      </w:r>
    </w:p>
    <w:p w:rsidR="00EF3B71" w:rsidRPr="00EF3B71" w:rsidRDefault="00EF3B71" w:rsidP="00EF3B71">
      <w:pPr>
        <w:numPr>
          <w:ilvl w:val="0"/>
          <w:numId w:val="1"/>
        </w:numPr>
        <w:spacing w:line="301" w:lineRule="atLeast"/>
        <w:ind w:left="0" w:firstLine="567"/>
        <w:rPr>
          <w:rFonts w:asciiTheme="minorEastAsia" w:hAnsiTheme="minorEastAsia" w:cs="Arial"/>
          <w:b/>
          <w:color w:val="000000"/>
          <w:sz w:val="24"/>
          <w:szCs w:val="24"/>
        </w:rPr>
      </w:pPr>
      <w:r w:rsidRPr="00EF3B71">
        <w:rPr>
          <w:rFonts w:asciiTheme="minorEastAsia" w:hAnsiTheme="minorEastAsia" w:cs="Arial"/>
          <w:color w:val="000000"/>
          <w:sz w:val="24"/>
          <w:szCs w:val="24"/>
        </w:rPr>
        <w:t>Quotation currency: RMB (FOB Chinese port), including equipment body, standard electrical control, plateau adaptation modifications, 1-year ex-factory warranty; excluding ocean freight, local civil works, installation &amp; commissioning travel expenses, local auxiliary materials, customs duties and taxes.</w:t>
      </w:r>
    </w:p>
    <w:p w:rsidR="00924DF1" w:rsidRDefault="00EF3B71" w:rsidP="00EF3B71">
      <w:pPr>
        <w:spacing w:line="301" w:lineRule="atLeast"/>
        <w:outlineLvl w:val="1"/>
        <w:rPr>
          <w:rFonts w:asciiTheme="minorEastAsia" w:hAnsiTheme="minorEastAsia" w:cs="Arial"/>
          <w:b/>
          <w:color w:val="000000"/>
          <w:sz w:val="24"/>
          <w:szCs w:val="24"/>
          <w:lang w:eastAsia="zh-CN"/>
        </w:rPr>
      </w:pPr>
      <w:r w:rsidRPr="00EF3B71">
        <w:rPr>
          <w:rFonts w:asciiTheme="minorEastAsia" w:hAnsiTheme="minorEastAsia" w:cs="Arial" w:hint="eastAsia"/>
          <w:b/>
          <w:color w:val="000000"/>
          <w:sz w:val="24"/>
          <w:szCs w:val="24"/>
          <w:lang w:eastAsia="zh-CN"/>
        </w:rPr>
        <w:t>II. Quotation Summary:</w:t>
      </w:r>
    </w:p>
    <w:tbl>
      <w:tblPr>
        <w:tblW w:w="9022" w:type="dxa"/>
        <w:jc w:val="center"/>
        <w:tblLook w:val="04A0" w:firstRow="1" w:lastRow="0" w:firstColumn="1" w:lastColumn="0" w:noHBand="0" w:noVBand="1"/>
      </w:tblPr>
      <w:tblGrid>
        <w:gridCol w:w="6351"/>
        <w:gridCol w:w="2671"/>
      </w:tblGrid>
      <w:tr w:rsidR="00EF3B71" w:rsidRPr="00EF3B71" w:rsidTr="00097AB6">
        <w:trPr>
          <w:trHeight w:val="312"/>
          <w:jc w:val="center"/>
        </w:trPr>
        <w:tc>
          <w:tcPr>
            <w:tcW w:w="63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Section Name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Total RMB Price incl. Tax (CNY)</w:t>
            </w:r>
          </w:p>
        </w:tc>
      </w:tr>
      <w:tr w:rsidR="00EF3B71" w:rsidRPr="00EF3B71" w:rsidTr="00097AB6">
        <w:trPr>
          <w:trHeight w:val="312"/>
          <w:jc w:val="center"/>
        </w:trPr>
        <w:tc>
          <w:tcPr>
            <w:tcW w:w="63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Calcination Section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1,305,200</w:t>
            </w:r>
          </w:p>
        </w:tc>
      </w:tr>
      <w:tr w:rsidR="00EF3B71" w:rsidRPr="00EF3B71" w:rsidTr="00097AB6">
        <w:trPr>
          <w:trHeight w:val="312"/>
          <w:jc w:val="center"/>
        </w:trPr>
        <w:tc>
          <w:tcPr>
            <w:tcW w:w="63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Slaking &amp; Refining Section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577,150</w:t>
            </w:r>
          </w:p>
        </w:tc>
      </w:tr>
      <w:tr w:rsidR="00EF3B71" w:rsidRPr="00EF3B71" w:rsidTr="00097AB6">
        <w:trPr>
          <w:trHeight w:val="312"/>
          <w:jc w:val="center"/>
        </w:trPr>
        <w:tc>
          <w:tcPr>
            <w:tcW w:w="63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Carbonation Section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871,155</w:t>
            </w:r>
          </w:p>
        </w:tc>
      </w:tr>
      <w:tr w:rsidR="00EF3B71" w:rsidRPr="00EF3B71" w:rsidTr="00097AB6">
        <w:trPr>
          <w:trHeight w:val="312"/>
          <w:jc w:val="center"/>
        </w:trPr>
        <w:tc>
          <w:tcPr>
            <w:tcW w:w="63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Dewatering Section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289,935</w:t>
            </w:r>
          </w:p>
        </w:tc>
      </w:tr>
      <w:tr w:rsidR="00EF3B71" w:rsidRPr="00EF3B71" w:rsidTr="00097AB6">
        <w:trPr>
          <w:trHeight w:val="312"/>
          <w:jc w:val="center"/>
        </w:trPr>
        <w:tc>
          <w:tcPr>
            <w:tcW w:w="63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Drying Section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676,285</w:t>
            </w:r>
          </w:p>
        </w:tc>
      </w:tr>
      <w:tr w:rsidR="00EF3B71" w:rsidRPr="00EF3B71" w:rsidTr="00097AB6">
        <w:trPr>
          <w:trHeight w:val="312"/>
          <w:jc w:val="center"/>
        </w:trPr>
        <w:tc>
          <w:tcPr>
            <w:tcW w:w="63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lastRenderedPageBreak/>
              <w:t>Ultra-fine Grinding &amp; Classification Section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839,925</w:t>
            </w:r>
          </w:p>
        </w:tc>
      </w:tr>
      <w:tr w:rsidR="00EF3B71" w:rsidRPr="00EF3B71" w:rsidTr="00097AB6">
        <w:trPr>
          <w:trHeight w:val="312"/>
          <w:jc w:val="center"/>
        </w:trPr>
        <w:tc>
          <w:tcPr>
            <w:tcW w:w="63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Finished Product Packaging Section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246,475</w:t>
            </w:r>
          </w:p>
        </w:tc>
      </w:tr>
      <w:tr w:rsidR="00EF3B71" w:rsidRPr="00EF3B71" w:rsidTr="00097AB6">
        <w:trPr>
          <w:trHeight w:val="312"/>
          <w:jc w:val="center"/>
        </w:trPr>
        <w:tc>
          <w:tcPr>
            <w:tcW w:w="63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Automation &amp; Utilities + Seismic Steel Structure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762,275</w:t>
            </w:r>
          </w:p>
        </w:tc>
      </w:tr>
      <w:tr w:rsidR="00EF3B71" w:rsidRPr="00EF3B71" w:rsidTr="00097AB6">
        <w:trPr>
          <w:trHeight w:val="312"/>
          <w:jc w:val="center"/>
        </w:trPr>
        <w:tc>
          <w:tcPr>
            <w:tcW w:w="635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>
              <w:t>Total: RMB Five Million Five Hundred Sixty-Eight Thousand Four Hundred Only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5568400</w:t>
            </w:r>
          </w:p>
        </w:tc>
      </w:tr>
    </w:tbl>
    <w:p w:rsidR="00EF3B71" w:rsidRDefault="00EF3B71" w:rsidP="00EF3B71">
      <w:pPr>
        <w:spacing w:line="301" w:lineRule="atLeast"/>
        <w:outlineLvl w:val="1"/>
        <w:rPr>
          <w:rFonts w:asciiTheme="minorEastAsia" w:hAnsiTheme="minorEastAsia" w:cs="Arial"/>
          <w:b/>
          <w:color w:val="000000"/>
          <w:sz w:val="24"/>
          <w:szCs w:val="24"/>
          <w:lang w:eastAsia="zh-CN"/>
        </w:rPr>
      </w:pPr>
    </w:p>
    <w:p w:rsidR="00EF3B71" w:rsidRDefault="00EF3B71" w:rsidP="00EF3B71">
      <w:pPr>
        <w:spacing w:line="301" w:lineRule="atLeast"/>
        <w:outlineLvl w:val="1"/>
        <w:rPr>
          <w:rFonts w:asciiTheme="minorEastAsia" w:hAnsiTheme="minorEastAsia" w:cs="Arial"/>
          <w:b/>
          <w:color w:val="000000"/>
          <w:sz w:val="24"/>
          <w:szCs w:val="24"/>
          <w:lang w:eastAsia="zh-CN"/>
        </w:rPr>
      </w:pPr>
      <w:r>
        <w:rPr>
          <w:rFonts w:asciiTheme="minorEastAsia" w:hAnsiTheme="minorEastAsia" w:cs="Arial" w:hint="eastAsia"/>
          <w:b/>
          <w:color w:val="000000"/>
          <w:sz w:val="24"/>
          <w:szCs w:val="24"/>
          <w:lang w:eastAsia="zh-CN"/>
        </w:rPr>
        <w:t>III. Quotation List:</w:t>
      </w:r>
    </w:p>
    <w:tbl>
      <w:tblPr>
        <w:tblW w:w="0" w:type="auto"/>
        <w:tblInd w:w="95" w:type="dxa"/>
        <w:tblLayout w:type="fixed"/>
        <w:tblLook w:val="04A0" w:firstRow="1" w:lastRow="0" w:firstColumn="1" w:lastColumn="0" w:noHBand="0" w:noVBand="1"/>
      </w:tblPr>
      <w:tblGrid>
        <w:gridCol w:w="1147"/>
        <w:gridCol w:w="2977"/>
        <w:gridCol w:w="3827"/>
        <w:gridCol w:w="709"/>
        <w:gridCol w:w="851"/>
        <w:gridCol w:w="1275"/>
        <w:gridCol w:w="1276"/>
        <w:gridCol w:w="1907"/>
      </w:tblGrid>
      <w:tr w:rsidR="00E44A92" w:rsidRPr="00E44A92" w:rsidTr="00E44A92">
        <w:trPr>
          <w:trHeight w:val="631"/>
        </w:trPr>
        <w:tc>
          <w:tcPr>
            <w:tcW w:w="1396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28"/>
                <w:lang w:eastAsia="zh-CN" w:bidi="ar-SA"/>
              </w:rPr>
            </w:pPr>
            <w:r>
              <w:t>Bolivia 20-25TPD Coating-Grade PCC Production Line Equipment List Quotation</w:t>
            </w:r>
          </w:p>
        </w:tc>
      </w:tr>
      <w:tr w:rsidR="00E44A92" w:rsidRPr="00E44A92" w:rsidTr="00AF5094">
        <w:trPr>
          <w:trHeight w:val="526"/>
        </w:trPr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>
              <w:t>No.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>
              <w:t>Equipment Name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>
              <w:t>Specifications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>
              <w:t>Unit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>
              <w:t>Qty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>
              <w:t>Unit Price (CNY)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>
              <w:t>Total Price (CNY)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>
              <w:t>Remarks</w:t>
            </w:r>
          </w:p>
        </w:tc>
      </w:tr>
      <w:tr w:rsidR="00E44A92" w:rsidRPr="00E44A92" w:rsidTr="00E44A92">
        <w:trPr>
          <w:trHeight w:val="421"/>
        </w:trPr>
        <w:tc>
          <w:tcPr>
            <w:tcW w:w="795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Section 1: Limestone Calcination System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90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652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Vertical Mixed-Feed Lime Shaft Kiln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Daily quicklime output 28 tons, plateau fan capacity expansion, seismic base, kiln gas CO₂ concentration 28%-33%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870000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870000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Raw Material Hopper + VFD Quantitative Feeder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Stainless steel silo, automatic coal-to-stone proportioning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62500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62500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Precise proportioning controls calcination quality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3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0E31F4" w:rsidP="000E31F4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Charging Car Incline Bridge Hoist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Wear-resistant and anti-corrosion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0E31F4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53000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53000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Limestone feeding into kiln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Kiln Gas Purification Washing Tower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Dedusting, cooling, desulfurization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112000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112000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 xml:space="preserve">Purified CO₂ supplied to carbonation </w:t>
            </w:r>
            <w:r>
              <w:lastRenderedPageBreak/>
              <w:t>section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lastRenderedPageBreak/>
              <w:t>5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Plateau-Customized Kiln Gas Pressurization Fan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30% power uprating, negative-pressure resistant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unit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75000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150000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Adapted to high-altitude thin air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Quicklime Cooling Discharger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Discharge temperature &lt;60℃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unit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57700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57700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>
              <w:t>Calcination Section Subtotal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1,305,200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E44A92">
        <w:trPr>
          <w:trHeight w:val="421"/>
        </w:trPr>
        <w:tc>
          <w:tcPr>
            <w:tcW w:w="795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Section 2: Quicklime Slaking + Lime Milk Refining System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90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Horizontal Continuous Slaker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Stable preparation of high-purity lime milk (temperature-controlled automatic water-to-lime ratio)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312340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312340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8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Stainless Steel Aging Agitation Tank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 xml:space="preserve">50m³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unit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183330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183330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Enhances brightness and particle-size uniformity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9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High-Frequency Desliming Vibrating Screen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325 mesh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46180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46180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Removes Si/Fe/Al impurities to ensure purity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10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Anti-Corrosion Slurry Pump + Complete Conveying Pipework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35300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35300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Refined milk conveyed to carbonation section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>
              <w:t xml:space="preserve">Slaking &amp; Refining </w:t>
            </w:r>
            <w:r>
              <w:lastRenderedPageBreak/>
              <w:t>Section Subtotal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577,150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E44A92">
        <w:trPr>
          <w:trHeight w:val="421"/>
        </w:trPr>
        <w:tc>
          <w:tcPr>
            <w:tcW w:w="795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lastRenderedPageBreak/>
              <w:t>Section 3: Carbonation Reaction System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90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Stainless Steel Carbonation Tower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8E5A32" w:rsidP="008E5A3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φ2.2×12m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unit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217280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651840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8E5A3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Precise control of D50=1–3µm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In-Tower VFD Circulation Agitation System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50925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152775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No slurry sedimentation, narrow particle-size distribution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13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Carbonation Intermediate Slurry Storage Tank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 xml:space="preserve">30m³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unit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66540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66540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Buffer storage of finished slurry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>
              <w:t>Carbonation Section Subtotal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871,155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E44A92">
        <w:trPr>
          <w:trHeight w:val="421"/>
        </w:trPr>
        <w:tc>
          <w:tcPr>
            <w:tcW w:w="795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Section 4: Slurry Dewatering &amp; Solid-Liquid Separation System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90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Plate-and-Frame Filter Press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100</w:t>
            </w:r>
            <w:r>
              <w:t>㎡</w:t>
            </w:r>
            <w:r>
              <w:t>, filter cake moisture ≤32%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261415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261415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15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Filter Cake Screw Dispersing Feeder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unit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28520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28520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Prevents filter cake caking and blocking dryer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>
              <w:t>Dewatering Section Subtotal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289,935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E44A92">
        <w:trPr>
          <w:trHeight w:val="421"/>
        </w:trPr>
        <w:tc>
          <w:tcPr>
            <w:tcW w:w="795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lastRenderedPageBreak/>
              <w:t>Section 5: Drying System (Finished Product Moisture &lt;0.5%)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90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Rotary Flash Drying Main Unit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(matched with coal-fired furnace)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unit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468510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468510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Meets residual moisture specification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Hot Air Furnace + Exhaust Gas Dedusting &amp; Heat Exchange System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unit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142590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142590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Adapted to Bolivia's semi-arid climate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18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Plateau Upgraded-Power Drying Induced Draft Fan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unit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65185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65185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Special design for high-altitude air pressure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>
              <w:t>Drying Section Subtotal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676,285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E44A92">
        <w:trPr>
          <w:trHeight w:val="421"/>
        </w:trPr>
        <w:tc>
          <w:tcPr>
            <w:tcW w:w="795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Section 6: Grinding &amp; Classification System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90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19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HGM Ring Roller Mill Main Unit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Dedicated for coating-grade 1-3µm calcium powder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516040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516040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20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High-Precision VFD Air Classifier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unit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200305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200305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Strict control of particle-size range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Explosion-Proof Pulse-Jet Bag Filter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Dust recovery rate 99.9%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unit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123580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123580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>
              <w:t xml:space="preserve">Grinding &amp; Classification Section </w:t>
            </w:r>
            <w:r>
              <w:lastRenderedPageBreak/>
              <w:t>Subtotal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lastRenderedPageBreak/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839,925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E44A92">
        <w:trPr>
          <w:trHeight w:val="421"/>
        </w:trPr>
        <w:tc>
          <w:tcPr>
            <w:tcW w:w="795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lastRenderedPageBreak/>
              <w:t>Section 7: Fully Automatic Finished Product Packaging System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90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Open-Mouth Bag Quantitative Packaging &amp; Sewing All-in-One Machine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30kg/bag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168390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168390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 xml:space="preserve"> 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23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Seismic Finished Product Silo + Conveyor Belt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 xml:space="preserve">50m³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78085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78085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Continuous buffer for packaging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>
              <w:t>Packaging Section Subtotal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246,475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E44A92">
        <w:trPr>
          <w:trHeight w:val="421"/>
        </w:trPr>
        <w:tc>
          <w:tcPr>
            <w:tcW w:w="795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Section 8: Utility Package + PLC Automation + Seismic Steel Structure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90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Plant-Wide PLC Central Control Cabinet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(Chinese-Spanish bilingual interface)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item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217275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217275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Calcination – packaging full-process interlocked automation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25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Complete Cables, Cable Trays, Online Monitoring Instruments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item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133000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133000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Includes plateau-duty motor parts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Circulating Water, Air Compressor, Storage Tank Valves &amp; Pipework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bookmarkStart w:id="2" w:name="_GoBack"/>
            <w:bookmarkEnd w:id="2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item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181000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181000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Plant-wide water and air supply package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Equipment Seismic Base, Operating Platform Steel Structure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item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231000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231000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t>Reinforced design per moderate seismic intensity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>
              <w:lastRenderedPageBreak/>
              <w:t>Utility &amp; Electrical Control Package Subtotal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—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762,275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</w:tbl>
    <w:p w:rsidR="00EF3B71" w:rsidRPr="00EF3B71" w:rsidRDefault="00EF3B71" w:rsidP="00EF3B71">
      <w:pPr>
        <w:spacing w:line="301" w:lineRule="atLeast"/>
        <w:outlineLvl w:val="1"/>
        <w:rPr>
          <w:rFonts w:asciiTheme="minorEastAsia" w:hAnsiTheme="minorEastAsia" w:cs="Arial"/>
          <w:b/>
          <w:color w:val="000000"/>
          <w:sz w:val="24"/>
          <w:szCs w:val="24"/>
          <w:lang w:eastAsia="zh-CN"/>
        </w:rPr>
      </w:pPr>
    </w:p>
    <w:sectPr w:rsidR="00EF3B71" w:rsidRPr="00EF3B71" w:rsidSect="00E44A92">
      <w:footerReference w:type="default" r:id="rId7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3788" w:rsidRDefault="00CE3788" w:rsidP="00E44A92">
      <w:pPr>
        <w:spacing w:after="0" w:line="240" w:lineRule="auto"/>
      </w:pPr>
      <w:r>
        <w:separator/>
      </w:r>
    </w:p>
  </w:endnote>
  <w:endnote w:type="continuationSeparator" w:id="0">
    <w:p w:rsidR="00CE3788" w:rsidRDefault="00CE3788" w:rsidP="00E44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304126"/>
      <w:docPartObj>
        <w:docPartGallery w:val="Page Numbers (Bottom of Page)"/>
        <w:docPartUnique/>
      </w:docPartObj>
    </w:sdtPr>
    <w:sdtEndPr/>
    <w:sdtContent>
      <w:sdt>
        <w:sdtPr>
          <w:id w:val="171357217"/>
          <w:docPartObj>
            <w:docPartGallery w:val="Page Numbers (Top of Page)"/>
            <w:docPartUnique/>
          </w:docPartObj>
        </w:sdtPr>
        <w:sdtEndPr/>
        <w:sdtContent>
          <w:p w:rsidR="00E44A92" w:rsidRDefault="00E44A92">
            <w:pPr>
              <w:pStyle w:val="af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097AB6">
              <w:rPr>
                <w:b/>
                <w:noProof/>
              </w:rPr>
              <w:t>5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097AB6">
              <w:rPr>
                <w:b/>
                <w:noProof/>
              </w:rPr>
              <w:t>7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E44A92" w:rsidRDefault="00E44A92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3788" w:rsidRDefault="00CE3788" w:rsidP="00E44A92">
      <w:pPr>
        <w:spacing w:after="0" w:line="240" w:lineRule="auto"/>
      </w:pPr>
      <w:r>
        <w:separator/>
      </w:r>
    </w:p>
  </w:footnote>
  <w:footnote w:type="continuationSeparator" w:id="0">
    <w:p w:rsidR="00CE3788" w:rsidRDefault="00CE3788" w:rsidP="00E44A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684F4F"/>
    <w:multiLevelType w:val="multilevel"/>
    <w:tmpl w:val="3FA03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F3B71"/>
    <w:rsid w:val="00091BE6"/>
    <w:rsid w:val="00097AB6"/>
    <w:rsid w:val="000E31F4"/>
    <w:rsid w:val="00104C06"/>
    <w:rsid w:val="00400AD2"/>
    <w:rsid w:val="00457DAA"/>
    <w:rsid w:val="008E5A32"/>
    <w:rsid w:val="00AC0868"/>
    <w:rsid w:val="00AF5094"/>
    <w:rsid w:val="00CE3788"/>
    <w:rsid w:val="00D45184"/>
    <w:rsid w:val="00D85775"/>
    <w:rsid w:val="00E44A92"/>
    <w:rsid w:val="00EF0FBF"/>
    <w:rsid w:val="00EF3B71"/>
    <w:rsid w:val="00F66E8F"/>
    <w:rsid w:val="00FB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72621A-E7ED-4077-A302-64C62ECB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3B71"/>
  </w:style>
  <w:style w:type="paragraph" w:styleId="1">
    <w:name w:val="heading 1"/>
    <w:basedOn w:val="a"/>
    <w:next w:val="a"/>
    <w:link w:val="10"/>
    <w:uiPriority w:val="9"/>
    <w:qFormat/>
    <w:rsid w:val="00EF3B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F3B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B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B7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B7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B7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B7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B7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B7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3B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EF3B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3">
    <w:name w:val="Strong"/>
    <w:basedOn w:val="a0"/>
    <w:uiPriority w:val="22"/>
    <w:qFormat/>
    <w:rsid w:val="00EF3B71"/>
    <w:rPr>
      <w:b/>
      <w:bCs/>
    </w:rPr>
  </w:style>
  <w:style w:type="character" w:customStyle="1" w:styleId="30">
    <w:name w:val="标题 3 字符"/>
    <w:basedOn w:val="a0"/>
    <w:link w:val="3"/>
    <w:uiPriority w:val="9"/>
    <w:rsid w:val="00EF3B7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0"/>
    <w:link w:val="4"/>
    <w:uiPriority w:val="9"/>
    <w:rsid w:val="00EF3B7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rsid w:val="00EF3B7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rsid w:val="00EF3B7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rsid w:val="00EF3B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rsid w:val="00EF3B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rsid w:val="00EF3B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EF3B7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EF3B7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标题 字符"/>
    <w:basedOn w:val="a0"/>
    <w:link w:val="a5"/>
    <w:uiPriority w:val="10"/>
    <w:rsid w:val="00EF3B7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a8"/>
    <w:uiPriority w:val="11"/>
    <w:qFormat/>
    <w:rsid w:val="00EF3B7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8">
    <w:name w:val="副标题 字符"/>
    <w:basedOn w:val="a0"/>
    <w:link w:val="a7"/>
    <w:uiPriority w:val="11"/>
    <w:rsid w:val="00EF3B7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9">
    <w:name w:val="Emphasis"/>
    <w:basedOn w:val="a0"/>
    <w:uiPriority w:val="20"/>
    <w:qFormat/>
    <w:rsid w:val="00EF3B71"/>
    <w:rPr>
      <w:i/>
      <w:iCs/>
    </w:rPr>
  </w:style>
  <w:style w:type="paragraph" w:styleId="aa">
    <w:name w:val="No Spacing"/>
    <w:uiPriority w:val="1"/>
    <w:qFormat/>
    <w:rsid w:val="00EF3B71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EF3B71"/>
    <w:pPr>
      <w:ind w:left="720"/>
      <w:contextualSpacing/>
    </w:pPr>
  </w:style>
  <w:style w:type="paragraph" w:styleId="ac">
    <w:name w:val="Quote"/>
    <w:basedOn w:val="a"/>
    <w:next w:val="a"/>
    <w:link w:val="ad"/>
    <w:uiPriority w:val="29"/>
    <w:qFormat/>
    <w:rsid w:val="00EF3B71"/>
    <w:rPr>
      <w:i/>
      <w:iCs/>
      <w:color w:val="000000" w:themeColor="text1"/>
    </w:rPr>
  </w:style>
  <w:style w:type="character" w:customStyle="1" w:styleId="ad">
    <w:name w:val="引用 字符"/>
    <w:basedOn w:val="a0"/>
    <w:link w:val="ac"/>
    <w:uiPriority w:val="29"/>
    <w:rsid w:val="00EF3B71"/>
    <w:rPr>
      <w:i/>
      <w:iCs/>
      <w:color w:val="000000" w:themeColor="text1"/>
    </w:rPr>
  </w:style>
  <w:style w:type="paragraph" w:styleId="ae">
    <w:name w:val="Intense Quote"/>
    <w:basedOn w:val="a"/>
    <w:next w:val="a"/>
    <w:link w:val="af"/>
    <w:uiPriority w:val="30"/>
    <w:qFormat/>
    <w:rsid w:val="00EF3B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">
    <w:name w:val="明显引用 字符"/>
    <w:basedOn w:val="a0"/>
    <w:link w:val="ae"/>
    <w:uiPriority w:val="30"/>
    <w:rsid w:val="00EF3B71"/>
    <w:rPr>
      <w:b/>
      <w:bCs/>
      <w:i/>
      <w:iCs/>
      <w:color w:val="4F81BD" w:themeColor="accent1"/>
    </w:rPr>
  </w:style>
  <w:style w:type="character" w:styleId="af0">
    <w:name w:val="Subtle Emphasis"/>
    <w:basedOn w:val="a0"/>
    <w:uiPriority w:val="19"/>
    <w:qFormat/>
    <w:rsid w:val="00EF3B71"/>
    <w:rPr>
      <w:i/>
      <w:iCs/>
      <w:color w:val="808080" w:themeColor="text1" w:themeTint="7F"/>
    </w:rPr>
  </w:style>
  <w:style w:type="character" w:styleId="af1">
    <w:name w:val="Intense Emphasis"/>
    <w:basedOn w:val="a0"/>
    <w:uiPriority w:val="21"/>
    <w:qFormat/>
    <w:rsid w:val="00EF3B71"/>
    <w:rPr>
      <w:b/>
      <w:bCs/>
      <w:i/>
      <w:iCs/>
      <w:color w:val="4F81BD" w:themeColor="accent1"/>
    </w:rPr>
  </w:style>
  <w:style w:type="character" w:styleId="af2">
    <w:name w:val="Subtle Reference"/>
    <w:basedOn w:val="a0"/>
    <w:uiPriority w:val="31"/>
    <w:qFormat/>
    <w:rsid w:val="00EF3B71"/>
    <w:rPr>
      <w:smallCaps/>
      <w:color w:val="C0504D" w:themeColor="accent2"/>
      <w:u w:val="single"/>
    </w:rPr>
  </w:style>
  <w:style w:type="character" w:styleId="af3">
    <w:name w:val="Intense Reference"/>
    <w:basedOn w:val="a0"/>
    <w:uiPriority w:val="32"/>
    <w:qFormat/>
    <w:rsid w:val="00EF3B71"/>
    <w:rPr>
      <w:b/>
      <w:bCs/>
      <w:smallCaps/>
      <w:color w:val="C0504D" w:themeColor="accent2"/>
      <w:spacing w:val="5"/>
      <w:u w:val="single"/>
    </w:rPr>
  </w:style>
  <w:style w:type="character" w:styleId="af4">
    <w:name w:val="Book Title"/>
    <w:basedOn w:val="a0"/>
    <w:uiPriority w:val="33"/>
    <w:qFormat/>
    <w:rsid w:val="00EF3B71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EF3B71"/>
    <w:pPr>
      <w:outlineLvl w:val="9"/>
    </w:pPr>
  </w:style>
  <w:style w:type="character" w:customStyle="1" w:styleId="font01">
    <w:name w:val="font01"/>
    <w:basedOn w:val="a0"/>
    <w:rsid w:val="00E44A92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paragraph" w:styleId="af5">
    <w:name w:val="header"/>
    <w:basedOn w:val="a"/>
    <w:link w:val="af6"/>
    <w:uiPriority w:val="99"/>
    <w:semiHidden/>
    <w:unhideWhenUsed/>
    <w:rsid w:val="00E44A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semiHidden/>
    <w:rsid w:val="00E44A92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E44A9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E44A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3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7</Pages>
  <Words>849</Words>
  <Characters>4841</Characters>
  <Application>Microsoft Office Word</Application>
  <DocSecurity>0</DocSecurity>
  <Lines>40</Lines>
  <Paragraphs>11</Paragraphs>
  <ScaleCrop>false</ScaleCrop>
  <Company>Win10</Company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微软用户</cp:lastModifiedBy>
  <cp:revision>12</cp:revision>
  <dcterms:created xsi:type="dcterms:W3CDTF">2026-08-06T01:45:00Z</dcterms:created>
  <dcterms:modified xsi:type="dcterms:W3CDTF">2026-08-07T05:35:00Z</dcterms:modified>
</cp:coreProperties>
</file>