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6365C"/>
          <w:sz w:val="50"/>
          <w:szCs w:val="50"/>
        </w:rPr>
        <w:t xml:space="preserve">RAPPORT D'AUDIT DE SÉCURITÉ</w:t>
      </w:r>
    </w:p>
    <w:p>
      <w:pPr>
        <w:spacing w:after="0" w:before="120"/>
        <w:jc w:val="center"/>
      </w:pPr>
      <w:r>
        <w:rPr>
          <w:color w:val="1F4E79"/>
          <w:sz w:val="32"/>
          <w:szCs w:val="32"/>
        </w:rPr>
        <w:t xml:space="preserve">« secure_app » — Application web durcie</w:t>
      </w:r>
    </w:p>
    <w:p>
      <w:pPr>
        <w:spacing w:after="600" w:before="80"/>
        <w:jc w:val="center"/>
      </w:pPr>
      <w:r>
        <w:rPr>
          <w:i/>
          <w:iCs/>
          <w:color w:val="595959"/>
          <w:sz w:val="23"/>
          <w:szCs w:val="23"/>
        </w:rPr>
        <w:t xml:space="preserve">Test d'intrusion en boîte noire — API REST</w:t>
      </w:r>
    </w:p>
    <w:p>
      <w:pPr>
        <w:spacing w:after="0" w:before="400"/>
        <w:jc w:val="center"/>
      </w:pPr>
      <w:r>
        <w:rPr>
          <w:b/>
          <w:bCs/>
          <w:sz w:val="24"/>
          <w:szCs w:val="24"/>
        </w:rPr>
        <w:t xml:space="preserve">Projet M1SPRO — Sécurité en Programmation</w:t>
      </w:r>
    </w:p>
    <w:p>
      <w:pPr>
        <w:spacing w:after="0" w:before="60"/>
        <w:jc w:val="center"/>
      </w:pPr>
      <w:r>
        <w:rPr>
          <w:color w:val="595959"/>
          <w:sz w:val="22"/>
          <w:szCs w:val="22"/>
        </w:rPr>
        <w:t xml:space="preserve">École IT — Master 1 Cybersécurité — 2025/2026</w:t>
      </w:r>
    </w:p>
    <w:p>
      <w:pPr>
        <w:spacing w:after="0" w:before="600"/>
        <w:jc w:val="center"/>
      </w:pPr>
      <w:r>
        <w:rPr>
          <w:rFonts w:ascii="Consolas" w:cs="Consolas" w:eastAsia="Consolas" w:hAnsi="Consolas"/>
          <w:sz w:val="22"/>
          <w:szCs w:val="22"/>
        </w:rPr>
        <w:t xml:space="preserve">Cible : http://64.226.106.122:8001</w:t>
      </w:r>
    </w:p>
    <w:p>
      <w:pPr>
        <w:spacing w:after="0" w:before="60"/>
        <w:jc w:val="center"/>
      </w:pPr>
      <w:r>
        <w:rPr>
          <w:color w:val="595959"/>
          <w:sz w:val="22"/>
          <w:szCs w:val="22"/>
        </w:rPr>
        <w:t xml:space="preserve">Date du test : 10 juin 2026</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Résumé exécutif</w:t>
      </w:r>
    </w:p>
    <w:p>
      <w:pPr>
        <w:spacing w:after="120" w:before="0"/>
      </w:pPr>
      <w:r>
        <w:rPr>
          <w:b w:val="false"/>
          <w:bCs w:val="false"/>
          <w:i w:val="false"/>
          <w:iCs w:val="false"/>
          <w:color w:val="000000"/>
          <w:sz w:val="22"/>
          <w:szCs w:val="22"/>
        </w:rPr>
        <w:t xml:space="preserve">Ce rapport documente le test d'intrusion mené sur « secure_app », API REST conçue comme application web durcie, exposée sur http://64.226.106.122:8001. L'objectif était de confronter les contre-mesures de l'application à une batterie d'attaques couvrant le référentiel OWASP, et de vérifier preuves à l'appui que les protections attendues sont effectives.</w:t>
      </w:r>
    </w:p>
    <w:p>
      <w:pPr>
        <w:spacing w:after="120" w:before="0"/>
      </w:pPr>
      <w:r>
        <w:rPr>
          <w:b/>
          <w:bCs/>
          <w:i w:val="false"/>
          <w:iCs w:val="false"/>
          <w:color w:val="000000"/>
          <w:sz w:val="22"/>
          <w:szCs w:val="22"/>
        </w:rPr>
        <w:t xml:space="preserve">Les sept familles de contrôles testées sont toutes conformes : les injections (SQL, commande système) sont rejetées, les jetons JWT sont correctement signés et typés, le contrôle d'accès par propriétaire est effectif, l'affectation de masse est bloquée, la limitation de débit est active et les en-têtes de sécurité sont complets. Aucune vulnérabilité critique ou élevée n'a été identifiée.</w:t>
      </w:r>
    </w:p>
    <w:p>
      <w:pPr>
        <w:spacing w:after="120" w:before="0"/>
      </w:pPr>
      <w:r>
        <w:rPr>
          <w:b w:val="false"/>
          <w:bCs w:val="false"/>
          <w:i/>
          <w:iCs/>
          <w:color w:val="595959"/>
          <w:sz w:val="20"/>
          <w:szCs w:val="20"/>
        </w:rPr>
        <w:t xml:space="preserve">Les captures d'écran référencées (« voir capture … ») sont regroupées en annexe et constituent les preuves de chaque contrôle.</w:t>
      </w:r>
    </w:p>
    <w:p>
      <w:pPr>
        <w:pStyle w:val="Heading1"/>
      </w:pPr>
      <w:r>
        <w:t xml:space="preserve">2. Périmètre et méthodologie</w:t>
      </w:r>
    </w:p>
    <w:p>
      <w:pPr>
        <w:spacing w:after="120" w:before="0"/>
      </w:pPr>
      <w:r>
        <w:rPr>
          <w:b w:val="false"/>
          <w:bCs w:val="false"/>
          <w:i w:val="false"/>
          <w:iCs w:val="false"/>
          <w:color w:val="000000"/>
          <w:sz w:val="22"/>
          <w:szCs w:val="22"/>
        </w:rPr>
        <w:t xml:space="preserve">Cible : API REST FastAPI / Uvicorn exposée sur http://64.226.106.122:8001. Test en boîte noire mené depuis un poste externe, sur une infrastructure appartenant à l'équipe. Outils : curl, nmap, whatweb, Nikto, forge manuelle de jetons JWT.</w:t>
      </w:r>
    </w:p>
    <w:p>
      <w:pPr>
        <w:spacing w:after="120" w:before="0"/>
      </w:pPr>
      <w:r>
        <w:rPr>
          <w:b w:val="false"/>
          <w:bCs w:val="false"/>
          <w:i w:val="false"/>
          <w:iCs w:val="false"/>
          <w:color w:val="000000"/>
          <w:sz w:val="22"/>
          <w:szCs w:val="22"/>
        </w:rPr>
        <w:t xml:space="preserve">La documentation interactive de l'API (/docs, /openapi.json) est désactivée — le schéma n'est pas révélé. Les points d'entrée ont été reconstitués à partir du JavaScript de l'interface : /auth/register, /auth/login, /auth/refresh, /auth/logout, /users/me, /notes, /notes/{id}, /tools/ping, /auth/mfa/setup, /auth/mfa/enable, /health.</w:t>
      </w:r>
    </w:p>
    <w:p>
      <w:pPr>
        <w:pStyle w:val="Heading1"/>
      </w:pPr>
      <w:r>
        <w:t xml:space="preserve">3. Synthèse des contrôles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380"/>
        <w:gridCol w:w="2200"/>
        <w:gridCol w:w="2260"/>
      </w:tblGrid>
      <w:tr>
        <w:trPr>
          <w:tblHeader/>
        </w:trPr>
        <w:tc>
          <w:tcPr>
            <w:tcW w:type="dxa" w:w="5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19"/>
                <w:szCs w:val="19"/>
              </w:rPr>
              <w:t xml:space="preserve">#</w:t>
            </w:r>
          </w:p>
        </w:tc>
        <w:tc>
          <w:tcPr>
            <w:tcW w:type="dxa" w:w="43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19"/>
                <w:szCs w:val="19"/>
              </w:rPr>
              <w:t xml:space="preserve">Contrôle de sécurité</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19"/>
                <w:szCs w:val="19"/>
              </w:rPr>
              <w:t xml:space="preserve">Réf.</w:t>
            </w:r>
          </w:p>
        </w:tc>
        <w:tc>
          <w:tcPr>
            <w:tcW w:type="dxa" w:w="2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19"/>
                <w:szCs w:val="19"/>
              </w:rPr>
              <w:t xml:space="preserve">Verdict</w:t>
            </w:r>
          </w:p>
        </w:tc>
      </w:tr>
      <w:tr>
        <w:tc>
          <w:tcPr>
            <w:tcW w:type="dxa" w:w="52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val="false"/>
                <w:bCs w:val="false"/>
                <w:color w:val="000000"/>
                <w:sz w:val="19"/>
                <w:szCs w:val="19"/>
              </w:rPr>
              <w:t xml:space="preserve">1</w:t>
            </w:r>
          </w:p>
        </w:tc>
        <w:tc>
          <w:tcPr>
            <w:tcW w:type="dxa" w:w="43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val="false"/>
                <w:bCs w:val="false"/>
                <w:color w:val="000000"/>
                <w:sz w:val="19"/>
                <w:szCs w:val="19"/>
              </w:rPr>
              <w:t xml:space="preserve">Injection SQL (authentification)</w:t>
            </w:r>
          </w:p>
        </w:tc>
        <w:tc>
          <w:tcPr>
            <w:tcW w:type="dxa" w:w="22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val="false"/>
                <w:bCs w:val="false"/>
                <w:color w:val="000000"/>
                <w:sz w:val="19"/>
                <w:szCs w:val="19"/>
              </w:rPr>
              <w:t xml:space="preserve">A03 / CWE-89</w:t>
            </w:r>
          </w:p>
        </w:tc>
        <w:tc>
          <w:tcPr>
            <w:tcW w:type="dxa" w:w="22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bCs/>
                <w:color w:val="000000"/>
                <w:sz w:val="19"/>
                <w:szCs w:val="19"/>
              </w:rPr>
              <w:t xml:space="preserve">Bloqué</w:t>
            </w:r>
          </w:p>
        </w:tc>
      </w:tr>
      <w:tr>
        <w:tc>
          <w:tcPr>
            <w:tcW w:type="dxa" w:w="52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val="false"/>
                <w:bCs w:val="false"/>
                <w:color w:val="000000"/>
                <w:sz w:val="19"/>
                <w:szCs w:val="19"/>
              </w:rPr>
              <w:t xml:space="preserve">2</w:t>
            </w:r>
          </w:p>
        </w:tc>
        <w:tc>
          <w:tcPr>
            <w:tcW w:type="dxa" w:w="43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val="false"/>
                <w:bCs w:val="false"/>
                <w:color w:val="000000"/>
                <w:sz w:val="19"/>
                <w:szCs w:val="19"/>
              </w:rPr>
              <w:t xml:space="preserve">Injection de commande système (ping)</w:t>
            </w:r>
          </w:p>
        </w:tc>
        <w:tc>
          <w:tcPr>
            <w:tcW w:type="dxa" w:w="22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val="false"/>
                <w:bCs w:val="false"/>
                <w:color w:val="000000"/>
                <w:sz w:val="19"/>
                <w:szCs w:val="19"/>
              </w:rPr>
              <w:t xml:space="preserve">A03 / CWE-78</w:t>
            </w:r>
          </w:p>
        </w:tc>
        <w:tc>
          <w:tcPr>
            <w:tcW w:type="dxa" w:w="22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bCs/>
                <w:color w:val="000000"/>
                <w:sz w:val="19"/>
                <w:szCs w:val="19"/>
              </w:rPr>
              <w:t xml:space="preserve">Bloqué</w:t>
            </w:r>
          </w:p>
        </w:tc>
      </w:tr>
      <w:tr>
        <w:tc>
          <w:tcPr>
            <w:tcW w:type="dxa" w:w="52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val="false"/>
                <w:bCs w:val="false"/>
                <w:color w:val="000000"/>
                <w:sz w:val="19"/>
                <w:szCs w:val="19"/>
              </w:rPr>
              <w:t xml:space="preserve">3</w:t>
            </w:r>
          </w:p>
        </w:tc>
        <w:tc>
          <w:tcPr>
            <w:tcW w:type="dxa" w:w="43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val="false"/>
                <w:bCs w:val="false"/>
                <w:color w:val="000000"/>
                <w:sz w:val="19"/>
                <w:szCs w:val="19"/>
              </w:rPr>
              <w:t xml:space="preserve">Authentification JWT (signature, exp, jti)</w:t>
            </w:r>
          </w:p>
        </w:tc>
        <w:tc>
          <w:tcPr>
            <w:tcW w:type="dxa" w:w="22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val="false"/>
                <w:bCs w:val="false"/>
                <w:color w:val="000000"/>
                <w:sz w:val="19"/>
                <w:szCs w:val="19"/>
              </w:rPr>
              <w:t xml:space="preserve">A07 / CWE-347</w:t>
            </w:r>
          </w:p>
        </w:tc>
        <w:tc>
          <w:tcPr>
            <w:tcW w:type="dxa" w:w="22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bCs/>
                <w:color w:val="000000"/>
                <w:sz w:val="19"/>
                <w:szCs w:val="19"/>
              </w:rPr>
              <w:t xml:space="preserve">Conforme</w:t>
            </w:r>
          </w:p>
        </w:tc>
      </w:tr>
      <w:tr>
        <w:tc>
          <w:tcPr>
            <w:tcW w:type="dxa" w:w="52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val="false"/>
                <w:bCs w:val="false"/>
                <w:color w:val="000000"/>
                <w:sz w:val="19"/>
                <w:szCs w:val="19"/>
              </w:rPr>
              <w:t xml:space="preserve">4</w:t>
            </w:r>
          </w:p>
        </w:tc>
        <w:tc>
          <w:tcPr>
            <w:tcW w:type="dxa" w:w="43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val="false"/>
                <w:bCs w:val="false"/>
                <w:color w:val="000000"/>
                <w:sz w:val="19"/>
                <w:szCs w:val="19"/>
              </w:rPr>
              <w:t xml:space="preserve">Contrôle d'accès / BOLA</w:t>
            </w:r>
          </w:p>
        </w:tc>
        <w:tc>
          <w:tcPr>
            <w:tcW w:type="dxa" w:w="22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val="false"/>
                <w:bCs w:val="false"/>
                <w:color w:val="000000"/>
                <w:sz w:val="19"/>
                <w:szCs w:val="19"/>
              </w:rPr>
              <w:t xml:space="preserve">A01 / CWE-639</w:t>
            </w:r>
          </w:p>
        </w:tc>
        <w:tc>
          <w:tcPr>
            <w:tcW w:type="dxa" w:w="22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bCs/>
                <w:color w:val="000000"/>
                <w:sz w:val="19"/>
                <w:szCs w:val="19"/>
              </w:rPr>
              <w:t xml:space="preserve">Pas de surface</w:t>
            </w:r>
          </w:p>
        </w:tc>
      </w:tr>
      <w:tr>
        <w:tc>
          <w:tcPr>
            <w:tcW w:type="dxa" w:w="52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val="false"/>
                <w:bCs w:val="false"/>
                <w:color w:val="000000"/>
                <w:sz w:val="19"/>
                <w:szCs w:val="19"/>
              </w:rPr>
              <w:t xml:space="preserve">5</w:t>
            </w:r>
          </w:p>
        </w:tc>
        <w:tc>
          <w:tcPr>
            <w:tcW w:type="dxa" w:w="43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val="false"/>
                <w:bCs w:val="false"/>
                <w:color w:val="000000"/>
                <w:sz w:val="19"/>
                <w:szCs w:val="19"/>
              </w:rPr>
              <w:t xml:space="preserve">Mass assignment</w:t>
            </w:r>
          </w:p>
        </w:tc>
        <w:tc>
          <w:tcPr>
            <w:tcW w:type="dxa" w:w="22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val="false"/>
                <w:bCs w:val="false"/>
                <w:color w:val="000000"/>
                <w:sz w:val="19"/>
                <w:szCs w:val="19"/>
              </w:rPr>
              <w:t xml:space="preserve">A08 / CWE-915</w:t>
            </w:r>
          </w:p>
        </w:tc>
        <w:tc>
          <w:tcPr>
            <w:tcW w:type="dxa" w:w="22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bCs/>
                <w:color w:val="000000"/>
                <w:sz w:val="19"/>
                <w:szCs w:val="19"/>
              </w:rPr>
              <w:t xml:space="preserve">Bloqué</w:t>
            </w:r>
          </w:p>
        </w:tc>
      </w:tr>
      <w:tr>
        <w:tc>
          <w:tcPr>
            <w:tcW w:type="dxa" w:w="52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val="false"/>
                <w:bCs w:val="false"/>
                <w:color w:val="000000"/>
                <w:sz w:val="19"/>
                <w:szCs w:val="19"/>
              </w:rPr>
              <w:t xml:space="preserve">6</w:t>
            </w:r>
          </w:p>
        </w:tc>
        <w:tc>
          <w:tcPr>
            <w:tcW w:type="dxa" w:w="43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val="false"/>
                <w:bCs w:val="false"/>
                <w:color w:val="000000"/>
                <w:sz w:val="19"/>
                <w:szCs w:val="19"/>
              </w:rPr>
              <w:t xml:space="preserve">Limitation de débit (anti-bruteforce)</w:t>
            </w:r>
          </w:p>
        </w:tc>
        <w:tc>
          <w:tcPr>
            <w:tcW w:type="dxa" w:w="22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val="false"/>
                <w:bCs w:val="false"/>
                <w:color w:val="000000"/>
                <w:sz w:val="19"/>
                <w:szCs w:val="19"/>
              </w:rPr>
              <w:t xml:space="preserve">A04 / CWE-307</w:t>
            </w:r>
          </w:p>
        </w:tc>
        <w:tc>
          <w:tcPr>
            <w:tcW w:type="dxa" w:w="22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bCs/>
                <w:color w:val="000000"/>
                <w:sz w:val="19"/>
                <w:szCs w:val="19"/>
              </w:rPr>
              <w:t xml:space="preserve">Active</w:t>
            </w:r>
          </w:p>
        </w:tc>
      </w:tr>
      <w:tr>
        <w:tc>
          <w:tcPr>
            <w:tcW w:type="dxa" w:w="52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val="false"/>
                <w:bCs w:val="false"/>
                <w:color w:val="000000"/>
                <w:sz w:val="19"/>
                <w:szCs w:val="19"/>
              </w:rPr>
              <w:t xml:space="preserve">7</w:t>
            </w:r>
          </w:p>
        </w:tc>
        <w:tc>
          <w:tcPr>
            <w:tcW w:type="dxa" w:w="43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val="false"/>
                <w:bCs w:val="false"/>
                <w:color w:val="000000"/>
                <w:sz w:val="19"/>
                <w:szCs w:val="19"/>
              </w:rPr>
              <w:t xml:space="preserve">Configuration (en-têtes, OpenAPI)</w:t>
            </w:r>
          </w:p>
        </w:tc>
        <w:tc>
          <w:tcPr>
            <w:tcW w:type="dxa" w:w="22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val="false"/>
                <w:bCs w:val="false"/>
                <w:color w:val="000000"/>
                <w:sz w:val="19"/>
                <w:szCs w:val="19"/>
              </w:rPr>
              <w:t xml:space="preserve">A05 / CWE-16</w:t>
            </w:r>
          </w:p>
        </w:tc>
        <w:tc>
          <w:tcPr>
            <w:tcW w:type="dxa" w:w="22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bCs/>
                <w:color w:val="000000"/>
                <w:sz w:val="19"/>
                <w:szCs w:val="19"/>
              </w:rPr>
              <w:t xml:space="preserve">Conforme</w:t>
            </w:r>
          </w:p>
        </w:tc>
      </w:tr>
    </w:tbl>
    <w:p>
      <w:pPr>
        <w:spacing w:after="60" w:before="0"/>
      </w:pPr>
      <w:r>
        <w:rPr>
          <w:b w:val="false"/>
          <w:bCs w:val="false"/>
          <w:i w:val="false"/>
          <w:iCs w:val="false"/>
          <w:color w:val="000000"/>
          <w:sz w:val="22"/>
          <w:szCs w:val="22"/>
        </w:rPr>
        <w:t xml:space="preserve"/>
      </w:r>
    </w:p>
    <w:p>
      <w:pPr>
        <w:spacing w:after="120" w:before="0"/>
      </w:pPr>
      <w:r>
        <w:rPr>
          <w:b w:val="false"/>
          <w:bCs w:val="false"/>
          <w:i/>
          <w:iCs/>
          <w:color w:val="595959"/>
          <w:sz w:val="18"/>
          <w:szCs w:val="18"/>
        </w:rPr>
        <w:t xml:space="preserve">Tous les contrôles testés sont conformes. Aucune vulnérabilité critique ou élevée.</w:t>
      </w:r>
    </w:p>
    <w:p>
      <w:pPr>
        <w:pStyle w:val="Heading1"/>
      </w:pPr>
      <w:r>
        <w:t xml:space="preserve">4. Détail des contrôles vérifiés</w:t>
      </w:r>
    </w:p>
    <w:p>
      <w:pPr>
        <w:pStyle w:val="Heading2"/>
      </w:pPr>
      <w:r>
        <w:t xml:space="preserve">4.1 Configuration et en-têtes de sécurité</w:t>
      </w:r>
    </w:p>
    <w:p>
      <w:pPr>
        <w:shd w:fill="548235" w:color="auto" w:val="clear"/>
        <w:spacing w:after="120" w:before="20"/>
      </w:pPr>
      <w:r>
        <w:rPr>
          <w:b/>
          <w:bCs/>
          <w:color w:val="FFFFFF"/>
          <w:sz w:val="20"/>
          <w:szCs w:val="20"/>
        </w:rPr>
        <w:t xml:space="preserve">CONFORME — A05 / CWE-16</w:t>
      </w:r>
    </w:p>
    <w:p>
      <w:pPr>
        <w:spacing w:after="120" w:before="0"/>
      </w:pPr>
      <w:r>
        <w:rPr>
          <w:b w:val="false"/>
          <w:bCs w:val="false"/>
          <w:i w:val="false"/>
          <w:iCs w:val="false"/>
          <w:color w:val="000000"/>
          <w:sz w:val="22"/>
          <w:szCs w:val="22"/>
        </w:rPr>
        <w:t xml:space="preserve">La réponse du serveur comporte un jeu complet d'en-têtes de sécurité (voir capture « Headers de sécurité présents ») : Content-Security-Policy stricte (default-src 'none'), Strict-Transport-Security, X-Frame-Options DENY, X-Content-Type-Options nosniff, Referrer-Policy no-referrer, Cross-Origin-Opener/Resource-Policy same-origin, Permissions-Policy restrictive et Cache-Control no-store.</w:t>
      </w:r>
    </w:p>
    <w:p>
      <w:pPr>
        <w:spacing w:after="120" w:before="60"/>
      </w:pPr>
      <w:r>
        <w:rPr>
          <w:b w:val="false"/>
          <w:bCs w:val="false"/>
          <w:i w:val="false"/>
          <w:iCs w:val="false"/>
          <w:color w:val="000000"/>
          <w:sz w:val="22"/>
          <w:szCs w:val="22"/>
        </w:rPr>
        <w:t xml:space="preserve">La documentation OpenAPI est par ailleurs désactivée : /openapi.json et /docs renvoient 404 (voir capture « Documentation API désactivée »), ce qui empêche un attaquant de découvrir le schéma de l'API.</w:t>
      </w:r>
    </w:p>
    <w:p>
      <w:pPr>
        <w:pStyle w:val="Heading2"/>
      </w:pPr>
      <w:r>
        <w:t xml:space="preserve">4.2 Injection SQL (authentification)</w:t>
      </w:r>
    </w:p>
    <w:p>
      <w:pPr>
        <w:shd w:fill="548235" w:color="auto" w:val="clear"/>
        <w:spacing w:after="120" w:before="20"/>
      </w:pPr>
      <w:r>
        <w:rPr>
          <w:b/>
          <w:bCs/>
          <w:color w:val="FFFFFF"/>
          <w:sz w:val="20"/>
          <w:szCs w:val="20"/>
        </w:rPr>
        <w:t xml:space="preserve">BLOQUÉ — A03 / CWE-89</w:t>
      </w:r>
    </w:p>
    <w:p>
      <w:pPr>
        <w:spacing w:after="120" w:before="0"/>
      </w:pPr>
      <w:r>
        <w:rPr>
          <w:b w:val="false"/>
          <w:bCs w:val="false"/>
          <w:i w:val="false"/>
          <w:iCs w:val="false"/>
          <w:color w:val="000000"/>
          <w:sz w:val="22"/>
          <w:szCs w:val="22"/>
        </w:rPr>
        <w:t xml:space="preserve">Une charge d'injection booléenne a été soumise au point d'authentification :</w:t>
      </w:r>
    </w:p>
    <w:p>
      <w:pPr>
        <w:shd w:fill="F2F2F2" w:val="clear"/>
        <w:spacing w:after="60"/>
      </w:pPr>
      <w:r>
        <w:rPr>
          <w:rFonts w:ascii="Consolas" w:cs="Consolas" w:eastAsia="Consolas" w:hAnsi="Consolas"/>
          <w:sz w:val="17"/>
          <w:szCs w:val="17"/>
        </w:rPr>
        <w:t xml:space="preserve">POST /auth/login  {"username":"victim' OR '1'='1","password":"nimporte"}</w:t>
      </w:r>
    </w:p>
    <w:p>
      <w:pPr>
        <w:spacing w:after="120" w:before="60"/>
      </w:pPr>
      <w:r>
        <w:rPr>
          <w:b w:val="false"/>
          <w:bCs w:val="false"/>
          <w:i w:val="false"/>
          <w:iCs w:val="false"/>
          <w:color w:val="000000"/>
          <w:sz w:val="22"/>
          <w:szCs w:val="22"/>
        </w:rPr>
        <w:t xml:space="preserve">Réponse : « Identifiants invalides », aucun jeton émis (voir capture « SQLi bloquée »). L'usage de requêtes paramétrées neutralise l'injection : la charge est traitée comme une simple chaîne, sans altérer la logique de la requête.</w:t>
      </w:r>
    </w:p>
    <w:p>
      <w:pPr>
        <w:pStyle w:val="Heading2"/>
      </w:pPr>
      <w:r>
        <w:t xml:space="preserve">4.3 Injection de commande système (ping)</w:t>
      </w:r>
    </w:p>
    <w:p>
      <w:pPr>
        <w:shd w:fill="548235" w:color="auto" w:val="clear"/>
        <w:spacing w:after="120" w:before="20"/>
      </w:pPr>
      <w:r>
        <w:rPr>
          <w:b/>
          <w:bCs/>
          <w:color w:val="FFFFFF"/>
          <w:sz w:val="20"/>
          <w:szCs w:val="20"/>
        </w:rPr>
        <w:t xml:space="preserve">BLOQUÉ — A03 / CWE-78</w:t>
      </w:r>
    </w:p>
    <w:p>
      <w:pPr>
        <w:spacing w:after="120" w:before="0"/>
      </w:pPr>
      <w:r>
        <w:rPr>
          <w:b w:val="false"/>
          <w:bCs w:val="false"/>
          <w:i w:val="false"/>
          <w:iCs w:val="false"/>
          <w:color w:val="000000"/>
          <w:sz w:val="22"/>
          <w:szCs w:val="22"/>
        </w:rPr>
        <w:t xml:space="preserve">L'outil /tools/ping a été ciblé avec des séparateurs shell visant l'exécution de commandes :</w:t>
      </w:r>
    </w:p>
    <w:p>
      <w:pPr>
        <w:shd w:fill="F2F2F2" w:val="clear"/>
        <w:spacing w:after="60"/>
      </w:pPr>
      <w:r>
        <w:rPr>
          <w:rFonts w:ascii="Consolas" w:cs="Consolas" w:eastAsia="Consolas" w:hAnsi="Consolas"/>
          <w:sz w:val="17"/>
          <w:szCs w:val="17"/>
        </w:rPr>
        <w:t xml:space="preserve">{"host":"127.0.0.1; whoami"}        → Hôte invalide</w:t>
      </w:r>
    </w:p>
    <w:p>
      <w:pPr>
        <w:shd w:fill="F2F2F2" w:val="clear"/>
        <w:spacing w:after="60"/>
      </w:pPr>
      <w:r>
        <w:rPr>
          <w:rFonts w:ascii="Consolas" w:cs="Consolas" w:eastAsia="Consolas" w:hAnsi="Consolas"/>
          <w:sz w:val="17"/>
          <w:szCs w:val="17"/>
        </w:rPr>
        <w:t xml:space="preserve">{"host":"127.0.0.1; cat /etc/passwd"} → Hôte invalide</w:t>
      </w:r>
    </w:p>
    <w:p>
      <w:pPr>
        <w:spacing w:after="120" w:before="60"/>
      </w:pPr>
      <w:r>
        <w:rPr>
          <w:b w:val="false"/>
          <w:bCs w:val="false"/>
          <w:i w:val="false"/>
          <w:iCs w:val="false"/>
          <w:color w:val="000000"/>
          <w:sz w:val="22"/>
          <w:szCs w:val="22"/>
        </w:rPr>
        <w:t xml:space="preserve">Les deux charges sont rejetées avant tout appel système (voir capture « Command injection bloquée »), par validation stricte du format d'hôte. Aucune exécution n'a lieu.</w:t>
      </w:r>
    </w:p>
    <w:p>
      <w:pPr>
        <w:pStyle w:val="Heading2"/>
      </w:pPr>
      <w:r>
        <w:t xml:space="preserve">4.4 Authentification et jetons JWT</w:t>
      </w:r>
    </w:p>
    <w:p>
      <w:pPr>
        <w:shd w:fill="548235" w:color="auto" w:val="clear"/>
        <w:spacing w:after="120" w:before="20"/>
      </w:pPr>
      <w:r>
        <w:rPr>
          <w:b/>
          <w:bCs/>
          <w:color w:val="FFFFFF"/>
          <w:sz w:val="20"/>
          <w:szCs w:val="20"/>
        </w:rPr>
        <w:t xml:space="preserve">CONFORME — A07 / CWE-347</w:t>
      </w:r>
    </w:p>
    <w:p>
      <w:pPr>
        <w:spacing w:after="120" w:before="0"/>
      </w:pPr>
      <w:r>
        <w:rPr>
          <w:b w:val="false"/>
          <w:bCs w:val="false"/>
          <w:i w:val="false"/>
          <w:iCs w:val="false"/>
          <w:color w:val="000000"/>
          <w:sz w:val="22"/>
          <w:szCs w:val="22"/>
        </w:rPr>
        <w:t xml:space="preserve">Le jeton légitime émis est un JWT HS256 dont la charge utile contient un sujet UUID, un champ type (access/refresh), un identifiant unique jti (révocation) et une expiration courte (900 s). Un jeton entièrement forgé (signature factice, sujet arbitraire) a été soumis à /users/me :</w:t>
      </w:r>
    </w:p>
    <w:p>
      <w:pPr>
        <w:shd w:fill="F2F2F2" w:val="clear"/>
        <w:spacing w:after="60"/>
      </w:pPr>
      <w:r>
        <w:rPr>
          <w:rFonts w:ascii="Consolas" w:cs="Consolas" w:eastAsia="Consolas" w:hAnsi="Consolas"/>
          <w:sz w:val="17"/>
          <w:szCs w:val="17"/>
        </w:rPr>
        <w:t xml:space="preserve">Bearer &lt;header&gt;.&lt;payload sub arbitraire&gt;.insecuresignature</w:t>
      </w:r>
    </w:p>
    <w:p>
      <w:pPr>
        <w:spacing w:after="120" w:before="60"/>
      </w:pPr>
      <w:r>
        <w:rPr>
          <w:b w:val="false"/>
          <w:bCs w:val="false"/>
          <w:i w:val="false"/>
          <w:iCs w:val="false"/>
          <w:color w:val="000000"/>
          <w:sz w:val="22"/>
          <w:szCs w:val="22"/>
        </w:rPr>
        <w:t xml:space="preserve">Réponse : « Authentification requise ou invalide » (voir capture « JWT forgé rejeté »). La signature est vérifiée côté serveur ; la forge échoue. Les défenses contre alg:none, la falsification de signature et la confusion de type access/refresh sont également effectives.</w:t>
      </w:r>
    </w:p>
    <w:p>
      <w:pPr>
        <w:pStyle w:val="Heading2"/>
      </w:pPr>
      <w:r>
        <w:t xml:space="preserve">4.5 Contrôle d'accès — BOLA</w:t>
      </w:r>
    </w:p>
    <w:p>
      <w:pPr>
        <w:shd w:fill="548235" w:color="auto" w:val="clear"/>
        <w:spacing w:after="120" w:before="20"/>
      </w:pPr>
      <w:r>
        <w:rPr>
          <w:b/>
          <w:bCs/>
          <w:color w:val="FFFFFF"/>
          <w:sz w:val="20"/>
          <w:szCs w:val="20"/>
        </w:rPr>
        <w:t xml:space="preserve">PAS DE SURFACE — A01 / CWE-639</w:t>
      </w:r>
    </w:p>
    <w:p>
      <w:pPr>
        <w:spacing w:after="120" w:before="0"/>
      </w:pPr>
      <w:r>
        <w:rPr>
          <w:b w:val="false"/>
          <w:bCs w:val="false"/>
          <w:i w:val="false"/>
          <w:iCs w:val="false"/>
          <w:color w:val="000000"/>
          <w:sz w:val="22"/>
          <w:szCs w:val="22"/>
        </w:rPr>
        <w:t xml:space="preserve">Un second compte a été créé pour tenter d'accéder à une note privée du premier via son identifiant :</w:t>
      </w:r>
    </w:p>
    <w:p>
      <w:pPr>
        <w:shd w:fill="F2F2F2" w:val="clear"/>
        <w:spacing w:after="60"/>
      </w:pPr>
      <w:r>
        <w:rPr>
          <w:rFonts w:ascii="Consolas" w:cs="Consolas" w:eastAsia="Consolas" w:hAnsi="Consolas"/>
          <w:sz w:val="17"/>
          <w:szCs w:val="17"/>
        </w:rPr>
        <w:t xml:space="preserve">Victime  : note SECRET (owner_id = 2a0733c5…)</w:t>
      </w:r>
    </w:p>
    <w:p>
      <w:pPr>
        <w:shd w:fill="F2F2F2" w:val="clear"/>
        <w:spacing w:after="60"/>
      </w:pPr>
      <w:r>
        <w:rPr>
          <w:rFonts w:ascii="Consolas" w:cs="Consolas" w:eastAsia="Consolas" w:hAnsi="Consolas"/>
          <w:sz w:val="17"/>
          <w:szCs w:val="17"/>
        </w:rPr>
        <w:t xml:space="preserve">Attaquant: GET /notes/&lt;id_victime&gt; → "Note introuvable."</w:t>
      </w:r>
    </w:p>
    <w:p>
      <w:pPr>
        <w:spacing w:after="120" w:before="60"/>
      </w:pPr>
      <w:r>
        <w:rPr>
          <w:b w:val="false"/>
          <w:bCs w:val="false"/>
          <w:i w:val="false"/>
          <w:iCs w:val="false"/>
          <w:color w:val="000000"/>
          <w:sz w:val="22"/>
          <w:szCs w:val="22"/>
        </w:rPr>
        <w:t xml:space="preserve">La ressource est filtrée par propriétaire et l'application répond « Note introuvable » (404) plutôt que « interdit » (403), empêchant l'énumération (voir capture « BOLA bloqué »). Aucun accès transversal n'est possible.</w:t>
      </w:r>
    </w:p>
    <w:p>
      <w:pPr>
        <w:pStyle w:val="Heading2"/>
      </w:pPr>
      <w:r>
        <w:t xml:space="preserve">4.6 Mass assignment</w:t>
      </w:r>
    </w:p>
    <w:p>
      <w:pPr>
        <w:shd w:fill="548235" w:color="auto" w:val="clear"/>
        <w:spacing w:after="120" w:before="20"/>
      </w:pPr>
      <w:r>
        <w:rPr>
          <w:b/>
          <w:bCs/>
          <w:color w:val="FFFFFF"/>
          <w:sz w:val="20"/>
          <w:szCs w:val="20"/>
        </w:rPr>
        <w:t xml:space="preserve">BLOQUÉ — A08 / CWE-915</w:t>
      </w:r>
    </w:p>
    <w:p>
      <w:pPr>
        <w:spacing w:after="120" w:before="0"/>
      </w:pPr>
      <w:r>
        <w:rPr>
          <w:b w:val="false"/>
          <w:bCs w:val="false"/>
          <w:i w:val="false"/>
          <w:iCs w:val="false"/>
          <w:color w:val="000000"/>
          <w:sz w:val="22"/>
          <w:szCs w:val="22"/>
        </w:rPr>
        <w:t xml:space="preserve">Une inscription a été tentée avec des champs privilégiés non prévus (is_admin, role) :</w:t>
      </w:r>
    </w:p>
    <w:p>
      <w:pPr>
        <w:shd w:fill="F2F2F2" w:val="clear"/>
        <w:spacing w:after="60"/>
      </w:pPr>
      <w:r>
        <w:rPr>
          <w:rFonts w:ascii="Consolas" w:cs="Consolas" w:eastAsia="Consolas" w:hAnsi="Consolas"/>
          <w:sz w:val="17"/>
          <w:szCs w:val="17"/>
        </w:rPr>
        <w:t xml:space="preserve">POST /auth/register {…,"is_admin":true,"role":"admin"} → Requête invalide</w:t>
      </w:r>
    </w:p>
    <w:p>
      <w:pPr>
        <w:spacing w:after="120" w:before="60"/>
      </w:pPr>
      <w:r>
        <w:rPr>
          <w:b w:val="false"/>
          <w:bCs w:val="false"/>
          <w:i w:val="false"/>
          <w:iCs w:val="false"/>
          <w:color w:val="000000"/>
          <w:sz w:val="22"/>
          <w:szCs w:val="22"/>
        </w:rPr>
        <w:t xml:space="preserve">La validation stricte du modèle d'entrée refuse les champs supplémentaires (voir capture « Mass assignment bloqué »). Aucune élévation de privilèges n'est possible par ce biais.</w:t>
      </w:r>
    </w:p>
    <w:p>
      <w:pPr>
        <w:pStyle w:val="Heading2"/>
      </w:pPr>
      <w:r>
        <w:t xml:space="preserve">4.7 Limitation de débit (anti-bruteforce)</w:t>
      </w:r>
    </w:p>
    <w:p>
      <w:pPr>
        <w:shd w:fill="548235" w:color="auto" w:val="clear"/>
        <w:spacing w:after="120" w:before="20"/>
      </w:pPr>
      <w:r>
        <w:rPr>
          <w:b/>
          <w:bCs/>
          <w:color w:val="FFFFFF"/>
          <w:sz w:val="20"/>
          <w:szCs w:val="20"/>
        </w:rPr>
        <w:t xml:space="preserve">ACTIVE — A04 / CWE-307</w:t>
      </w:r>
    </w:p>
    <w:p>
      <w:pPr>
        <w:spacing w:after="120" w:before="0"/>
      </w:pPr>
      <w:r>
        <w:rPr>
          <w:b w:val="false"/>
          <w:bCs w:val="false"/>
          <w:i w:val="false"/>
          <w:iCs w:val="false"/>
          <w:color w:val="000000"/>
          <w:sz w:val="22"/>
          <w:szCs w:val="22"/>
        </w:rPr>
        <w:t xml:space="preserve">Quinze tentatives de connexion erronées consécutives produisent la séquence : 5 réponses 401 suivies de 10 réponses 429 (Too Many Requests) — voir capture « Rate limiting actif ». La protection se déclenche après 5 échecs, limitant efficacement le forçage par dictionnaire ou force brute.</w:t>
      </w:r>
    </w:p>
    <w:p>
      <w:pPr>
        <w:pStyle w:val="Heading2"/>
      </w:pPr>
      <w:r>
        <w:t xml:space="preserve">4.8 Énumération de comptes et fuite d'information</w:t>
      </w:r>
    </w:p>
    <w:p>
      <w:pPr>
        <w:shd w:fill="548235" w:color="auto" w:val="clear"/>
        <w:spacing w:after="120" w:before="20"/>
      </w:pPr>
      <w:r>
        <w:rPr>
          <w:b/>
          <w:bCs/>
          <w:color w:val="FFFFFF"/>
          <w:sz w:val="20"/>
          <w:szCs w:val="20"/>
        </w:rPr>
        <w:t xml:space="preserve">CONFORME</w:t>
      </w:r>
    </w:p>
    <w:p>
      <w:pPr>
        <w:spacing w:after="120" w:before="0"/>
      </w:pPr>
      <w:r>
        <w:rPr>
          <w:b w:val="false"/>
          <w:bCs w:val="false"/>
          <w:i w:val="false"/>
          <w:iCs w:val="false"/>
          <w:color w:val="000000"/>
          <w:sz w:val="22"/>
          <w:szCs w:val="22"/>
        </w:rPr>
        <w:t xml:space="preserve">Les messages d'erreur sont génériques et ne permettent pas de distinguer « utilisateur inexistant » de « mot de passe erroné ». La stratégie « 404 plutôt que 403 » sur les ressources et l'absence de documentation exposée limitent la reconnaissance d'un attaquant.</w:t>
      </w:r>
    </w:p>
    <w:p>
      <w:pPr>
        <w:pStyle w:val="Heading1"/>
      </w:pPr>
      <w:r>
        <w:t xml:space="preserve">5. Conclusion</w:t>
      </w:r>
    </w:p>
    <w:p>
      <w:pPr>
        <w:spacing w:after="120" w:before="0"/>
      </w:pPr>
      <w:r>
        <w:rPr>
          <w:b w:val="false"/>
          <w:bCs w:val="false"/>
          <w:i w:val="false"/>
          <w:iCs w:val="false"/>
          <w:color w:val="000000"/>
          <w:sz w:val="22"/>
          <w:szCs w:val="22"/>
        </w:rPr>
        <w:t xml:space="preserve">L'application secure_app résiste à l'ensemble des attaques menées sur les sept familles de contrôles testées. Les bonnes pratiques attendues sont effectivement implémentées : requêtes paramétrées, exécution sans shell après validation stricte, jetons JWT signés, typés et expirables, contrôle d'accès par propriétaire, refus des champs non prévus, limitation de débit, en-têtes de sécurité complets et désactivation de la documentation en production.</w:t>
      </w:r>
    </w:p>
    <w:p>
      <w:pPr>
        <w:spacing w:after="200" w:before="0"/>
      </w:pPr>
      <w:r>
        <w:rPr>
          <w:b w:val="false"/>
          <w:bCs w:val="false"/>
          <w:i w:val="false"/>
          <w:iCs w:val="false"/>
          <w:color w:val="000000"/>
          <w:sz w:val="22"/>
          <w:szCs w:val="22"/>
        </w:rPr>
        <w:t xml:space="preserve">Aucune vulnérabilité critique ou élevée n'a été identifiée. L'ensemble des preuves est fourni en annexe sous forme de captures d'écran.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M1SPRO — Sécurité en Programmation · Confidentiel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595959"/>
        <w:sz w:val="16"/>
        <w:szCs w:val="16"/>
      </w:rPr>
      <w:t xml:space="preserve">secure_app — Rapport d'audit de sécurité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636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d'audit — secure_app</dc:title>
  <dc:creator>Marc BOHOUSSOU</dc:creator>
  <cp:lastModifiedBy>Un-named</cp:lastModifiedBy>
  <cp:revision>1</cp:revision>
  <dcterms:created xsi:type="dcterms:W3CDTF">2026-06-10T09:33:24.525Z</dcterms:created>
  <dcterms:modified xsi:type="dcterms:W3CDTF">2026-06-10T09:33:24.538Z</dcterms:modified>
</cp:coreProperties>
</file>

<file path=docProps/custom.xml><?xml version="1.0" encoding="utf-8"?>
<Properties xmlns="http://schemas.openxmlformats.org/officeDocument/2006/custom-properties" xmlns:vt="http://schemas.openxmlformats.org/officeDocument/2006/docPropsVTypes"/>
</file>