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F7351" w14:textId="77777777" w:rsidR="0090506C" w:rsidRDefault="001B205F">
      <w:pPr>
        <w:pStyle w:val="Heading1"/>
        <w:numPr>
          <w:ilvl w:val="0"/>
          <w:numId w:val="0"/>
        </w:numPr>
        <w:ind w:left="432" w:hanging="432"/>
        <w:jc w:val="center"/>
        <w:rPr>
          <w:b/>
          <w:color w:val="auto"/>
        </w:rPr>
      </w:pPr>
      <w:r>
        <w:rPr>
          <w:b/>
          <w:color w:val="auto"/>
        </w:rPr>
        <w:t>Australian Government Linked Data Working Group</w:t>
      </w:r>
    </w:p>
    <w:p w14:paraId="3047AE2A" w14:textId="77777777" w:rsidR="0090506C" w:rsidRDefault="001B205F">
      <w:pPr>
        <w:pStyle w:val="Heading1"/>
        <w:numPr>
          <w:ilvl w:val="0"/>
          <w:numId w:val="0"/>
        </w:numPr>
        <w:ind w:left="432" w:hanging="432"/>
        <w:jc w:val="center"/>
        <w:rPr>
          <w:rStyle w:val="Emphasis"/>
          <w:color w:val="auto"/>
        </w:rPr>
      </w:pPr>
      <w:r>
        <w:rPr>
          <w:rStyle w:val="Emphasis"/>
          <w:color w:val="auto"/>
        </w:rPr>
        <w:t>Working group plan</w:t>
      </w:r>
    </w:p>
    <w:p w14:paraId="48F13C87" w14:textId="77777777" w:rsidR="0090506C" w:rsidRDefault="001B205F">
      <w:pPr>
        <w:pStyle w:val="Heading1"/>
      </w:pPr>
      <w:r>
        <w:t>Introduction</w:t>
      </w:r>
    </w:p>
    <w:p w14:paraId="69ABD484" w14:textId="77777777" w:rsidR="0090506C" w:rsidRDefault="001B205F">
      <w:pPr>
        <w:pStyle w:val="Heading2"/>
        <w:rPr>
          <w:color w:val="auto"/>
          <w:sz w:val="24"/>
        </w:rPr>
      </w:pPr>
      <w:r>
        <w:rPr>
          <w:color w:val="auto"/>
          <w:sz w:val="24"/>
        </w:rPr>
        <w:t xml:space="preserve">The term “Linked Data” refers to a set of practices for publishing and linking structured data on the Internet. Data that is Linked Data is linked to other data and can in turn be linked to from other data. It is also data that is published in a machine-readable way meaning all terms used are explicitly defined both in formats and meaning. As Linked Data technologies advance and become more common place, it will be necessary for Government to become responsive to the needs of both its public, as well as its own entities. </w:t>
      </w:r>
    </w:p>
    <w:p w14:paraId="0004C51E" w14:textId="77777777" w:rsidR="0090506C" w:rsidRDefault="001B205F">
      <w:pPr>
        <w:pStyle w:val="Heading2"/>
        <w:rPr>
          <w:color w:val="auto"/>
          <w:sz w:val="24"/>
        </w:rPr>
      </w:pPr>
      <w:r>
        <w:rPr>
          <w:color w:val="auto"/>
          <w:sz w:val="24"/>
        </w:rPr>
        <w:t>Predefining standards for guidance and establishing technical mechanisms for Linked Data implementations will ensure individuals, businesses and organisations can benefit from the opportunities these technologies offer.</w:t>
      </w:r>
    </w:p>
    <w:p w14:paraId="520AB85C" w14:textId="7FCD8E1B" w:rsidR="0090506C" w:rsidRDefault="001B205F">
      <w:pPr>
        <w:pStyle w:val="Heading2"/>
        <w:rPr>
          <w:color w:val="auto"/>
          <w:sz w:val="24"/>
        </w:rPr>
      </w:pPr>
      <w:r>
        <w:rPr>
          <w:color w:val="auto"/>
          <w:sz w:val="24"/>
        </w:rPr>
        <w:t xml:space="preserve">Established in August 2012, the Australian Government Linked Data Working Group exists with support from the </w:t>
      </w:r>
      <w:r w:rsidR="00304766">
        <w:rPr>
          <w:color w:val="auto"/>
          <w:sz w:val="24"/>
        </w:rPr>
        <w:t xml:space="preserve">agencies that have signed the MOU. </w:t>
      </w:r>
      <w:r w:rsidR="00F23D4D">
        <w:rPr>
          <w:color w:val="auto"/>
          <w:sz w:val="24"/>
        </w:rPr>
        <w:t xml:space="preserve">Furthermore, </w:t>
      </w:r>
      <w:r w:rsidR="00D254EF">
        <w:rPr>
          <w:color w:val="auto"/>
          <w:sz w:val="24"/>
        </w:rPr>
        <w:t>CSIRO</w:t>
      </w:r>
      <w:r>
        <w:rPr>
          <w:color w:val="auto"/>
          <w:sz w:val="24"/>
        </w:rPr>
        <w:t xml:space="preserve"> and the Department of Finance, Online Services Branch</w:t>
      </w:r>
      <w:r w:rsidR="00DC0F70">
        <w:rPr>
          <w:color w:val="auto"/>
          <w:sz w:val="24"/>
        </w:rPr>
        <w:t xml:space="preserve"> who are</w:t>
      </w:r>
      <w:r w:rsidR="00CA6FEA">
        <w:rPr>
          <w:color w:val="auto"/>
          <w:sz w:val="24"/>
        </w:rPr>
        <w:t xml:space="preserve"> </w:t>
      </w:r>
      <w:r>
        <w:rPr>
          <w:color w:val="auto"/>
          <w:sz w:val="24"/>
        </w:rPr>
        <w:t xml:space="preserve">responsible for </w:t>
      </w:r>
      <w:r w:rsidR="00CA6FEA">
        <w:rPr>
          <w:color w:val="auto"/>
          <w:sz w:val="24"/>
        </w:rPr>
        <w:t xml:space="preserve">the </w:t>
      </w:r>
      <w:r>
        <w:rPr>
          <w:color w:val="auto"/>
          <w:sz w:val="24"/>
        </w:rPr>
        <w:t>open data policy</w:t>
      </w:r>
      <w:r w:rsidR="003272B0">
        <w:rPr>
          <w:color w:val="auto"/>
          <w:sz w:val="24"/>
        </w:rPr>
        <w:t xml:space="preserve"> also provide support</w:t>
      </w:r>
      <w:r>
        <w:rPr>
          <w:color w:val="auto"/>
          <w:sz w:val="24"/>
        </w:rPr>
        <w:t xml:space="preserve">. </w:t>
      </w:r>
      <w:r w:rsidR="00910DAB">
        <w:rPr>
          <w:color w:val="auto"/>
          <w:sz w:val="24"/>
        </w:rPr>
        <w:t xml:space="preserve">The Working Group’s </w:t>
      </w:r>
      <w:r w:rsidR="00A26B9F">
        <w:rPr>
          <w:color w:val="auto"/>
          <w:sz w:val="24"/>
        </w:rPr>
        <w:t>2018</w:t>
      </w:r>
      <w:r w:rsidR="00910DAB">
        <w:rPr>
          <w:color w:val="auto"/>
          <w:sz w:val="24"/>
        </w:rPr>
        <w:t xml:space="preserve"> MOU </w:t>
      </w:r>
      <w:r w:rsidR="002E476E">
        <w:rPr>
          <w:color w:val="auto"/>
          <w:sz w:val="24"/>
        </w:rPr>
        <w:t>saw</w:t>
      </w:r>
      <w:r w:rsidR="00AB2ACE">
        <w:rPr>
          <w:color w:val="auto"/>
          <w:sz w:val="24"/>
        </w:rPr>
        <w:t xml:space="preserve"> the relationship between the Digital Transformation Agency</w:t>
      </w:r>
      <w:r w:rsidR="00A26B9F">
        <w:rPr>
          <w:color w:val="auto"/>
          <w:sz w:val="24"/>
        </w:rPr>
        <w:t xml:space="preserve"> and the Working Group become formalized, providing surety that any domain name change would be </w:t>
      </w:r>
      <w:r w:rsidR="00717A53">
        <w:rPr>
          <w:color w:val="auto"/>
          <w:sz w:val="24"/>
        </w:rPr>
        <w:t>c</w:t>
      </w:r>
      <w:r w:rsidR="003C6AE9">
        <w:rPr>
          <w:color w:val="auto"/>
          <w:sz w:val="24"/>
        </w:rPr>
        <w:t>ompleted in negotiation with the W</w:t>
      </w:r>
      <w:r w:rsidR="00214646">
        <w:rPr>
          <w:color w:val="auto"/>
          <w:sz w:val="24"/>
        </w:rPr>
        <w:t>orking Group</w:t>
      </w:r>
      <w:r w:rsidR="00717A53">
        <w:rPr>
          <w:color w:val="auto"/>
          <w:sz w:val="24"/>
        </w:rPr>
        <w:t xml:space="preserve"> in recognition of the Working Group’s role in maintaining Persistent IDs</w:t>
      </w:r>
      <w:r w:rsidR="00DA015B">
        <w:rPr>
          <w:color w:val="auto"/>
          <w:sz w:val="24"/>
        </w:rPr>
        <w:t xml:space="preserve"> on behalf of the Australian Government. </w:t>
      </w:r>
      <w:r>
        <w:rPr>
          <w:color w:val="auto"/>
          <w:sz w:val="24"/>
        </w:rPr>
        <w:t>Its participating members have been drafting policy and technical guidance on the implementation of Linked Data for the Australian Government.</w:t>
      </w:r>
    </w:p>
    <w:p w14:paraId="004F7E90" w14:textId="77777777" w:rsidR="0090506C" w:rsidRDefault="001B205F">
      <w:pPr>
        <w:pStyle w:val="Heading1"/>
      </w:pPr>
      <w:r>
        <w:t>Objectives</w:t>
      </w:r>
    </w:p>
    <w:p w14:paraId="04B71330" w14:textId="77777777" w:rsidR="0090506C" w:rsidRPr="00AC27EB" w:rsidRDefault="001B205F" w:rsidP="00AC27EB">
      <w:pPr>
        <w:rPr>
          <w:rFonts w:asciiTheme="majorHAnsi" w:hAnsiTheme="majorHAnsi"/>
        </w:rPr>
      </w:pPr>
      <w:r w:rsidRPr="00AC27EB">
        <w:rPr>
          <w:rFonts w:asciiTheme="majorHAnsi" w:hAnsiTheme="majorHAnsi"/>
        </w:rPr>
        <w:t>The Australian Government Linked Data Working Group aims to:</w:t>
      </w:r>
    </w:p>
    <w:p w14:paraId="7E67C6BE" w14:textId="77777777" w:rsidR="0090506C" w:rsidRDefault="001B205F">
      <w:pPr>
        <w:pStyle w:val="Heading2"/>
        <w:rPr>
          <w:color w:val="auto"/>
          <w:sz w:val="24"/>
        </w:rPr>
      </w:pPr>
      <w:r>
        <w:rPr>
          <w:color w:val="auto"/>
          <w:sz w:val="24"/>
        </w:rPr>
        <w:t>Establish technical guidance for Australian Government agencies on publishing Australian Government public sector information using Linked Data as a delivery technology</w:t>
      </w:r>
    </w:p>
    <w:p w14:paraId="6E4058F9" w14:textId="77777777" w:rsidR="0090506C" w:rsidRDefault="001B205F">
      <w:pPr>
        <w:pStyle w:val="Heading2"/>
        <w:rPr>
          <w:color w:val="auto"/>
          <w:sz w:val="24"/>
        </w:rPr>
      </w:pPr>
      <w:r>
        <w:rPr>
          <w:color w:val="auto"/>
          <w:sz w:val="24"/>
        </w:rPr>
        <w:t xml:space="preserve">Determine governance rules and processes for the effective management of Australian Government Linked Data </w:t>
      </w:r>
    </w:p>
    <w:p w14:paraId="35A23C5F" w14:textId="77777777" w:rsidR="0090506C" w:rsidRDefault="001B205F">
      <w:pPr>
        <w:pStyle w:val="Heading2"/>
        <w:rPr>
          <w:color w:val="auto"/>
          <w:sz w:val="24"/>
        </w:rPr>
      </w:pPr>
      <w:r>
        <w:rPr>
          <w:color w:val="auto"/>
          <w:sz w:val="24"/>
        </w:rPr>
        <w:t>Promote and explain Linked Data and, in particular, the work of the group across the Australian Government</w:t>
      </w:r>
    </w:p>
    <w:p w14:paraId="2BF2E25A" w14:textId="77777777" w:rsidR="0090506C" w:rsidRDefault="001B205F">
      <w:pPr>
        <w:pStyle w:val="Heading2"/>
        <w:rPr>
          <w:color w:val="auto"/>
          <w:sz w:val="24"/>
        </w:rPr>
      </w:pPr>
      <w:r>
        <w:rPr>
          <w:color w:val="auto"/>
          <w:sz w:val="24"/>
        </w:rPr>
        <w:t>Engender the development of fundamental infrastructure and Linked Data implementations</w:t>
      </w:r>
    </w:p>
    <w:p w14:paraId="1FE2685F" w14:textId="77777777" w:rsidR="0090506C" w:rsidRPr="002F438D" w:rsidRDefault="0090506C" w:rsidP="002F438D">
      <w:pPr>
        <w:rPr>
          <w:rFonts w:asciiTheme="minorHAnsi" w:hAnsiTheme="minorHAnsi" w:cstheme="minorBidi"/>
          <w:sz w:val="22"/>
          <w:szCs w:val="22"/>
        </w:rPr>
      </w:pPr>
    </w:p>
    <w:p w14:paraId="4BCAB78A" w14:textId="77777777" w:rsidR="0090506C" w:rsidRPr="002F438D" w:rsidRDefault="0090506C" w:rsidP="002F438D">
      <w:pPr>
        <w:rPr>
          <w:rFonts w:asciiTheme="minorHAnsi" w:hAnsiTheme="minorHAnsi" w:cstheme="minorBidi"/>
          <w:sz w:val="22"/>
          <w:szCs w:val="22"/>
        </w:rPr>
      </w:pPr>
    </w:p>
    <w:p w14:paraId="3AEFF75C" w14:textId="77777777" w:rsidR="0090506C" w:rsidRPr="002F438D" w:rsidRDefault="0090506C" w:rsidP="002F438D">
      <w:pPr>
        <w:rPr>
          <w:rFonts w:asciiTheme="minorHAnsi" w:hAnsiTheme="minorHAnsi" w:cstheme="minorBidi"/>
          <w:sz w:val="22"/>
          <w:szCs w:val="22"/>
        </w:rPr>
      </w:pPr>
    </w:p>
    <w:p w14:paraId="22F1502D" w14:textId="77777777" w:rsidR="0090506C" w:rsidRDefault="001B205F">
      <w:pPr>
        <w:pStyle w:val="Heading1"/>
      </w:pPr>
      <w:r>
        <w:lastRenderedPageBreak/>
        <w:t xml:space="preserve">Terms of Reference </w:t>
      </w:r>
    </w:p>
    <w:p w14:paraId="1E9D9A54" w14:textId="77777777" w:rsidR="0090506C" w:rsidRDefault="001B205F">
      <w:pPr>
        <w:pStyle w:val="Heading2"/>
        <w:numPr>
          <w:ilvl w:val="0"/>
          <w:numId w:val="0"/>
        </w:numPr>
        <w:rPr>
          <w:color w:val="auto"/>
          <w:sz w:val="24"/>
        </w:rPr>
      </w:pPr>
      <w:r>
        <w:rPr>
          <w:color w:val="auto"/>
          <w:sz w:val="24"/>
        </w:rPr>
        <w:t>The Australian Government Linked Data Working Group (AGLDWG, the Working Group) will work to:</w:t>
      </w:r>
    </w:p>
    <w:p w14:paraId="1F364309" w14:textId="77777777" w:rsidR="0090506C" w:rsidRDefault="001B205F">
      <w:pPr>
        <w:pStyle w:val="Heading2"/>
        <w:rPr>
          <w:color w:val="auto"/>
          <w:sz w:val="24"/>
        </w:rPr>
      </w:pPr>
      <w:r>
        <w:rPr>
          <w:color w:val="auto"/>
          <w:sz w:val="24"/>
        </w:rPr>
        <w:t xml:space="preserve">Develop technical guidelines and best practices on the publication of ‘Linked Data’ by Australian Government (AG) agencies </w:t>
      </w:r>
    </w:p>
    <w:p w14:paraId="7FB684C9" w14:textId="77777777" w:rsidR="0090506C" w:rsidRDefault="001B205F">
      <w:pPr>
        <w:pStyle w:val="Heading2"/>
        <w:rPr>
          <w:color w:val="auto"/>
          <w:sz w:val="24"/>
        </w:rPr>
      </w:pPr>
      <w:r>
        <w:rPr>
          <w:color w:val="auto"/>
          <w:sz w:val="24"/>
        </w:rPr>
        <w:t>Develop technical guidelines and best practice to encourage the use of ‘Linked Data’ by individuals, businesses and organisations including AG agencies</w:t>
      </w:r>
    </w:p>
    <w:p w14:paraId="18110F07" w14:textId="7F575EC1" w:rsidR="0090506C" w:rsidRDefault="001B205F">
      <w:pPr>
        <w:pStyle w:val="Heading2"/>
        <w:rPr>
          <w:color w:val="auto"/>
          <w:sz w:val="24"/>
        </w:rPr>
      </w:pPr>
      <w:r>
        <w:rPr>
          <w:color w:val="auto"/>
          <w:sz w:val="24"/>
        </w:rPr>
        <w:t>Promote the benefits and encourage adoption of ‘Linked Data’ for publishing AG Public Sector Information (PSI) and Open Data</w:t>
      </w:r>
    </w:p>
    <w:p w14:paraId="617A4AB2" w14:textId="77777777" w:rsidR="0090506C" w:rsidRDefault="001B205F">
      <w:pPr>
        <w:pStyle w:val="Heading2"/>
        <w:rPr>
          <w:color w:val="auto"/>
          <w:sz w:val="24"/>
        </w:rPr>
      </w:pPr>
      <w:r>
        <w:rPr>
          <w:color w:val="auto"/>
          <w:sz w:val="24"/>
        </w:rPr>
        <w:t>Collaborate with Australian interest groups and communities of practice relevant to government Linked Data</w:t>
      </w:r>
    </w:p>
    <w:p w14:paraId="2B906F9F" w14:textId="77777777" w:rsidR="0090506C" w:rsidRDefault="001B205F">
      <w:pPr>
        <w:pStyle w:val="Heading2"/>
        <w:rPr>
          <w:color w:val="auto"/>
          <w:sz w:val="24"/>
        </w:rPr>
      </w:pPr>
      <w:r>
        <w:rPr>
          <w:color w:val="auto"/>
          <w:sz w:val="24"/>
        </w:rPr>
        <w:t>Provide advice relating to the development of data.gov.au as a platform for publishing AG PSI and Open Data</w:t>
      </w:r>
    </w:p>
    <w:p w14:paraId="5F17023F" w14:textId="77777777" w:rsidR="0090506C" w:rsidRDefault="001B205F">
      <w:pPr>
        <w:pStyle w:val="Heading2"/>
        <w:rPr>
          <w:color w:val="auto"/>
          <w:sz w:val="24"/>
        </w:rPr>
      </w:pPr>
      <w:r>
        <w:rPr>
          <w:color w:val="auto"/>
          <w:sz w:val="24"/>
        </w:rPr>
        <w:t>Where appropriate, undertake specific activities and coordinate projects in pursuit of these objectives</w:t>
      </w:r>
    </w:p>
    <w:p w14:paraId="10BE22C6" w14:textId="7AEDBCF4" w:rsidR="0090506C" w:rsidRDefault="001B205F">
      <w:pPr>
        <w:pStyle w:val="Heading2"/>
        <w:rPr>
          <w:color w:val="auto"/>
          <w:sz w:val="24"/>
        </w:rPr>
      </w:pPr>
      <w:r>
        <w:rPr>
          <w:color w:val="auto"/>
          <w:sz w:val="24"/>
        </w:rPr>
        <w:t>Contribute to relevant international working groups and committees (e.g. ISO, OGC, W3C) as appropriate</w:t>
      </w:r>
    </w:p>
    <w:p w14:paraId="0D76E7B6" w14:textId="3F17655E" w:rsidR="00062145" w:rsidRPr="005C1EF4" w:rsidRDefault="00062145" w:rsidP="00CA6FEA">
      <w:pPr>
        <w:rPr>
          <w:rFonts w:cstheme="majorHAnsi"/>
        </w:rPr>
      </w:pPr>
      <w:r w:rsidRPr="00CA6FEA">
        <w:rPr>
          <w:rFonts w:asciiTheme="majorHAnsi" w:hAnsiTheme="majorHAnsi" w:cstheme="majorHAnsi"/>
        </w:rPr>
        <w:t>The group should actively work to develop stronger networks across all levels of government</w:t>
      </w:r>
      <w:r w:rsidR="00AD20DA" w:rsidRPr="00CA6FEA">
        <w:rPr>
          <w:rFonts w:asciiTheme="majorHAnsi" w:hAnsiTheme="majorHAnsi" w:cstheme="majorHAnsi"/>
        </w:rPr>
        <w:t xml:space="preserve"> and engender </w:t>
      </w:r>
      <w:r w:rsidR="000524FD" w:rsidRPr="00CA6FEA">
        <w:rPr>
          <w:rFonts w:asciiTheme="majorHAnsi" w:hAnsiTheme="majorHAnsi" w:cstheme="majorHAnsi"/>
        </w:rPr>
        <w:t xml:space="preserve">recognition and </w:t>
      </w:r>
      <w:r w:rsidR="000A79CC" w:rsidRPr="00CA6FEA">
        <w:rPr>
          <w:rFonts w:asciiTheme="majorHAnsi" w:hAnsiTheme="majorHAnsi" w:cstheme="majorHAnsi"/>
        </w:rPr>
        <w:t>use of Linked Data</w:t>
      </w:r>
    </w:p>
    <w:p w14:paraId="6948D161" w14:textId="77777777" w:rsidR="0090506C" w:rsidRDefault="001B205F">
      <w:pPr>
        <w:pStyle w:val="Heading1"/>
      </w:pPr>
      <w:r>
        <w:t>Governance</w:t>
      </w:r>
    </w:p>
    <w:p w14:paraId="29957312" w14:textId="59DEE76A" w:rsidR="0090506C" w:rsidRPr="00CA6FEA" w:rsidRDefault="001B205F" w:rsidP="006E5D54">
      <w:pPr>
        <w:rPr>
          <w:rFonts w:asciiTheme="majorHAnsi" w:eastAsia="Times New Roman" w:hAnsiTheme="majorHAnsi" w:cstheme="majorHAnsi"/>
          <w:lang w:val="en-GB" w:eastAsia="en-GB"/>
        </w:rPr>
      </w:pPr>
      <w:r w:rsidRPr="00CA6FEA">
        <w:rPr>
          <w:rFonts w:asciiTheme="majorHAnsi" w:hAnsiTheme="majorHAnsi" w:cstheme="majorHAnsi"/>
        </w:rPr>
        <w:t xml:space="preserve">The Working Group shall operate </w:t>
      </w:r>
      <w:r w:rsidR="00184F31" w:rsidRPr="00CA6FEA">
        <w:rPr>
          <w:rFonts w:asciiTheme="majorHAnsi" w:hAnsiTheme="majorHAnsi" w:cstheme="majorHAnsi"/>
        </w:rPr>
        <w:t>under</w:t>
      </w:r>
      <w:r w:rsidR="002F438D" w:rsidRPr="00CA6FEA">
        <w:rPr>
          <w:rFonts w:asciiTheme="majorHAnsi" w:hAnsiTheme="majorHAnsi" w:cstheme="majorHAnsi"/>
        </w:rPr>
        <w:t xml:space="preserve"> a Chair </w:t>
      </w:r>
      <w:r w:rsidR="009C124F" w:rsidRPr="00CA6FEA">
        <w:rPr>
          <w:rFonts w:asciiTheme="majorHAnsi" w:eastAsia="Times New Roman" w:hAnsiTheme="majorHAnsi" w:cstheme="majorHAnsi"/>
          <w:b/>
          <w:bCs/>
          <w:i/>
          <w:iCs/>
          <w:color w:val="000000"/>
          <w:sz w:val="22"/>
          <w:szCs w:val="22"/>
        </w:rPr>
        <w:t>(or more than one co-Chair)</w:t>
      </w:r>
      <w:r w:rsidR="009C124F" w:rsidRPr="00CA6FEA">
        <w:rPr>
          <w:rStyle w:val="apple-converted-space"/>
          <w:rFonts w:asciiTheme="majorHAnsi" w:eastAsia="Times New Roman" w:hAnsiTheme="majorHAnsi" w:cstheme="majorHAnsi"/>
          <w:i/>
          <w:iCs/>
          <w:color w:val="000000"/>
          <w:sz w:val="22"/>
          <w:szCs w:val="22"/>
        </w:rPr>
        <w:t> </w:t>
      </w:r>
      <w:r w:rsidR="002F438D" w:rsidRPr="00CA6FEA">
        <w:rPr>
          <w:rFonts w:asciiTheme="majorHAnsi" w:hAnsiTheme="majorHAnsi" w:cstheme="majorHAnsi"/>
        </w:rPr>
        <w:t>and a Secretariat who are responsible for:</w:t>
      </w:r>
      <w:r w:rsidRPr="00CA6FEA">
        <w:rPr>
          <w:rFonts w:asciiTheme="majorHAnsi" w:hAnsiTheme="majorHAnsi" w:cstheme="majorHAnsi"/>
        </w:rPr>
        <w:t xml:space="preserve"> </w:t>
      </w:r>
    </w:p>
    <w:p w14:paraId="058E5B85" w14:textId="062CA8CD" w:rsidR="0090506C" w:rsidRDefault="001B205F">
      <w:pPr>
        <w:pStyle w:val="Heading3"/>
        <w:rPr>
          <w:color w:val="auto"/>
          <w:sz w:val="22"/>
        </w:rPr>
      </w:pPr>
      <w:r>
        <w:rPr>
          <w:color w:val="auto"/>
          <w:sz w:val="22"/>
        </w:rPr>
        <w:t xml:space="preserve">providing strategic direction across the Working Group in line with government </w:t>
      </w:r>
      <w:r w:rsidR="00D301C0">
        <w:rPr>
          <w:color w:val="auto"/>
          <w:sz w:val="22"/>
        </w:rPr>
        <w:t>priorities and</w:t>
      </w:r>
      <w:r>
        <w:rPr>
          <w:color w:val="auto"/>
          <w:sz w:val="22"/>
        </w:rPr>
        <w:t xml:space="preserve"> policy; </w:t>
      </w:r>
    </w:p>
    <w:p w14:paraId="2A5B9C59" w14:textId="0C436FC1" w:rsidR="0090506C" w:rsidRDefault="001B205F">
      <w:pPr>
        <w:pStyle w:val="Heading3"/>
        <w:rPr>
          <w:color w:val="auto"/>
          <w:sz w:val="22"/>
        </w:rPr>
      </w:pPr>
      <w:r>
        <w:rPr>
          <w:color w:val="auto"/>
          <w:sz w:val="22"/>
        </w:rPr>
        <w:t xml:space="preserve">addressing cross-agency issues and conflicts referred to it by Working Group </w:t>
      </w:r>
      <w:r w:rsidR="00184F31">
        <w:rPr>
          <w:color w:val="auto"/>
          <w:sz w:val="22"/>
        </w:rPr>
        <w:t xml:space="preserve">Members </w:t>
      </w:r>
      <w:r>
        <w:rPr>
          <w:color w:val="auto"/>
          <w:sz w:val="22"/>
        </w:rPr>
        <w:t>and recommending corrective action through appropriate negotiation and/or escalation;</w:t>
      </w:r>
    </w:p>
    <w:p w14:paraId="1789D4D5" w14:textId="1223003B" w:rsidR="0090506C" w:rsidRDefault="001B205F">
      <w:pPr>
        <w:pStyle w:val="Heading3"/>
        <w:rPr>
          <w:color w:val="auto"/>
          <w:sz w:val="22"/>
        </w:rPr>
      </w:pPr>
      <w:r>
        <w:rPr>
          <w:color w:val="auto"/>
          <w:sz w:val="22"/>
        </w:rPr>
        <w:t xml:space="preserve">addressing items of risk and other issues as referred by the Working Group </w:t>
      </w:r>
      <w:r w:rsidR="00184F31">
        <w:rPr>
          <w:color w:val="auto"/>
          <w:sz w:val="22"/>
        </w:rPr>
        <w:t xml:space="preserve">Members </w:t>
      </w:r>
      <w:r>
        <w:rPr>
          <w:color w:val="auto"/>
          <w:sz w:val="22"/>
        </w:rPr>
        <w:t xml:space="preserve">and recommending action; </w:t>
      </w:r>
    </w:p>
    <w:p w14:paraId="027E5E24" w14:textId="77777777" w:rsidR="00224736" w:rsidRDefault="001B205F">
      <w:pPr>
        <w:pStyle w:val="Heading3"/>
        <w:rPr>
          <w:color w:val="auto"/>
          <w:sz w:val="22"/>
        </w:rPr>
      </w:pPr>
      <w:r>
        <w:rPr>
          <w:color w:val="auto"/>
          <w:sz w:val="22"/>
        </w:rPr>
        <w:t>monitoring and reviewing the working group work plan implementation against the terms of reference on a regular basis.</w:t>
      </w:r>
      <w:r w:rsidR="00224736">
        <w:rPr>
          <w:color w:val="auto"/>
          <w:sz w:val="22"/>
        </w:rPr>
        <w:br w:type="page"/>
      </w:r>
    </w:p>
    <w:p w14:paraId="01645077" w14:textId="77777777" w:rsidR="0090506C" w:rsidRPr="005F168C" w:rsidRDefault="001B205F">
      <w:pPr>
        <w:pStyle w:val="Heading2"/>
        <w:rPr>
          <w:color w:val="auto"/>
          <w:sz w:val="24"/>
        </w:rPr>
      </w:pPr>
      <w:r w:rsidRPr="005F168C">
        <w:rPr>
          <w:color w:val="auto"/>
          <w:sz w:val="24"/>
        </w:rPr>
        <w:lastRenderedPageBreak/>
        <w:t>The working group will be responsible for:</w:t>
      </w:r>
    </w:p>
    <w:p w14:paraId="006F93EA" w14:textId="77777777" w:rsidR="0090506C" w:rsidRPr="005F168C" w:rsidRDefault="001B205F">
      <w:pPr>
        <w:pStyle w:val="Heading3"/>
        <w:rPr>
          <w:color w:val="auto"/>
        </w:rPr>
      </w:pPr>
      <w:r w:rsidRPr="005F168C">
        <w:rPr>
          <w:color w:val="auto"/>
        </w:rPr>
        <w:t xml:space="preserve">Office Bearers </w:t>
      </w:r>
    </w:p>
    <w:p w14:paraId="538A31B4" w14:textId="0C0160E3" w:rsidR="0090506C" w:rsidRPr="005F168C" w:rsidRDefault="001B205F" w:rsidP="004574B1">
      <w:pPr>
        <w:pStyle w:val="Heading4"/>
        <w:rPr>
          <w:i w:val="0"/>
          <w:color w:val="auto"/>
        </w:rPr>
      </w:pPr>
      <w:r w:rsidRPr="005F168C">
        <w:rPr>
          <w:i w:val="0"/>
          <w:color w:val="auto"/>
        </w:rPr>
        <w:t xml:space="preserve">will comprise two annual positions; Chair </w:t>
      </w:r>
      <w:r w:rsidR="009C124F" w:rsidRPr="005F168C">
        <w:rPr>
          <w:bCs/>
          <w:i w:val="0"/>
          <w:color w:val="auto"/>
          <w:lang w:val="en-GB"/>
        </w:rPr>
        <w:t>(or co-Chairs)</w:t>
      </w:r>
      <w:r w:rsidR="009C124F" w:rsidRPr="005F168C">
        <w:rPr>
          <w:b/>
          <w:bCs/>
          <w:i w:val="0"/>
          <w:color w:val="auto"/>
          <w:lang w:val="en-GB"/>
        </w:rPr>
        <w:t xml:space="preserve"> </w:t>
      </w:r>
      <w:r w:rsidRPr="005F168C">
        <w:rPr>
          <w:i w:val="0"/>
          <w:color w:val="auto"/>
        </w:rPr>
        <w:t>and Secretariat, where one position shall be held by an Australian Government agency representative</w:t>
      </w:r>
    </w:p>
    <w:p w14:paraId="77A1A67B" w14:textId="77777777" w:rsidR="0090506C" w:rsidRPr="005F168C" w:rsidRDefault="001B205F">
      <w:pPr>
        <w:pStyle w:val="Heading4"/>
        <w:rPr>
          <w:i w:val="0"/>
          <w:color w:val="auto"/>
        </w:rPr>
      </w:pPr>
      <w:r w:rsidRPr="005F168C">
        <w:rPr>
          <w:i w:val="0"/>
          <w:color w:val="auto"/>
        </w:rPr>
        <w:t>are determined by a vote of the formal membership of the working group</w:t>
      </w:r>
    </w:p>
    <w:p w14:paraId="3E926BC8" w14:textId="77777777" w:rsidR="0090506C" w:rsidRPr="005F168C" w:rsidRDefault="001B205F">
      <w:pPr>
        <w:pStyle w:val="Heading3"/>
        <w:rPr>
          <w:color w:val="auto"/>
        </w:rPr>
      </w:pPr>
      <w:r w:rsidRPr="005F168C">
        <w:rPr>
          <w:color w:val="auto"/>
        </w:rPr>
        <w:t xml:space="preserve">Sub-working groups </w:t>
      </w:r>
    </w:p>
    <w:p w14:paraId="123DB612" w14:textId="77777777" w:rsidR="0090506C" w:rsidRPr="005F168C" w:rsidRDefault="001B205F">
      <w:pPr>
        <w:pStyle w:val="Heading4"/>
        <w:rPr>
          <w:i w:val="0"/>
          <w:color w:val="auto"/>
        </w:rPr>
      </w:pPr>
      <w:r w:rsidRPr="005F168C">
        <w:rPr>
          <w:i w:val="0"/>
          <w:color w:val="auto"/>
        </w:rPr>
        <w:t>to focus on delivering key elements required for the implementation of Linked Data</w:t>
      </w:r>
    </w:p>
    <w:p w14:paraId="647E7EEB" w14:textId="41B5BBA6" w:rsidR="0090506C" w:rsidRPr="005F168C" w:rsidRDefault="001B205F">
      <w:pPr>
        <w:pStyle w:val="Heading4"/>
        <w:rPr>
          <w:i w:val="0"/>
          <w:color w:val="auto"/>
        </w:rPr>
      </w:pPr>
      <w:r w:rsidRPr="005F168C">
        <w:rPr>
          <w:i w:val="0"/>
          <w:color w:val="auto"/>
        </w:rPr>
        <w:t>will report on progress to the Chair</w:t>
      </w:r>
    </w:p>
    <w:p w14:paraId="63D7E7EB" w14:textId="2B21BB1B" w:rsidR="0090506C" w:rsidRPr="005F168C" w:rsidRDefault="001B205F" w:rsidP="002F438D">
      <w:pPr>
        <w:pStyle w:val="Heading2"/>
        <w:rPr>
          <w:color w:val="auto"/>
        </w:rPr>
      </w:pPr>
      <w:r w:rsidRPr="005F168C">
        <w:rPr>
          <w:color w:val="auto"/>
        </w:rPr>
        <w:t>Annual General Meeting</w:t>
      </w:r>
    </w:p>
    <w:p w14:paraId="6CE90772" w14:textId="77777777" w:rsidR="0090506C" w:rsidRPr="005F168C" w:rsidRDefault="001B205F" w:rsidP="002F438D">
      <w:pPr>
        <w:pStyle w:val="Heading3"/>
        <w:rPr>
          <w:color w:val="auto"/>
        </w:rPr>
      </w:pPr>
      <w:r w:rsidRPr="005F168C">
        <w:rPr>
          <w:color w:val="auto"/>
        </w:rPr>
        <w:t xml:space="preserve">There shall be an Annual General Meeting in the first quarter of each financial year </w:t>
      </w:r>
      <w:bookmarkStart w:id="0" w:name="_GoBack"/>
      <w:bookmarkEnd w:id="0"/>
      <w:r w:rsidRPr="005F168C">
        <w:rPr>
          <w:color w:val="auto"/>
        </w:rPr>
        <w:t>where:</w:t>
      </w:r>
    </w:p>
    <w:p w14:paraId="42CFA1E4" w14:textId="4813D612" w:rsidR="0090506C" w:rsidRPr="005F168C" w:rsidRDefault="00AC27EB" w:rsidP="002F438D">
      <w:pPr>
        <w:pStyle w:val="Heading4"/>
        <w:rPr>
          <w:i w:val="0"/>
          <w:color w:val="auto"/>
        </w:rPr>
      </w:pPr>
      <w:r w:rsidRPr="005F168C">
        <w:rPr>
          <w:i w:val="0"/>
          <w:color w:val="auto"/>
        </w:rPr>
        <w:t>O</w:t>
      </w:r>
      <w:r w:rsidR="001B205F" w:rsidRPr="005F168C">
        <w:rPr>
          <w:i w:val="0"/>
          <w:color w:val="auto"/>
        </w:rPr>
        <w:t xml:space="preserve">ffice bearers shall be voted for and </w:t>
      </w:r>
    </w:p>
    <w:p w14:paraId="32827CDF" w14:textId="7A547345" w:rsidR="0090506C" w:rsidRPr="005F168C" w:rsidRDefault="00AC27EB" w:rsidP="002F438D">
      <w:pPr>
        <w:pStyle w:val="Heading4"/>
        <w:rPr>
          <w:i w:val="0"/>
          <w:color w:val="auto"/>
        </w:rPr>
      </w:pPr>
      <w:r w:rsidRPr="005F168C">
        <w:rPr>
          <w:i w:val="0"/>
          <w:color w:val="auto"/>
        </w:rPr>
        <w:t>c</w:t>
      </w:r>
      <w:r w:rsidR="001B205F" w:rsidRPr="005F168C">
        <w:rPr>
          <w:i w:val="0"/>
          <w:color w:val="auto"/>
        </w:rPr>
        <w:t xml:space="preserve">hanges to this Terms of Reference, if any, shall be discussed, voted on and then referred to the </w:t>
      </w:r>
      <w:r w:rsidR="006A65DA" w:rsidRPr="005F168C">
        <w:rPr>
          <w:i w:val="0"/>
          <w:color w:val="auto"/>
        </w:rPr>
        <w:t>Core Working Group</w:t>
      </w:r>
      <w:r w:rsidR="001B205F" w:rsidRPr="005F168C">
        <w:rPr>
          <w:i w:val="0"/>
          <w:color w:val="auto"/>
        </w:rPr>
        <w:t xml:space="preserve"> for finalisation</w:t>
      </w:r>
      <w:r w:rsidRPr="005F168C">
        <w:rPr>
          <w:i w:val="0"/>
          <w:color w:val="auto"/>
        </w:rPr>
        <w:t>.</w:t>
      </w:r>
    </w:p>
    <w:p w14:paraId="52FD5712" w14:textId="3751EF64" w:rsidR="00AC27EB" w:rsidRPr="005F168C" w:rsidRDefault="00AC27EB" w:rsidP="002F438D">
      <w:pPr>
        <w:pStyle w:val="Heading4"/>
        <w:rPr>
          <w:i w:val="0"/>
          <w:color w:val="auto"/>
        </w:rPr>
      </w:pPr>
      <w:r w:rsidRPr="005F168C">
        <w:rPr>
          <w:i w:val="0"/>
          <w:color w:val="auto"/>
        </w:rPr>
        <w:t>E</w:t>
      </w:r>
      <w:r w:rsidR="001B205F" w:rsidRPr="005F168C">
        <w:rPr>
          <w:i w:val="0"/>
          <w:color w:val="auto"/>
        </w:rPr>
        <w:t xml:space="preserve">ach formal member organisation </w:t>
      </w:r>
      <w:r w:rsidRPr="005F168C">
        <w:rPr>
          <w:i w:val="0"/>
          <w:color w:val="auto"/>
        </w:rPr>
        <w:t xml:space="preserve">shall </w:t>
      </w:r>
      <w:r w:rsidR="001B205F" w:rsidRPr="005F168C">
        <w:rPr>
          <w:i w:val="0"/>
          <w:color w:val="auto"/>
        </w:rPr>
        <w:t>be represented at the meeting</w:t>
      </w:r>
      <w:r w:rsidRPr="005F168C">
        <w:rPr>
          <w:i w:val="0"/>
          <w:color w:val="auto"/>
        </w:rPr>
        <w:t xml:space="preserve"> and </w:t>
      </w:r>
    </w:p>
    <w:p w14:paraId="58E44EF6" w14:textId="596CFA31" w:rsidR="0090506C" w:rsidRPr="005F168C" w:rsidRDefault="00AC27EB" w:rsidP="002F438D">
      <w:pPr>
        <w:pStyle w:val="Heading4"/>
        <w:rPr>
          <w:i w:val="0"/>
          <w:color w:val="auto"/>
        </w:rPr>
      </w:pPr>
      <w:bookmarkStart w:id="1" w:name="_Ref299897033"/>
      <w:r w:rsidRPr="005F168C">
        <w:rPr>
          <w:i w:val="0"/>
          <w:color w:val="auto"/>
        </w:rPr>
        <w:t>a</w:t>
      </w:r>
      <w:r w:rsidR="001B205F" w:rsidRPr="005F168C">
        <w:rPr>
          <w:i w:val="0"/>
          <w:color w:val="auto"/>
        </w:rPr>
        <w:t xml:space="preserve"> majority voting rule shall apply</w:t>
      </w:r>
      <w:r w:rsidRPr="005F168C">
        <w:rPr>
          <w:i w:val="0"/>
          <w:color w:val="auto"/>
        </w:rPr>
        <w:t>, with one vote per member organisation, cast by a nominee of that organisation.</w:t>
      </w:r>
      <w:bookmarkEnd w:id="1"/>
    </w:p>
    <w:p w14:paraId="49B620B0" w14:textId="77777777" w:rsidR="0090506C" w:rsidRDefault="001B205F">
      <w:pPr>
        <w:pStyle w:val="Heading1"/>
      </w:pPr>
      <w:r>
        <w:t>Sub-Working groups</w:t>
      </w:r>
    </w:p>
    <w:p w14:paraId="6B10DA4C" w14:textId="77777777" w:rsidR="0090506C" w:rsidRDefault="001B205F">
      <w:pPr>
        <w:pStyle w:val="Heading2"/>
        <w:rPr>
          <w:color w:val="auto"/>
        </w:rPr>
      </w:pPr>
      <w:r>
        <w:rPr>
          <w:color w:val="auto"/>
        </w:rPr>
        <w:t>Visibility sub-group</w:t>
      </w:r>
    </w:p>
    <w:p w14:paraId="00939810" w14:textId="3448865E" w:rsidR="0090506C" w:rsidRPr="005F168C" w:rsidRDefault="001B205F">
      <w:pPr>
        <w:pStyle w:val="Heading3"/>
        <w:rPr>
          <w:color w:val="auto"/>
        </w:rPr>
      </w:pPr>
      <w:r w:rsidRPr="005F168C">
        <w:rPr>
          <w:color w:val="auto"/>
        </w:rPr>
        <w:t xml:space="preserve">Attendance and presentations to </w:t>
      </w:r>
      <w:r w:rsidR="00043314" w:rsidRPr="005F168C">
        <w:rPr>
          <w:color w:val="auto"/>
        </w:rPr>
        <w:t xml:space="preserve">relevant </w:t>
      </w:r>
      <w:r w:rsidR="009131DA" w:rsidRPr="005F168C">
        <w:rPr>
          <w:color w:val="auto"/>
        </w:rPr>
        <w:t>forums</w:t>
      </w:r>
      <w:r w:rsidR="00CA6FEA" w:rsidRPr="005F168C">
        <w:rPr>
          <w:color w:val="auto"/>
        </w:rPr>
        <w:t xml:space="preserve">, </w:t>
      </w:r>
      <w:r w:rsidR="009131DA" w:rsidRPr="005F168C">
        <w:rPr>
          <w:color w:val="auto"/>
        </w:rPr>
        <w:t>and/or workshops</w:t>
      </w:r>
      <w:r w:rsidR="00BF14A1" w:rsidRPr="005F168C">
        <w:rPr>
          <w:color w:val="auto"/>
        </w:rPr>
        <w:t>.</w:t>
      </w:r>
    </w:p>
    <w:p w14:paraId="12D8DD44" w14:textId="5DA21943" w:rsidR="00BF14A1" w:rsidRPr="005F168C" w:rsidRDefault="00BF14A1" w:rsidP="00923021">
      <w:pPr>
        <w:pStyle w:val="Heading3"/>
        <w:rPr>
          <w:color w:val="auto"/>
        </w:rPr>
      </w:pPr>
      <w:r w:rsidRPr="005F168C">
        <w:rPr>
          <w:color w:val="auto"/>
        </w:rPr>
        <w:t xml:space="preserve">Development of a communication strategy and calendar </w:t>
      </w:r>
      <w:r w:rsidR="00F23CF9" w:rsidRPr="005F168C">
        <w:rPr>
          <w:color w:val="auto"/>
        </w:rPr>
        <w:t xml:space="preserve">of events </w:t>
      </w:r>
      <w:r w:rsidRPr="005F168C">
        <w:rPr>
          <w:color w:val="auto"/>
        </w:rPr>
        <w:t>each year.</w:t>
      </w:r>
    </w:p>
    <w:p w14:paraId="31C1841A" w14:textId="77777777" w:rsidR="0090506C" w:rsidRDefault="001B205F">
      <w:pPr>
        <w:pStyle w:val="Heading3"/>
        <w:rPr>
          <w:color w:val="auto"/>
        </w:rPr>
      </w:pPr>
      <w:r>
        <w:rPr>
          <w:color w:val="auto"/>
        </w:rPr>
        <w:t>Blog entries, newsletters, APS notification, etc.</w:t>
      </w:r>
    </w:p>
    <w:p w14:paraId="67F5A6FF" w14:textId="77777777" w:rsidR="0090506C" w:rsidRDefault="001B205F">
      <w:pPr>
        <w:pStyle w:val="Heading2"/>
        <w:rPr>
          <w:color w:val="auto"/>
        </w:rPr>
      </w:pPr>
      <w:r>
        <w:rPr>
          <w:color w:val="auto"/>
        </w:rPr>
        <w:t>Recommendations sub-group</w:t>
      </w:r>
    </w:p>
    <w:p w14:paraId="56147567" w14:textId="77777777" w:rsidR="0090506C" w:rsidRDefault="001B205F">
      <w:pPr>
        <w:pStyle w:val="Heading3"/>
        <w:rPr>
          <w:color w:val="auto"/>
        </w:rPr>
      </w:pPr>
      <w:r>
        <w:rPr>
          <w:color w:val="auto"/>
        </w:rPr>
        <w:t>Development of guidelines, guidance and ontologies.</w:t>
      </w:r>
    </w:p>
    <w:p w14:paraId="69E8D86B" w14:textId="77777777" w:rsidR="0090506C" w:rsidRDefault="001B205F">
      <w:pPr>
        <w:pStyle w:val="Heading3"/>
        <w:rPr>
          <w:color w:val="auto"/>
        </w:rPr>
      </w:pPr>
      <w:r>
        <w:rPr>
          <w:color w:val="auto"/>
        </w:rPr>
        <w:t>Publishing outputs in accessible web space.</w:t>
      </w:r>
    </w:p>
    <w:p w14:paraId="24C35F35" w14:textId="5D17F574" w:rsidR="0090506C" w:rsidRDefault="001B205F">
      <w:pPr>
        <w:pStyle w:val="Heading3"/>
        <w:rPr>
          <w:color w:val="auto"/>
        </w:rPr>
      </w:pPr>
      <w:r>
        <w:rPr>
          <w:color w:val="auto"/>
        </w:rPr>
        <w:t>Review and maintenance of guidelines and ontologies in the context of other initiatives such as W3C Data On the Web Best Practices (</w:t>
      </w:r>
      <w:r w:rsidR="00885756" w:rsidRPr="00885756">
        <w:rPr>
          <w:color w:val="auto"/>
        </w:rPr>
        <w:t>http://w3c.github.io/dwbp/bp.html</w:t>
      </w:r>
      <w:r>
        <w:rPr>
          <w:color w:val="auto"/>
        </w:rPr>
        <w:t>)</w:t>
      </w:r>
    </w:p>
    <w:p w14:paraId="76284207" w14:textId="77777777" w:rsidR="0090506C" w:rsidRDefault="001B205F">
      <w:pPr>
        <w:pStyle w:val="Heading2"/>
        <w:rPr>
          <w:color w:val="auto"/>
        </w:rPr>
      </w:pPr>
      <w:r>
        <w:rPr>
          <w:color w:val="auto"/>
        </w:rPr>
        <w:t>Solutions sub-group</w:t>
      </w:r>
    </w:p>
    <w:p w14:paraId="0179F537" w14:textId="77777777" w:rsidR="0090506C" w:rsidRDefault="001B205F">
      <w:pPr>
        <w:pStyle w:val="Heading3"/>
        <w:rPr>
          <w:color w:val="auto"/>
        </w:rPr>
      </w:pPr>
      <w:r>
        <w:rPr>
          <w:color w:val="auto"/>
        </w:rPr>
        <w:lastRenderedPageBreak/>
        <w:t>To develop technological solutions to assist with the implementation of and compliance with guidelines and ontologies prepared by the Recommendations sub-group.</w:t>
      </w:r>
    </w:p>
    <w:p w14:paraId="3EC0FD65" w14:textId="77777777" w:rsidR="0090506C" w:rsidRDefault="001B205F">
      <w:pPr>
        <w:pStyle w:val="Heading3"/>
        <w:rPr>
          <w:color w:val="auto"/>
        </w:rPr>
      </w:pPr>
      <w:r>
        <w:rPr>
          <w:color w:val="auto"/>
        </w:rPr>
        <w:t>Assist data.gov.au in implementing the necessary policies for Linked Data uploads to data.gov.au.</w:t>
      </w:r>
    </w:p>
    <w:p w14:paraId="0CC5F14C" w14:textId="3BE4FD18" w:rsidR="0090506C" w:rsidRPr="005F168C" w:rsidRDefault="001B205F">
      <w:pPr>
        <w:pStyle w:val="Heading3"/>
        <w:rPr>
          <w:color w:val="auto"/>
        </w:rPr>
      </w:pPr>
      <w:r w:rsidRPr="005F168C">
        <w:rPr>
          <w:color w:val="auto"/>
        </w:rPr>
        <w:t>Implementation of Linked Data instance examples in specific domain spaces.</w:t>
      </w:r>
    </w:p>
    <w:p w14:paraId="5ACE61DA" w14:textId="6B9E570A" w:rsidR="005C1EF4" w:rsidRPr="005F168C" w:rsidRDefault="00CD0937" w:rsidP="00CA6FEA">
      <w:pPr>
        <w:pStyle w:val="Heading2"/>
        <w:rPr>
          <w:color w:val="auto"/>
        </w:rPr>
      </w:pPr>
      <w:r w:rsidRPr="005F168C">
        <w:rPr>
          <w:color w:val="auto"/>
        </w:rPr>
        <w:t>Governance sub-group</w:t>
      </w:r>
    </w:p>
    <w:p w14:paraId="39FBABA2" w14:textId="73A7BE13" w:rsidR="00A61762" w:rsidRPr="005F168C" w:rsidRDefault="00475BA8" w:rsidP="00475BA8">
      <w:pPr>
        <w:pStyle w:val="Heading3"/>
        <w:rPr>
          <w:color w:val="auto"/>
        </w:rPr>
      </w:pPr>
      <w:r w:rsidRPr="005F168C">
        <w:rPr>
          <w:color w:val="auto"/>
        </w:rPr>
        <w:t>W</w:t>
      </w:r>
      <w:r w:rsidR="008D2FFF" w:rsidRPr="005F168C">
        <w:rPr>
          <w:color w:val="auto"/>
        </w:rPr>
        <w:t xml:space="preserve">orks </w:t>
      </w:r>
      <w:r w:rsidR="00A61762" w:rsidRPr="005F168C">
        <w:rPr>
          <w:color w:val="auto"/>
        </w:rPr>
        <w:t xml:space="preserve">to develop governance patterns to allow different entities to participate and contribute linked data resources in a way that encourages reuse across domains. </w:t>
      </w:r>
    </w:p>
    <w:p w14:paraId="423792E5" w14:textId="03E56F5A" w:rsidR="00475BA8" w:rsidRPr="005F168C" w:rsidRDefault="00687D23" w:rsidP="00CA6FEA">
      <w:pPr>
        <w:pStyle w:val="Heading3"/>
        <w:rPr>
          <w:color w:val="auto"/>
        </w:rPr>
      </w:pPr>
      <w:r w:rsidRPr="005F168C">
        <w:rPr>
          <w:color w:val="auto"/>
        </w:rPr>
        <w:t>Manages PID</w:t>
      </w:r>
      <w:r w:rsidR="00FE7ADD" w:rsidRPr="005F168C">
        <w:rPr>
          <w:color w:val="auto"/>
        </w:rPr>
        <w:t xml:space="preserve"> </w:t>
      </w:r>
      <w:r w:rsidRPr="005F168C">
        <w:rPr>
          <w:color w:val="auto"/>
        </w:rPr>
        <w:t>URI allocation process</w:t>
      </w:r>
      <w:r w:rsidR="00FE7ADD" w:rsidRPr="005F168C">
        <w:rPr>
          <w:color w:val="auto"/>
        </w:rPr>
        <w:t xml:space="preserve">. This process can be found </w:t>
      </w:r>
      <w:r w:rsidR="00A479C8" w:rsidRPr="005F168C">
        <w:rPr>
          <w:color w:val="auto"/>
        </w:rPr>
        <w:t>on the AGLDWG website’s governance page</w:t>
      </w:r>
    </w:p>
    <w:p w14:paraId="347E14FE" w14:textId="637E57FF" w:rsidR="00CD0937" w:rsidRPr="005F168C" w:rsidRDefault="00A61762">
      <w:pPr>
        <w:pStyle w:val="Heading3"/>
        <w:rPr>
          <w:color w:val="auto"/>
        </w:rPr>
      </w:pPr>
      <w:r w:rsidRPr="005F168C">
        <w:rPr>
          <w:color w:val="auto"/>
        </w:rPr>
        <w:t>The Governance subgroup is also waiting for Office of the National Data Commissioner feedback on the AGLDWG’s application to become a release authority for linked data resources.</w:t>
      </w:r>
    </w:p>
    <w:p w14:paraId="036B106E" w14:textId="5D578735" w:rsidR="00885756" w:rsidRPr="00CA6FEA" w:rsidRDefault="00885756" w:rsidP="00CA6FEA">
      <w:pPr>
        <w:pStyle w:val="Heading1"/>
        <w:rPr>
          <w:rFonts w:ascii="Segoe UI Semilight" w:hAnsi="Segoe UI Semilight" w:cs="Segoe UI Semilight"/>
        </w:rPr>
      </w:pPr>
      <w:r w:rsidRPr="00CA6FEA">
        <w:rPr>
          <w:rFonts w:ascii="Segoe UI Semilight" w:hAnsi="Segoe UI Semilight" w:cs="Segoe UI Semilight"/>
        </w:rPr>
        <w:t xml:space="preserve">Administration </w:t>
      </w:r>
    </w:p>
    <w:p w14:paraId="05CE7C5D" w14:textId="7C6A8E94" w:rsidR="001A17D6" w:rsidRPr="00CA6FEA" w:rsidRDefault="001A17D6" w:rsidP="00666EE1">
      <w:pPr>
        <w:pStyle w:val="Heading3"/>
        <w:rPr>
          <w:rFonts w:ascii="Segoe UI Semilight" w:hAnsi="Segoe UI Semilight" w:cs="Segoe UI Semilight"/>
        </w:rPr>
      </w:pPr>
      <w:r w:rsidRPr="00CA6FEA">
        <w:rPr>
          <w:rFonts w:ascii="Segoe UI Semilight" w:hAnsi="Segoe UI Semilight" w:cs="Segoe UI Semilight"/>
          <w:color w:val="auto"/>
        </w:rPr>
        <w:t>Managing the general interactions with members and provide a point of contact for the Working Group enabling inter-group communication for each of the sub-groups (where applicable).</w:t>
      </w:r>
    </w:p>
    <w:p w14:paraId="5D85B541" w14:textId="162B713A" w:rsidR="001A17D6" w:rsidRPr="00CA6FEA" w:rsidRDefault="001A17D6" w:rsidP="00666EE1">
      <w:pPr>
        <w:pStyle w:val="Heading3"/>
        <w:rPr>
          <w:rFonts w:ascii="Segoe UI Semilight" w:hAnsi="Segoe UI Semilight" w:cs="Segoe UI Semilight"/>
          <w:color w:val="auto"/>
        </w:rPr>
      </w:pPr>
      <w:r w:rsidRPr="00CA6FEA">
        <w:rPr>
          <w:rFonts w:ascii="Segoe UI Semilight" w:hAnsi="Segoe UI Semilight" w:cs="Segoe UI Semilight"/>
          <w:color w:val="auto"/>
        </w:rPr>
        <w:t xml:space="preserve">Management and adherence to the </w:t>
      </w:r>
      <w:hyperlink r:id="rId7" w:history="1">
        <w:r w:rsidRPr="00CA6FEA">
          <w:rPr>
            <w:rFonts w:ascii="Segoe UI Semilight" w:hAnsi="Segoe UI Semilight" w:cs="Segoe UI Semilight"/>
            <w:color w:val="auto"/>
          </w:rPr>
          <w:t>Terms of Reference</w:t>
        </w:r>
      </w:hyperlink>
    </w:p>
    <w:p w14:paraId="1BA38AB9" w14:textId="64A11E64" w:rsidR="008D2FFF" w:rsidRPr="00CA6FEA" w:rsidRDefault="008D2FFF" w:rsidP="00CA6FEA">
      <w:pPr>
        <w:rPr>
          <w:rFonts w:ascii="Segoe UI Semilight" w:hAnsi="Segoe UI Semilight" w:cs="Segoe UI Semilight"/>
        </w:rPr>
      </w:pPr>
      <w:r w:rsidRPr="00CA6FEA">
        <w:rPr>
          <w:rFonts w:ascii="Segoe UI Semilight" w:hAnsi="Segoe UI Semilight" w:cs="Segoe UI Semilight"/>
        </w:rPr>
        <w:t>The administration of the group will be shared across each of the co-chairs.</w:t>
      </w:r>
    </w:p>
    <w:p w14:paraId="4F53D3E4" w14:textId="77777777" w:rsidR="00885756" w:rsidRPr="00885756" w:rsidRDefault="00885756" w:rsidP="00666EE1"/>
    <w:p w14:paraId="20C6BB3D" w14:textId="26EB5ADA" w:rsidR="0090506C" w:rsidRDefault="001B205F">
      <w:pPr>
        <w:pStyle w:val="Heading1"/>
      </w:pPr>
      <w:r>
        <w:lastRenderedPageBreak/>
        <w:t>Membership</w:t>
      </w:r>
    </w:p>
    <w:p w14:paraId="2E092281" w14:textId="01BB3A74" w:rsidR="005F168C" w:rsidRPr="005F168C" w:rsidRDefault="005F168C" w:rsidP="005F168C">
      <w:pPr>
        <w:pStyle w:val="Heading2"/>
        <w:rPr>
          <w:color w:val="auto"/>
        </w:rPr>
      </w:pPr>
      <w:r w:rsidRPr="005F168C">
        <w:rPr>
          <w:color w:val="auto"/>
        </w:rPr>
        <w:t>Formal membership</w:t>
      </w:r>
    </w:p>
    <w:p w14:paraId="33E8D102" w14:textId="0115D720" w:rsidR="003429C1" w:rsidRPr="005F168C" w:rsidRDefault="00732205" w:rsidP="005F168C">
      <w:pPr>
        <w:pStyle w:val="Heading3"/>
        <w:rPr>
          <w:color w:val="auto"/>
        </w:rPr>
      </w:pPr>
      <w:r w:rsidRPr="005F168C">
        <w:rPr>
          <w:color w:val="auto"/>
        </w:rPr>
        <w:t>Formal membership is determined by: attendance of more than three general meetings in the period between two annual general meetings</w:t>
      </w:r>
      <w:r w:rsidR="004E3138" w:rsidRPr="005F168C">
        <w:rPr>
          <w:color w:val="auto"/>
        </w:rPr>
        <w:t xml:space="preserve">; </w:t>
      </w:r>
    </w:p>
    <w:p w14:paraId="3DEA996D" w14:textId="6684A830" w:rsidR="004E3138" w:rsidRPr="005F168C" w:rsidRDefault="004E3138" w:rsidP="00CA6FEA">
      <w:pPr>
        <w:pStyle w:val="Heading3"/>
        <w:rPr>
          <w:color w:val="auto"/>
        </w:rPr>
      </w:pPr>
      <w:r w:rsidRPr="005F168C">
        <w:rPr>
          <w:color w:val="auto"/>
        </w:rPr>
        <w:t>Formal members</w:t>
      </w:r>
      <w:r w:rsidR="00B14DD2" w:rsidRPr="005F168C">
        <w:rPr>
          <w:color w:val="auto"/>
        </w:rPr>
        <w:t xml:space="preserve"> gain their status of membership by complying with 7.1.1.1 </w:t>
      </w:r>
      <w:r w:rsidR="00B14DD2" w:rsidRPr="005F168C">
        <w:rPr>
          <w:i/>
          <w:iCs/>
          <w:color w:val="auto"/>
        </w:rPr>
        <w:t>and</w:t>
      </w:r>
      <w:r w:rsidR="00B14DD2" w:rsidRPr="005F168C">
        <w:rPr>
          <w:color w:val="auto"/>
        </w:rPr>
        <w:t xml:space="preserve"> being Australian Government Corporate Entity organisations</w:t>
      </w:r>
    </w:p>
    <w:p w14:paraId="0309E9B5" w14:textId="77777777" w:rsidR="0090506C" w:rsidRDefault="001B205F">
      <w:pPr>
        <w:pStyle w:val="Heading2"/>
        <w:rPr>
          <w:color w:val="auto"/>
        </w:rPr>
      </w:pPr>
      <w:r>
        <w:rPr>
          <w:color w:val="auto"/>
        </w:rPr>
        <w:t>Working Group</w:t>
      </w:r>
    </w:p>
    <w:p w14:paraId="2E57705D" w14:textId="77777777" w:rsidR="0090506C" w:rsidRDefault="001B205F">
      <w:pPr>
        <w:pStyle w:val="Heading3"/>
        <w:rPr>
          <w:color w:val="auto"/>
        </w:rPr>
      </w:pPr>
      <w:r>
        <w:rPr>
          <w:color w:val="auto"/>
        </w:rPr>
        <w:t>The Working Group membership consists of:</w:t>
      </w:r>
    </w:p>
    <w:p w14:paraId="6B7E6EAF" w14:textId="77777777" w:rsidR="0090506C" w:rsidRDefault="001B205F">
      <w:pPr>
        <w:pStyle w:val="Heading4"/>
        <w:rPr>
          <w:color w:val="auto"/>
        </w:rPr>
      </w:pPr>
      <w:r>
        <w:rPr>
          <w:color w:val="auto"/>
        </w:rPr>
        <w:t>Formal Members – Australian Government Corporate Entity organisations with voting rights</w:t>
      </w:r>
    </w:p>
    <w:p w14:paraId="6C692AAE" w14:textId="77777777" w:rsidR="0090506C" w:rsidRDefault="001B205F">
      <w:pPr>
        <w:pStyle w:val="Heading4"/>
        <w:rPr>
          <w:color w:val="auto"/>
        </w:rPr>
      </w:pPr>
      <w:r>
        <w:rPr>
          <w:color w:val="auto"/>
        </w:rPr>
        <w:t>Informal Members – non-voting members, including non-Government organisations or individuals</w:t>
      </w:r>
    </w:p>
    <w:p w14:paraId="19973FD6" w14:textId="77777777" w:rsidR="0090506C" w:rsidRDefault="001B205F">
      <w:pPr>
        <w:pStyle w:val="Heading3"/>
        <w:rPr>
          <w:color w:val="auto"/>
        </w:rPr>
      </w:pPr>
      <w:r>
        <w:rPr>
          <w:color w:val="auto"/>
        </w:rPr>
        <w:t>The positions are to be filled annually by a majority vote by Formal Members at the AGLDWG AGM.</w:t>
      </w:r>
    </w:p>
    <w:p w14:paraId="5A78BA80" w14:textId="77777777" w:rsidR="0090506C" w:rsidRDefault="001B205F">
      <w:pPr>
        <w:pStyle w:val="Heading3"/>
        <w:rPr>
          <w:color w:val="auto"/>
        </w:rPr>
      </w:pPr>
      <w:r>
        <w:rPr>
          <w:color w:val="auto"/>
        </w:rPr>
        <w:t>Additional Formal or Informal Members may be invited following approval of the current Formal Members of the Working Group.</w:t>
      </w:r>
    </w:p>
    <w:p w14:paraId="64979E75" w14:textId="77777777" w:rsidR="0090506C" w:rsidRDefault="001B205F">
      <w:pPr>
        <w:pStyle w:val="Heading3"/>
        <w:rPr>
          <w:color w:val="auto"/>
        </w:rPr>
      </w:pPr>
      <w:r>
        <w:rPr>
          <w:color w:val="auto"/>
        </w:rPr>
        <w:t xml:space="preserve">Meetings may be attended by one or more nominees of member organisations with an expectation of active participation in Working Group activities and regular meeting attendance. </w:t>
      </w:r>
    </w:p>
    <w:p w14:paraId="27A6E62B" w14:textId="20BCB526" w:rsidR="0090506C" w:rsidRDefault="001B205F">
      <w:pPr>
        <w:pStyle w:val="Heading3"/>
        <w:rPr>
          <w:color w:val="auto"/>
        </w:rPr>
      </w:pPr>
      <w:r>
        <w:rPr>
          <w:color w:val="auto"/>
        </w:rPr>
        <w:t>As part of granting membership</w:t>
      </w:r>
      <w:r w:rsidR="001A17D6">
        <w:rPr>
          <w:color w:val="auto"/>
        </w:rPr>
        <w:t xml:space="preserve"> to Informal Members</w:t>
      </w:r>
      <w:r>
        <w:rPr>
          <w:color w:val="auto"/>
        </w:rPr>
        <w:t xml:space="preserve"> the current members will need to be informed of potential conflicts of interest, particularly where new members are engaged from potential service providers.</w:t>
      </w:r>
    </w:p>
    <w:p w14:paraId="48D8B62B" w14:textId="37184618" w:rsidR="0090506C" w:rsidRPr="002F438D" w:rsidRDefault="001B205F">
      <w:pPr>
        <w:pStyle w:val="Heading3"/>
        <w:rPr>
          <w:color w:val="000000" w:themeColor="text1"/>
        </w:rPr>
      </w:pPr>
      <w:r w:rsidRPr="002F438D">
        <w:rPr>
          <w:color w:val="000000" w:themeColor="text1"/>
        </w:rPr>
        <w:t xml:space="preserve">Working group decisions will be taken by majority vote, </w:t>
      </w:r>
      <w:r w:rsidR="00AC27EB" w:rsidRPr="002F438D">
        <w:rPr>
          <w:color w:val="000000" w:themeColor="text1"/>
        </w:rPr>
        <w:t xml:space="preserve">following the voting procedure defined in Clause </w:t>
      </w:r>
      <w:r w:rsidR="00AC27EB" w:rsidRPr="002F438D">
        <w:rPr>
          <w:color w:val="000000" w:themeColor="text1"/>
        </w:rPr>
        <w:fldChar w:fldCharType="begin"/>
      </w:r>
      <w:r w:rsidR="00AC27EB" w:rsidRPr="002F438D">
        <w:rPr>
          <w:color w:val="000000" w:themeColor="text1"/>
        </w:rPr>
        <w:instrText xml:space="preserve"> REF _Ref299897033 \r \h </w:instrText>
      </w:r>
      <w:r w:rsidR="00AC27EB" w:rsidRPr="002F438D">
        <w:rPr>
          <w:color w:val="000000" w:themeColor="text1"/>
        </w:rPr>
      </w:r>
      <w:r w:rsidR="00AC27EB" w:rsidRPr="002F438D">
        <w:rPr>
          <w:color w:val="000000" w:themeColor="text1"/>
        </w:rPr>
        <w:fldChar w:fldCharType="separate"/>
      </w:r>
      <w:r w:rsidR="009B755A">
        <w:rPr>
          <w:color w:val="000000" w:themeColor="text1"/>
        </w:rPr>
        <w:t>4.3.1.4</w:t>
      </w:r>
      <w:r w:rsidR="00AC27EB" w:rsidRPr="002F438D">
        <w:rPr>
          <w:color w:val="000000" w:themeColor="text1"/>
        </w:rPr>
        <w:fldChar w:fldCharType="end"/>
      </w:r>
    </w:p>
    <w:p w14:paraId="3CD17274" w14:textId="0C01924A" w:rsidR="0090506C" w:rsidRDefault="001B205F">
      <w:pPr>
        <w:pStyle w:val="Heading2"/>
        <w:rPr>
          <w:color w:val="auto"/>
        </w:rPr>
      </w:pPr>
      <w:r>
        <w:rPr>
          <w:color w:val="auto"/>
        </w:rPr>
        <w:t xml:space="preserve">Formal Members as of </w:t>
      </w:r>
      <w:r w:rsidR="0077038E">
        <w:rPr>
          <w:color w:val="auto"/>
        </w:rPr>
        <w:t>August</w:t>
      </w:r>
      <w:r>
        <w:rPr>
          <w:color w:val="auto"/>
        </w:rPr>
        <w:t xml:space="preserve"> </w:t>
      </w:r>
      <w:r w:rsidR="001D022C">
        <w:rPr>
          <w:color w:val="auto"/>
        </w:rPr>
        <w:t>201</w:t>
      </w:r>
      <w:r w:rsidR="00EC75E7">
        <w:rPr>
          <w:color w:val="auto"/>
        </w:rPr>
        <w:t>9</w:t>
      </w:r>
      <w:r>
        <w:rPr>
          <w:color w:val="auto"/>
        </w:rPr>
        <w:t xml:space="preserve">, are </w:t>
      </w:r>
      <w:r w:rsidR="00AC27EB">
        <w:rPr>
          <w:color w:val="auto"/>
        </w:rPr>
        <w:t xml:space="preserve">the following </w:t>
      </w:r>
      <w:r>
        <w:rPr>
          <w:color w:val="auto"/>
        </w:rPr>
        <w:t>Commonwealth Corporate Entit</w:t>
      </w:r>
      <w:r w:rsidR="002D05FB">
        <w:rPr>
          <w:color w:val="auto"/>
        </w:rPr>
        <w:t>ies</w:t>
      </w:r>
      <w:r>
        <w:rPr>
          <w:color w:val="auto"/>
        </w:rPr>
        <w:t>:</w:t>
      </w:r>
    </w:p>
    <w:p w14:paraId="4A209605" w14:textId="77777777" w:rsidR="0090506C" w:rsidRDefault="001B205F">
      <w:pPr>
        <w:pStyle w:val="Heading3"/>
        <w:rPr>
          <w:color w:val="auto"/>
        </w:rPr>
      </w:pPr>
      <w:r>
        <w:rPr>
          <w:color w:val="auto"/>
        </w:rPr>
        <w:t>Australian Bureau of Statistics</w:t>
      </w:r>
    </w:p>
    <w:p w14:paraId="063BE6E8" w14:textId="77777777" w:rsidR="001D022C" w:rsidRDefault="001B205F" w:rsidP="001D022C">
      <w:pPr>
        <w:pStyle w:val="Heading3"/>
        <w:rPr>
          <w:color w:val="auto"/>
        </w:rPr>
      </w:pPr>
      <w:r>
        <w:rPr>
          <w:color w:val="auto"/>
        </w:rPr>
        <w:t>Australian National University</w:t>
      </w:r>
    </w:p>
    <w:p w14:paraId="1DDED651" w14:textId="77777777" w:rsidR="0090506C" w:rsidRDefault="001B205F">
      <w:pPr>
        <w:pStyle w:val="Heading3"/>
        <w:rPr>
          <w:color w:val="auto"/>
        </w:rPr>
      </w:pPr>
      <w:r>
        <w:rPr>
          <w:color w:val="auto"/>
        </w:rPr>
        <w:t>CSIRO</w:t>
      </w:r>
    </w:p>
    <w:p w14:paraId="45FE474E" w14:textId="77777777" w:rsidR="0090506C" w:rsidRDefault="001B205F">
      <w:pPr>
        <w:pStyle w:val="Heading3"/>
        <w:rPr>
          <w:color w:val="auto"/>
        </w:rPr>
      </w:pPr>
      <w:r>
        <w:rPr>
          <w:color w:val="auto"/>
        </w:rPr>
        <w:t>Department of Finance</w:t>
      </w:r>
    </w:p>
    <w:p w14:paraId="46E86F66" w14:textId="5E06864D" w:rsidR="001A17D6" w:rsidRDefault="001A17D6" w:rsidP="001A17D6">
      <w:pPr>
        <w:pStyle w:val="Heading3"/>
        <w:rPr>
          <w:color w:val="auto"/>
        </w:rPr>
      </w:pPr>
      <w:r w:rsidRPr="001A17D6">
        <w:rPr>
          <w:color w:val="auto"/>
        </w:rPr>
        <w:t>Department of Human Services</w:t>
      </w:r>
    </w:p>
    <w:p w14:paraId="47024CDC" w14:textId="77777777" w:rsidR="0090506C" w:rsidRDefault="001B205F">
      <w:pPr>
        <w:pStyle w:val="Heading3"/>
        <w:rPr>
          <w:color w:val="auto"/>
        </w:rPr>
      </w:pPr>
      <w:r>
        <w:rPr>
          <w:color w:val="auto"/>
        </w:rPr>
        <w:t>Geoscience Australia</w:t>
      </w:r>
    </w:p>
    <w:p w14:paraId="6C96BC57" w14:textId="4162E11A" w:rsidR="0090506C" w:rsidRDefault="001B205F" w:rsidP="00AC27EB">
      <w:pPr>
        <w:pStyle w:val="Heading3"/>
        <w:rPr>
          <w:color w:val="auto"/>
        </w:rPr>
      </w:pPr>
      <w:r>
        <w:rPr>
          <w:color w:val="auto"/>
        </w:rPr>
        <w:t>National Archives of Australia</w:t>
      </w:r>
    </w:p>
    <w:p w14:paraId="096280EF" w14:textId="69049654" w:rsidR="00310C80" w:rsidRDefault="00310C80" w:rsidP="00CA6FEA">
      <w:pPr>
        <w:pStyle w:val="Heading3"/>
      </w:pPr>
      <w:r>
        <w:t>DTA</w:t>
      </w:r>
    </w:p>
    <w:p w14:paraId="5E32F15E" w14:textId="7BD66F35" w:rsidR="00580A7E" w:rsidRDefault="003B03FD" w:rsidP="00CA6FEA">
      <w:pPr>
        <w:pStyle w:val="Heading3"/>
      </w:pPr>
      <w:r>
        <w:lastRenderedPageBreak/>
        <w:t>PM&amp;C</w:t>
      </w:r>
    </w:p>
    <w:p w14:paraId="2134955B" w14:textId="7EF6C624" w:rsidR="00DC3916" w:rsidRDefault="00DC3916" w:rsidP="00CA6FEA">
      <w:pPr>
        <w:pStyle w:val="Heading3"/>
      </w:pPr>
      <w:r>
        <w:t>Queensland Department of Natural Resources, Energy and Mines</w:t>
      </w:r>
    </w:p>
    <w:p w14:paraId="2420702D" w14:textId="77777777" w:rsidR="00EC75E7" w:rsidRPr="00310C80" w:rsidRDefault="00EC75E7" w:rsidP="00A70BFA">
      <w:pPr>
        <w:pStyle w:val="Heading3"/>
        <w:numPr>
          <w:ilvl w:val="0"/>
          <w:numId w:val="0"/>
        </w:numPr>
      </w:pPr>
    </w:p>
    <w:p w14:paraId="6DC446F8" w14:textId="77777777" w:rsidR="0090506C" w:rsidRDefault="0090506C"/>
    <w:p w14:paraId="1DE3918E" w14:textId="2C68A2C2" w:rsidR="0090506C" w:rsidRDefault="001B205F">
      <w:pPr>
        <w:pStyle w:val="Heading2"/>
        <w:rPr>
          <w:color w:val="auto"/>
        </w:rPr>
      </w:pPr>
      <w:r>
        <w:rPr>
          <w:color w:val="auto"/>
        </w:rPr>
        <w:t xml:space="preserve">Informal Members as of </w:t>
      </w:r>
      <w:r w:rsidR="00A46060">
        <w:rPr>
          <w:color w:val="auto"/>
        </w:rPr>
        <w:t>August</w:t>
      </w:r>
      <w:r>
        <w:rPr>
          <w:color w:val="auto"/>
        </w:rPr>
        <w:t xml:space="preserve">, </w:t>
      </w:r>
      <w:r w:rsidR="00A46060">
        <w:rPr>
          <w:color w:val="auto"/>
        </w:rPr>
        <w:t>201</w:t>
      </w:r>
      <w:r w:rsidR="00EC75E7">
        <w:rPr>
          <w:color w:val="auto"/>
        </w:rPr>
        <w:t>9</w:t>
      </w:r>
      <w:r>
        <w:rPr>
          <w:color w:val="auto"/>
        </w:rPr>
        <w:t>, are:</w:t>
      </w:r>
    </w:p>
    <w:p w14:paraId="04C4C090" w14:textId="4538BBE7" w:rsidR="001A17D6" w:rsidRPr="00666EE1" w:rsidRDefault="001A17D6" w:rsidP="001A17D6">
      <w:pPr>
        <w:pStyle w:val="Heading3"/>
        <w:rPr>
          <w:color w:val="000000" w:themeColor="text1"/>
        </w:rPr>
      </w:pPr>
    </w:p>
    <w:p w14:paraId="4DB41E6F" w14:textId="0569A446" w:rsidR="001A17D6" w:rsidRDefault="001A17D6">
      <w:pPr>
        <w:pStyle w:val="Heading3"/>
        <w:rPr>
          <w:color w:val="000000" w:themeColor="text1"/>
        </w:rPr>
      </w:pPr>
      <w:r w:rsidRPr="00666EE1">
        <w:rPr>
          <w:color w:val="000000" w:themeColor="text1"/>
        </w:rPr>
        <w:t>NCI</w:t>
      </w:r>
    </w:p>
    <w:p w14:paraId="40CFD564" w14:textId="17C38DCB" w:rsidR="001F2B22" w:rsidRDefault="001F2B22" w:rsidP="00CA6FEA">
      <w:pPr>
        <w:pStyle w:val="Heading3"/>
      </w:pPr>
      <w:r>
        <w:t>A</w:t>
      </w:r>
      <w:r w:rsidR="003B03FD">
        <w:t>RDC</w:t>
      </w:r>
    </w:p>
    <w:p w14:paraId="4CD37643" w14:textId="5AFF30A4" w:rsidR="002B1ACC" w:rsidRPr="00CA6FEA" w:rsidRDefault="002B1ACC" w:rsidP="00580A7E">
      <w:pPr>
        <w:pStyle w:val="Heading3"/>
        <w:rPr>
          <w:rFonts w:ascii="Times New Roman" w:eastAsiaTheme="minorHAnsi" w:hAnsi="Times New Roman" w:cs="Times New Roman"/>
          <w:color w:val="auto"/>
        </w:rPr>
      </w:pPr>
      <w:r>
        <w:t>University of Queensland</w:t>
      </w:r>
    </w:p>
    <w:p w14:paraId="16B0CCBB" w14:textId="5D355FEA" w:rsidR="0090506C" w:rsidRDefault="001B205F">
      <w:pPr>
        <w:pStyle w:val="Heading1"/>
      </w:pPr>
      <w:r>
        <w:t>Office Bearers</w:t>
      </w:r>
    </w:p>
    <w:p w14:paraId="17AAD1BE" w14:textId="3FFCD36E" w:rsidR="0090506C" w:rsidRDefault="001B205F">
      <w:pPr>
        <w:pStyle w:val="Heading2"/>
        <w:rPr>
          <w:color w:val="auto"/>
        </w:rPr>
      </w:pPr>
      <w:r>
        <w:rPr>
          <w:color w:val="auto"/>
        </w:rPr>
        <w:t xml:space="preserve">The formal office bearer positions for the group, as of </w:t>
      </w:r>
      <w:r w:rsidR="000C18F1">
        <w:rPr>
          <w:color w:val="auto"/>
        </w:rPr>
        <w:t>August 201</w:t>
      </w:r>
      <w:r w:rsidR="00580A7E">
        <w:rPr>
          <w:color w:val="auto"/>
        </w:rPr>
        <w:t>9</w:t>
      </w:r>
      <w:r>
        <w:rPr>
          <w:color w:val="auto"/>
        </w:rPr>
        <w:t>, are:</w:t>
      </w:r>
    </w:p>
    <w:p w14:paraId="0F3D1528" w14:textId="74F5D25F" w:rsidR="0090506C" w:rsidRDefault="00A46060">
      <w:pPr>
        <w:pStyle w:val="Heading3"/>
        <w:rPr>
          <w:color w:val="auto"/>
        </w:rPr>
      </w:pPr>
      <w:r>
        <w:rPr>
          <w:color w:val="auto"/>
        </w:rPr>
        <w:t>Co-</w:t>
      </w:r>
      <w:r w:rsidR="001B205F">
        <w:rPr>
          <w:color w:val="auto"/>
        </w:rPr>
        <w:t>Chair</w:t>
      </w:r>
      <w:r>
        <w:rPr>
          <w:color w:val="auto"/>
        </w:rPr>
        <w:t>s</w:t>
      </w:r>
      <w:r w:rsidR="001B205F">
        <w:rPr>
          <w:color w:val="auto"/>
        </w:rPr>
        <w:t xml:space="preserve">: </w:t>
      </w:r>
      <w:r w:rsidR="000C18F1">
        <w:rPr>
          <w:color w:val="auto"/>
        </w:rPr>
        <w:t>Nicholas Car (</w:t>
      </w:r>
      <w:r w:rsidR="00580A7E">
        <w:rPr>
          <w:color w:val="auto"/>
        </w:rPr>
        <w:t xml:space="preserve">QLD Department of </w:t>
      </w:r>
      <w:r w:rsidR="00580A7E">
        <w:t>Natural Resources, Energy and Mines</w:t>
      </w:r>
      <w:r w:rsidR="000C18F1">
        <w:rPr>
          <w:color w:val="auto"/>
        </w:rPr>
        <w:t xml:space="preserve">), </w:t>
      </w:r>
      <w:r w:rsidR="001B205F">
        <w:rPr>
          <w:color w:val="auto"/>
        </w:rPr>
        <w:t>Armin Haller (ANU)</w:t>
      </w:r>
      <w:r w:rsidR="000C18F1">
        <w:rPr>
          <w:color w:val="auto"/>
        </w:rPr>
        <w:t xml:space="preserve">, </w:t>
      </w:r>
      <w:r w:rsidR="000C18F1" w:rsidRPr="000C18F1">
        <w:rPr>
          <w:color w:val="auto"/>
        </w:rPr>
        <w:t>Brigette Metzler</w:t>
      </w:r>
      <w:r w:rsidR="000C18F1">
        <w:rPr>
          <w:color w:val="auto"/>
        </w:rPr>
        <w:t xml:space="preserve"> (DHS)</w:t>
      </w:r>
      <w:r w:rsidR="00580A7E">
        <w:rPr>
          <w:color w:val="auto"/>
        </w:rPr>
        <w:t>, John Machin</w:t>
      </w:r>
      <w:r w:rsidR="005165B3">
        <w:rPr>
          <w:color w:val="auto"/>
        </w:rPr>
        <w:t xml:space="preserve"> (Department of Finance)</w:t>
      </w:r>
    </w:p>
    <w:p w14:paraId="35615CAC" w14:textId="736ECBFF" w:rsidR="0090506C" w:rsidRDefault="001B205F">
      <w:pPr>
        <w:pStyle w:val="Heading3"/>
        <w:rPr>
          <w:color w:val="auto"/>
        </w:rPr>
      </w:pPr>
      <w:r>
        <w:rPr>
          <w:color w:val="auto"/>
        </w:rPr>
        <w:t xml:space="preserve">Secretary: </w:t>
      </w:r>
      <w:r w:rsidR="000C18F1">
        <w:rPr>
          <w:color w:val="auto"/>
        </w:rPr>
        <w:t>Gavin Walker</w:t>
      </w:r>
      <w:r>
        <w:rPr>
          <w:color w:val="auto"/>
        </w:rPr>
        <w:t xml:space="preserve"> (</w:t>
      </w:r>
      <w:r w:rsidR="000C18F1">
        <w:rPr>
          <w:color w:val="auto"/>
        </w:rPr>
        <w:t>CSIRO</w:t>
      </w:r>
      <w:r>
        <w:rPr>
          <w:color w:val="auto"/>
        </w:rPr>
        <w:t>)</w:t>
      </w:r>
    </w:p>
    <w:p w14:paraId="06DBD092" w14:textId="77777777" w:rsidR="0090506C" w:rsidRDefault="001B205F">
      <w:pPr>
        <w:pStyle w:val="Heading1"/>
      </w:pPr>
      <w:r>
        <w:t>Meeting Schedule</w:t>
      </w:r>
    </w:p>
    <w:p w14:paraId="39DD37C6" w14:textId="77777777" w:rsidR="0090506C" w:rsidRDefault="001B205F">
      <w:pPr>
        <w:pStyle w:val="Heading2"/>
        <w:rPr>
          <w:color w:val="auto"/>
        </w:rPr>
      </w:pPr>
      <w:r>
        <w:rPr>
          <w:color w:val="auto"/>
        </w:rPr>
        <w:t>Working Group Meeting Schedule</w:t>
      </w:r>
    </w:p>
    <w:p w14:paraId="76B16C63" w14:textId="77777777" w:rsidR="0090506C" w:rsidRDefault="001B205F">
      <w:pPr>
        <w:pStyle w:val="Heading3"/>
        <w:rPr>
          <w:color w:val="auto"/>
        </w:rPr>
      </w:pPr>
      <w:r>
        <w:rPr>
          <w:color w:val="auto"/>
        </w:rPr>
        <w:t>Monthly meetings</w:t>
      </w:r>
    </w:p>
    <w:p w14:paraId="0F97FA6B" w14:textId="576EB9C0" w:rsidR="0090506C" w:rsidRDefault="001B205F">
      <w:pPr>
        <w:pStyle w:val="Heading4"/>
        <w:rPr>
          <w:color w:val="auto"/>
        </w:rPr>
      </w:pPr>
      <w:r>
        <w:rPr>
          <w:color w:val="auto"/>
        </w:rPr>
        <w:t>The full AGLDWG membership and guests will be invited to attend a regular monthly in-person and video/tele</w:t>
      </w:r>
      <w:r w:rsidR="001A17D6">
        <w:rPr>
          <w:color w:val="auto"/>
        </w:rPr>
        <w:t>-</w:t>
      </w:r>
      <w:r>
        <w:rPr>
          <w:color w:val="auto"/>
        </w:rPr>
        <w:t xml:space="preserve">conference meeting to be organised by the Secretariat. </w:t>
      </w:r>
    </w:p>
    <w:p w14:paraId="546E9670" w14:textId="06AAFC29" w:rsidR="001A17D6" w:rsidRDefault="001B205F">
      <w:pPr>
        <w:pStyle w:val="Heading4"/>
        <w:rPr>
          <w:color w:val="auto"/>
        </w:rPr>
      </w:pPr>
      <w:r>
        <w:rPr>
          <w:color w:val="auto"/>
        </w:rPr>
        <w:t xml:space="preserve">Notifications for meetings will be sent via the AGLDWG’s email list and through maintenance of the </w:t>
      </w:r>
      <w:r w:rsidR="0055413E">
        <w:rPr>
          <w:color w:val="auto"/>
        </w:rPr>
        <w:t>GovTeams we</w:t>
      </w:r>
      <w:r w:rsidR="00962DA3">
        <w:rPr>
          <w:color w:val="auto"/>
        </w:rPr>
        <w:t>bsite</w:t>
      </w:r>
      <w:r>
        <w:rPr>
          <w:color w:val="auto"/>
        </w:rPr>
        <w:t xml:space="preserve"> </w:t>
      </w:r>
      <w:r w:rsidR="001A17D6">
        <w:rPr>
          <w:color w:val="auto"/>
        </w:rPr>
        <w:br w:type="page"/>
      </w:r>
    </w:p>
    <w:p w14:paraId="1CE1534C" w14:textId="77777777" w:rsidR="0090506C" w:rsidRDefault="001B205F">
      <w:pPr>
        <w:pStyle w:val="Heading1"/>
      </w:pPr>
      <w:r>
        <w:lastRenderedPageBreak/>
        <w:t>References</w:t>
      </w:r>
    </w:p>
    <w:p w14:paraId="0B454F9F" w14:textId="77777777" w:rsidR="0090506C" w:rsidRDefault="001B205F">
      <w:pPr>
        <w:pStyle w:val="Heading2"/>
        <w:rPr>
          <w:color w:val="auto"/>
          <w:sz w:val="24"/>
        </w:rPr>
      </w:pPr>
      <w:r>
        <w:rPr>
          <w:color w:val="auto"/>
          <w:sz w:val="24"/>
        </w:rPr>
        <w:t xml:space="preserve">Federal Register – Transparency and Open Government, http://www.federalregister.gov/articles/2009/01/26/E9-1777/transparency-and-open-government </w:t>
      </w:r>
    </w:p>
    <w:p w14:paraId="7D0C4566" w14:textId="77777777" w:rsidR="0090506C" w:rsidRDefault="001B205F">
      <w:pPr>
        <w:pStyle w:val="Heading2"/>
        <w:rPr>
          <w:color w:val="auto"/>
          <w:sz w:val="24"/>
        </w:rPr>
      </w:pPr>
      <w:r>
        <w:rPr>
          <w:color w:val="auto"/>
          <w:sz w:val="24"/>
        </w:rPr>
        <w:t xml:space="preserve">PUTTING THE FRONTLINE FIRST: smarter government, http://www.hmg.gov.uk/media/52788/smarter-government-final.pdf </w:t>
      </w:r>
    </w:p>
    <w:p w14:paraId="5ACF5490" w14:textId="77777777" w:rsidR="0090506C" w:rsidRDefault="001B205F">
      <w:pPr>
        <w:pStyle w:val="Heading2"/>
        <w:rPr>
          <w:color w:val="auto"/>
          <w:sz w:val="24"/>
        </w:rPr>
      </w:pPr>
      <w:r>
        <w:rPr>
          <w:color w:val="auto"/>
          <w:sz w:val="24"/>
        </w:rPr>
        <w:t xml:space="preserve">Government Response to the Report of the Government 2.0 Taskforce, http://www.finance.gov.au/publications/govresponse20report/index.html </w:t>
      </w:r>
    </w:p>
    <w:p w14:paraId="5EEBF18D" w14:textId="77777777" w:rsidR="0090506C" w:rsidRDefault="001B205F">
      <w:pPr>
        <w:pStyle w:val="Heading2"/>
        <w:rPr>
          <w:color w:val="auto"/>
          <w:sz w:val="24"/>
        </w:rPr>
      </w:pPr>
      <w:r>
        <w:rPr>
          <w:color w:val="auto"/>
          <w:sz w:val="24"/>
        </w:rPr>
        <w:t xml:space="preserve">Engage: Getting on with Government 2.0, http://www.finance.gov.au/publications/gov20taskforcereport/index.html </w:t>
      </w:r>
    </w:p>
    <w:p w14:paraId="1C9E94E0" w14:textId="77777777" w:rsidR="0090506C" w:rsidRDefault="001B205F">
      <w:pPr>
        <w:pStyle w:val="Heading2"/>
        <w:rPr>
          <w:color w:val="auto"/>
          <w:sz w:val="24"/>
        </w:rPr>
      </w:pPr>
      <w:r>
        <w:rPr>
          <w:color w:val="auto"/>
          <w:sz w:val="24"/>
        </w:rPr>
        <w:t xml:space="preserve">Declaration of Open Government, http://www.finance.gov.au/e-government/strategy-and-governance/gov2/declaration-of-open-government.html </w:t>
      </w:r>
    </w:p>
    <w:p w14:paraId="0AC22960" w14:textId="77777777" w:rsidR="0090506C" w:rsidRDefault="001B205F">
      <w:pPr>
        <w:pStyle w:val="Heading2"/>
        <w:rPr>
          <w:color w:val="auto"/>
          <w:sz w:val="24"/>
        </w:rPr>
      </w:pPr>
      <w:r>
        <w:rPr>
          <w:color w:val="auto"/>
          <w:sz w:val="24"/>
        </w:rPr>
        <w:t xml:space="preserve">Principles on open public sector information, http://www.oaic.gov.au/publications/agency_resources/principles_on_psi_short.html </w:t>
      </w:r>
    </w:p>
    <w:p w14:paraId="55B9ECBD" w14:textId="77777777" w:rsidR="0090506C" w:rsidRDefault="001B205F">
      <w:pPr>
        <w:pStyle w:val="Heading2"/>
        <w:rPr>
          <w:color w:val="auto"/>
          <w:sz w:val="24"/>
        </w:rPr>
      </w:pPr>
      <w:r>
        <w:rPr>
          <w:color w:val="auto"/>
          <w:sz w:val="24"/>
        </w:rPr>
        <w:t xml:space="preserve">Linked Data – Design Issues, http://www.w3.org/DesignIssues/LinkedData.html </w:t>
      </w:r>
    </w:p>
    <w:p w14:paraId="58BBF696" w14:textId="77777777" w:rsidR="0090506C" w:rsidRDefault="001B205F">
      <w:pPr>
        <w:pStyle w:val="Heading2"/>
        <w:rPr>
          <w:color w:val="auto"/>
          <w:sz w:val="24"/>
        </w:rPr>
      </w:pPr>
      <w:r>
        <w:rPr>
          <w:color w:val="auto"/>
          <w:sz w:val="24"/>
        </w:rPr>
        <w:t xml:space="preserve">Designing URI Sets for the UK Public Sector, http://www.cabinetoffice.gov.uk/resource-library/designing-uri-sets-uk-public-sector </w:t>
      </w:r>
    </w:p>
    <w:p w14:paraId="3DEFAFDC" w14:textId="77777777" w:rsidR="0090506C" w:rsidRDefault="001B205F">
      <w:pPr>
        <w:pStyle w:val="Heading2"/>
        <w:rPr>
          <w:color w:val="auto"/>
          <w:sz w:val="24"/>
        </w:rPr>
      </w:pPr>
      <w:r>
        <w:rPr>
          <w:color w:val="auto"/>
          <w:sz w:val="24"/>
        </w:rPr>
        <w:t xml:space="preserve">A Proposal for Governmental Data URIs, http://data-gov.tw.rpi.edu/wiki/A_Proposal_for_Governmental_Data_URIs </w:t>
      </w:r>
    </w:p>
    <w:p w14:paraId="2F3A5CD2" w14:textId="77777777" w:rsidR="0090506C" w:rsidRDefault="001B205F">
      <w:pPr>
        <w:pStyle w:val="Heading2"/>
        <w:rPr>
          <w:color w:val="auto"/>
          <w:sz w:val="24"/>
        </w:rPr>
      </w:pPr>
      <w:r>
        <w:rPr>
          <w:color w:val="auto"/>
          <w:sz w:val="24"/>
        </w:rPr>
        <w:t xml:space="preserve">223 Best Practices URI Construction, http://www.w3.org/2011/gld/wiki/223_Best_Practices_URI_Construction </w:t>
      </w:r>
    </w:p>
    <w:p w14:paraId="6D07AC38" w14:textId="77777777" w:rsidR="0090506C" w:rsidRDefault="001B205F">
      <w:pPr>
        <w:pStyle w:val="Heading2"/>
        <w:rPr>
          <w:color w:val="auto"/>
          <w:sz w:val="24"/>
        </w:rPr>
      </w:pPr>
      <w:r>
        <w:rPr>
          <w:color w:val="auto"/>
          <w:sz w:val="24"/>
        </w:rPr>
        <w:t xml:space="preserve">Government Linked Data (GLD) Working Group Wiki, http://www.w3.org/2011/gld </w:t>
      </w:r>
    </w:p>
    <w:p w14:paraId="5A66C891" w14:textId="77777777" w:rsidR="0090506C" w:rsidRDefault="001B205F">
      <w:pPr>
        <w:pStyle w:val="Heading2"/>
        <w:rPr>
          <w:color w:val="auto"/>
          <w:sz w:val="24"/>
        </w:rPr>
      </w:pPr>
      <w:r>
        <w:rPr>
          <w:color w:val="auto"/>
          <w:sz w:val="24"/>
        </w:rPr>
        <w:t xml:space="preserve">Defra, UK - Linked Data, http://location.defra.gov.uk/resources/linked-data/ </w:t>
      </w:r>
    </w:p>
    <w:sectPr w:rsidR="0090506C">
      <w:headerReference w:type="default" r:id="rId8"/>
      <w:footerReference w:type="default" r:id="rId9"/>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6FD6A3" w16cid:durableId="20FFF972"/>
  <w16cid:commentId w16cid:paraId="574E7CDB" w16cid:durableId="20FFFB1E"/>
  <w16cid:commentId w16cid:paraId="026A97EE" w16cid:durableId="20FFFCD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01451" w14:textId="77777777" w:rsidR="00702C7F" w:rsidRDefault="00702C7F">
      <w:r>
        <w:separator/>
      </w:r>
    </w:p>
  </w:endnote>
  <w:endnote w:type="continuationSeparator" w:id="0">
    <w:p w14:paraId="3B641051" w14:textId="77777777" w:rsidR="00702C7F" w:rsidRDefault="0070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D573F" w14:textId="7C3F78CC" w:rsidR="0090506C" w:rsidRDefault="001B205F">
    <w:pPr>
      <w:pStyle w:val="Heading1"/>
      <w:numPr>
        <w:ilvl w:val="0"/>
        <w:numId w:val="0"/>
      </w:numPr>
      <w:jc w:val="center"/>
    </w:pPr>
    <w:r>
      <w:t xml:space="preserve">version </w:t>
    </w:r>
    <w:r w:rsidR="00906CC8">
      <w:t>15-08-2019</w:t>
    </w:r>
  </w:p>
  <w:p w14:paraId="0878C1FD" w14:textId="77777777" w:rsidR="0090506C" w:rsidRDefault="00905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F09EB" w14:textId="77777777" w:rsidR="00702C7F" w:rsidRDefault="00702C7F">
      <w:r>
        <w:separator/>
      </w:r>
    </w:p>
  </w:footnote>
  <w:footnote w:type="continuationSeparator" w:id="0">
    <w:p w14:paraId="7664828F" w14:textId="77777777" w:rsidR="00702C7F" w:rsidRDefault="00702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578B" w14:textId="77777777" w:rsidR="0090506C" w:rsidRDefault="0090506C">
    <w:pPr>
      <w:pStyle w:val="Header"/>
    </w:pPr>
  </w:p>
  <w:p w14:paraId="51F54C2E" w14:textId="77777777" w:rsidR="0090506C" w:rsidRDefault="00905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171C"/>
    <w:multiLevelType w:val="multilevel"/>
    <w:tmpl w:val="BB8ED128"/>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21F156F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750BC1"/>
    <w:multiLevelType w:val="hybridMultilevel"/>
    <w:tmpl w:val="97F89932"/>
    <w:lvl w:ilvl="0" w:tplc="E6423098">
      <w:start w:val="1"/>
      <w:numFmt w:val="decimal"/>
      <w:lvlText w:val="%1."/>
      <w:lvlJc w:val="left"/>
      <w:pPr>
        <w:ind w:left="1080" w:hanging="720"/>
      </w:pPr>
      <w:rPr>
        <w:rFonts w:hint="default"/>
      </w:rPr>
    </w:lvl>
    <w:lvl w:ilvl="1" w:tplc="EC3C41DC">
      <w:start w:val="7"/>
      <w:numFmt w:val="bullet"/>
      <w:lvlText w:val="•"/>
      <w:lvlJc w:val="left"/>
      <w:pPr>
        <w:ind w:left="1800" w:hanging="720"/>
      </w:pPr>
      <w:rPr>
        <w:rFonts w:ascii="Calibri" w:eastAsiaTheme="minorHAnsi" w:hAnsi="Calibri" w:cstheme="minorBidi" w:hint="default"/>
      </w:rPr>
    </w:lvl>
    <w:lvl w:ilvl="2" w:tplc="7BEEC326">
      <w:start w:val="7"/>
      <w:numFmt w:val="bullet"/>
      <w:lvlText w:val=""/>
      <w:lvlJc w:val="left"/>
      <w:pPr>
        <w:ind w:left="2700" w:hanging="720"/>
      </w:pPr>
      <w:rPr>
        <w:rFonts w:ascii="Symbol" w:eastAsiaTheme="minorHAnsi" w:hAnsi="Symbol"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BB1E7E"/>
    <w:multiLevelType w:val="multilevel"/>
    <w:tmpl w:val="085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C1452"/>
    <w:multiLevelType w:val="hybridMultilevel"/>
    <w:tmpl w:val="3E64E0EE"/>
    <w:lvl w:ilvl="0" w:tplc="5C440E02">
      <w:start w:val="1"/>
      <w:numFmt w:val="decimal"/>
      <w:lvlText w:val="%1."/>
      <w:lvlJc w:val="left"/>
      <w:pPr>
        <w:ind w:left="1080" w:hanging="720"/>
      </w:pPr>
      <w:rPr>
        <w:rFonts w:hint="default"/>
      </w:rPr>
    </w:lvl>
    <w:lvl w:ilvl="1" w:tplc="913629D0">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1"/>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6C"/>
    <w:rsid w:val="00040E31"/>
    <w:rsid w:val="00043314"/>
    <w:rsid w:val="000524FD"/>
    <w:rsid w:val="00052EEC"/>
    <w:rsid w:val="00062145"/>
    <w:rsid w:val="0008756C"/>
    <w:rsid w:val="000A2BD2"/>
    <w:rsid w:val="000A79CC"/>
    <w:rsid w:val="000C18F1"/>
    <w:rsid w:val="00102FB0"/>
    <w:rsid w:val="00184F31"/>
    <w:rsid w:val="001A17D6"/>
    <w:rsid w:val="001B205F"/>
    <w:rsid w:val="001C51E8"/>
    <w:rsid w:val="001D022C"/>
    <w:rsid w:val="001F2B22"/>
    <w:rsid w:val="00214646"/>
    <w:rsid w:val="00224736"/>
    <w:rsid w:val="002B0399"/>
    <w:rsid w:val="002B1ACC"/>
    <w:rsid w:val="002B238E"/>
    <w:rsid w:val="002D05FB"/>
    <w:rsid w:val="002E476E"/>
    <w:rsid w:val="002F438D"/>
    <w:rsid w:val="00304766"/>
    <w:rsid w:val="00310C80"/>
    <w:rsid w:val="003272B0"/>
    <w:rsid w:val="003429C1"/>
    <w:rsid w:val="0035455A"/>
    <w:rsid w:val="003B03FD"/>
    <w:rsid w:val="003C6AE9"/>
    <w:rsid w:val="003D066B"/>
    <w:rsid w:val="00475BA8"/>
    <w:rsid w:val="004B1A4F"/>
    <w:rsid w:val="004B20CE"/>
    <w:rsid w:val="004C338F"/>
    <w:rsid w:val="004D5B2C"/>
    <w:rsid w:val="004D5EBE"/>
    <w:rsid w:val="004E3138"/>
    <w:rsid w:val="005165B3"/>
    <w:rsid w:val="00526BE4"/>
    <w:rsid w:val="0055413E"/>
    <w:rsid w:val="00580A7E"/>
    <w:rsid w:val="0059778D"/>
    <w:rsid w:val="005C1EF4"/>
    <w:rsid w:val="005E7D16"/>
    <w:rsid w:val="005F168C"/>
    <w:rsid w:val="006054DE"/>
    <w:rsid w:val="00666EE1"/>
    <w:rsid w:val="006758E1"/>
    <w:rsid w:val="006867A5"/>
    <w:rsid w:val="00687D23"/>
    <w:rsid w:val="006A65DA"/>
    <w:rsid w:val="006E5D54"/>
    <w:rsid w:val="007018B0"/>
    <w:rsid w:val="00702C7F"/>
    <w:rsid w:val="00717A53"/>
    <w:rsid w:val="00732205"/>
    <w:rsid w:val="00744B93"/>
    <w:rsid w:val="0077038E"/>
    <w:rsid w:val="00795DE8"/>
    <w:rsid w:val="007B6E67"/>
    <w:rsid w:val="007C3DF4"/>
    <w:rsid w:val="007C6D46"/>
    <w:rsid w:val="008616F7"/>
    <w:rsid w:val="00885756"/>
    <w:rsid w:val="008A0557"/>
    <w:rsid w:val="008C5E1F"/>
    <w:rsid w:val="008D2FFF"/>
    <w:rsid w:val="008F1881"/>
    <w:rsid w:val="008F2709"/>
    <w:rsid w:val="0090506C"/>
    <w:rsid w:val="00906CC8"/>
    <w:rsid w:val="00910DAB"/>
    <w:rsid w:val="009131DA"/>
    <w:rsid w:val="00923021"/>
    <w:rsid w:val="00952A7A"/>
    <w:rsid w:val="00962DA3"/>
    <w:rsid w:val="009B755A"/>
    <w:rsid w:val="009C124F"/>
    <w:rsid w:val="009C3534"/>
    <w:rsid w:val="009E6457"/>
    <w:rsid w:val="00A26B9F"/>
    <w:rsid w:val="00A46060"/>
    <w:rsid w:val="00A479C8"/>
    <w:rsid w:val="00A61762"/>
    <w:rsid w:val="00A70BFA"/>
    <w:rsid w:val="00A910E9"/>
    <w:rsid w:val="00AA616B"/>
    <w:rsid w:val="00AB2ACE"/>
    <w:rsid w:val="00AC27EB"/>
    <w:rsid w:val="00AC473A"/>
    <w:rsid w:val="00AD20DA"/>
    <w:rsid w:val="00B14DD2"/>
    <w:rsid w:val="00B637D7"/>
    <w:rsid w:val="00BF14A1"/>
    <w:rsid w:val="00C52F07"/>
    <w:rsid w:val="00CA6FEA"/>
    <w:rsid w:val="00CB3D9A"/>
    <w:rsid w:val="00CD0937"/>
    <w:rsid w:val="00CD3442"/>
    <w:rsid w:val="00CD5782"/>
    <w:rsid w:val="00D254EF"/>
    <w:rsid w:val="00D301C0"/>
    <w:rsid w:val="00D628F5"/>
    <w:rsid w:val="00DA015B"/>
    <w:rsid w:val="00DC0F70"/>
    <w:rsid w:val="00DC3916"/>
    <w:rsid w:val="00DD0DD9"/>
    <w:rsid w:val="00E05F86"/>
    <w:rsid w:val="00E11023"/>
    <w:rsid w:val="00E23A50"/>
    <w:rsid w:val="00E314C0"/>
    <w:rsid w:val="00E8068D"/>
    <w:rsid w:val="00EB792A"/>
    <w:rsid w:val="00EC75E7"/>
    <w:rsid w:val="00F23CF9"/>
    <w:rsid w:val="00F23D4D"/>
    <w:rsid w:val="00F82BF5"/>
    <w:rsid w:val="00FE7A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466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7D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160" w:after="120"/>
      <w:ind w:left="72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numPr>
        <w:ilvl w:val="3"/>
        <w:numId w:val="1"/>
      </w:numPr>
      <w:spacing w:before="160" w:after="120"/>
      <w:ind w:left="230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pPr>
      <w:spacing w:after="0" w:line="240" w:lineRule="auto"/>
    </w:pPr>
  </w:style>
  <w:style w:type="paragraph" w:styleId="NormalWeb">
    <w:name w:val="Normal (Web)"/>
    <w:basedOn w:val="Normal"/>
    <w:uiPriority w:val="99"/>
    <w:semiHidden/>
    <w:unhideWhenUsed/>
    <w:rsid w:val="001A17D6"/>
    <w:pPr>
      <w:spacing w:before="100" w:beforeAutospacing="1" w:after="100" w:afterAutospacing="1"/>
    </w:pPr>
  </w:style>
  <w:style w:type="character" w:styleId="Hyperlink">
    <w:name w:val="Hyperlink"/>
    <w:basedOn w:val="DefaultParagraphFont"/>
    <w:uiPriority w:val="99"/>
    <w:semiHidden/>
    <w:unhideWhenUsed/>
    <w:rsid w:val="001A17D6"/>
    <w:rPr>
      <w:color w:val="0000FF"/>
      <w:u w:val="single"/>
    </w:rPr>
  </w:style>
  <w:style w:type="character" w:customStyle="1" w:styleId="apple-converted-space">
    <w:name w:val="apple-converted-space"/>
    <w:basedOn w:val="DefaultParagraphFont"/>
    <w:rsid w:val="009C124F"/>
  </w:style>
  <w:style w:type="paragraph" w:styleId="HTMLPreformatted">
    <w:name w:val="HTML Preformatted"/>
    <w:basedOn w:val="Normal"/>
    <w:link w:val="HTMLPreformattedChar"/>
    <w:uiPriority w:val="99"/>
    <w:semiHidden/>
    <w:unhideWhenUsed/>
    <w:rsid w:val="00A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46060"/>
    <w:rPr>
      <w:rFonts w:ascii="Courier New" w:hAnsi="Courier New" w:cs="Courier New"/>
      <w:sz w:val="20"/>
      <w:szCs w:val="20"/>
      <w:lang w:val="en-GB" w:eastAsia="en-GB"/>
    </w:rPr>
  </w:style>
  <w:style w:type="paragraph" w:customStyle="1" w:styleId="Default">
    <w:name w:val="Default"/>
    <w:rsid w:val="00A61762"/>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9950">
      <w:bodyDiv w:val="1"/>
      <w:marLeft w:val="0"/>
      <w:marRight w:val="0"/>
      <w:marTop w:val="0"/>
      <w:marBottom w:val="0"/>
      <w:divBdr>
        <w:top w:val="none" w:sz="0" w:space="0" w:color="auto"/>
        <w:left w:val="none" w:sz="0" w:space="0" w:color="auto"/>
        <w:bottom w:val="none" w:sz="0" w:space="0" w:color="auto"/>
        <w:right w:val="none" w:sz="0" w:space="0" w:color="auto"/>
      </w:divBdr>
    </w:div>
    <w:div w:id="118839061">
      <w:bodyDiv w:val="1"/>
      <w:marLeft w:val="0"/>
      <w:marRight w:val="0"/>
      <w:marTop w:val="0"/>
      <w:marBottom w:val="0"/>
      <w:divBdr>
        <w:top w:val="none" w:sz="0" w:space="0" w:color="auto"/>
        <w:left w:val="none" w:sz="0" w:space="0" w:color="auto"/>
        <w:bottom w:val="none" w:sz="0" w:space="0" w:color="auto"/>
        <w:right w:val="none" w:sz="0" w:space="0" w:color="auto"/>
      </w:divBdr>
    </w:div>
    <w:div w:id="153961160">
      <w:bodyDiv w:val="1"/>
      <w:marLeft w:val="0"/>
      <w:marRight w:val="0"/>
      <w:marTop w:val="0"/>
      <w:marBottom w:val="0"/>
      <w:divBdr>
        <w:top w:val="none" w:sz="0" w:space="0" w:color="auto"/>
        <w:left w:val="none" w:sz="0" w:space="0" w:color="auto"/>
        <w:bottom w:val="none" w:sz="0" w:space="0" w:color="auto"/>
        <w:right w:val="none" w:sz="0" w:space="0" w:color="auto"/>
      </w:divBdr>
    </w:div>
    <w:div w:id="556162019">
      <w:bodyDiv w:val="1"/>
      <w:marLeft w:val="0"/>
      <w:marRight w:val="0"/>
      <w:marTop w:val="0"/>
      <w:marBottom w:val="0"/>
      <w:divBdr>
        <w:top w:val="none" w:sz="0" w:space="0" w:color="auto"/>
        <w:left w:val="none" w:sz="0" w:space="0" w:color="auto"/>
        <w:bottom w:val="none" w:sz="0" w:space="0" w:color="auto"/>
        <w:right w:val="none" w:sz="0" w:space="0" w:color="auto"/>
      </w:divBdr>
    </w:div>
    <w:div w:id="1444495288">
      <w:bodyDiv w:val="1"/>
      <w:marLeft w:val="0"/>
      <w:marRight w:val="0"/>
      <w:marTop w:val="0"/>
      <w:marBottom w:val="0"/>
      <w:divBdr>
        <w:top w:val="none" w:sz="0" w:space="0" w:color="auto"/>
        <w:left w:val="none" w:sz="0" w:space="0" w:color="auto"/>
        <w:bottom w:val="none" w:sz="0" w:space="0" w:color="auto"/>
        <w:right w:val="none" w:sz="0" w:space="0" w:color="auto"/>
      </w:divBdr>
    </w:div>
    <w:div w:id="1745761416">
      <w:bodyDiv w:val="1"/>
      <w:marLeft w:val="0"/>
      <w:marRight w:val="0"/>
      <w:marTop w:val="0"/>
      <w:marBottom w:val="0"/>
      <w:divBdr>
        <w:top w:val="none" w:sz="0" w:space="0" w:color="auto"/>
        <w:left w:val="none" w:sz="0" w:space="0" w:color="auto"/>
        <w:bottom w:val="none" w:sz="0" w:space="0" w:color="auto"/>
        <w:right w:val="none" w:sz="0" w:space="0" w:color="auto"/>
      </w:divBdr>
    </w:div>
    <w:div w:id="17940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vdex.gov.au/confluence/download/attachments/289429987/AGLDWG_TOR_draft_v6.3_%2820150821%29.pdf?version=1&amp;modificationDate=1440135328879&amp;api=v2"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1535</Words>
  <Characters>8750</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Communications</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Margie</dc:creator>
  <cp:lastModifiedBy>Machin, John</cp:lastModifiedBy>
  <cp:revision>2</cp:revision>
  <cp:lastPrinted>2017-08-06T02:03:00Z</cp:lastPrinted>
  <dcterms:created xsi:type="dcterms:W3CDTF">2020-06-24T05:40:00Z</dcterms:created>
  <dcterms:modified xsi:type="dcterms:W3CDTF">2020-06-24T05:40:00Z</dcterms:modified>
</cp:coreProperties>
</file>