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30"/>
          <w:szCs w:val="30"/>
        </w:rPr>
        <w:t xml:space="preserve">BUSINESS LOGIC DOCUMENT</w:t>
      </w:r>
    </w:p>
    <w:p>
      <w:pPr>
        <w:spacing w:before="200"/>
        <w:jc w:val="center"/>
      </w:pPr>
      <w:r>
        <w:rPr>
          <w:rFonts w:ascii="Calibri" w:cs="Calibri" w:eastAsia="Calibri" w:hAnsi="Calibri"/>
          <w:b/>
          <w:bCs/>
          <w:color w:val="2E6BE6"/>
          <w:sz w:val="56"/>
          <w:szCs w:val="56"/>
        </w:rPr>
        <w:t xml:space="preserve">AfProsPos</w:t>
      </w:r>
    </w:p>
    <w:p>
      <w:pPr>
        <w:spacing w:after="200" w:before="100"/>
        <w:jc w:val="center"/>
      </w:pPr>
      <w:r>
        <w:rPr>
          <w:rFonts w:ascii="Calibri" w:cs="Calibri" w:eastAsia="Calibri" w:hAnsi="Calibri"/>
          <w:i/>
          <w:iCs/>
          <w:color w:val="5A6472"/>
          <w:sz w:val="26"/>
          <w:szCs w:val="26"/>
        </w:rPr>
        <w:t xml:space="preserve">Repair, Inventory, Sales, Payment &amp; Warranty Rule Set</w:t>
      </w:r>
    </w:p>
    <w:p>
      <w:pPr>
        <w:pBdr>
          <w:top w:val="single" w:color="2E6BE6" w:sz="6" w:space="10"/>
        </w:pBdr>
        <w:spacing w:before="400"/>
        <w:jc w:val="center"/>
      </w:pPr>
    </w:p>
    <w:p>
      <w:pPr>
        <w:spacing w:before="800"/>
        <w:jc w:val="center"/>
      </w:pPr>
      <w:r>
        <w:rPr>
          <w:color w:val="5A6472"/>
          <w:sz w:val="22"/>
          <w:szCs w:val="22"/>
        </w:rPr>
        <w:t xml:space="preserve">Document Version: 1.1</w:t>
      </w:r>
    </w:p>
    <w:p>
      <w:pPr>
        <w:jc w:val="center"/>
      </w:pPr>
      <w:r>
        <w:rPr>
          <w:color w:val="5A6472"/>
          <w:sz w:val="22"/>
          <w:szCs w:val="22"/>
        </w:rPr>
        <w:t xml:space="preserve">Date: September 1, 2026</w:t>
      </w:r>
    </w:p>
    <w:p>
      <w:pPr>
        <w:jc w:val="center"/>
      </w:pPr>
      <w:r>
        <w:rPr>
          <w:color w:val="5A6472"/>
          <w:sz w:val="22"/>
          <w:szCs w:val="22"/>
        </w:rPr>
        <w:t xml:space="preserve">Status: Draft — All Cross-Module Questions Resolved</w:t>
      </w:r>
    </w:p>
    <w:p>
      <w:pPr>
        <w:jc w:val="center"/>
      </w:pPr>
      <w:r>
        <w:rPr>
          <w:i/>
          <w:iCs/>
          <w:color w:val="5A6472"/>
          <w:sz w:val="20"/>
          <w:szCs w:val="20"/>
        </w:rPr>
        <w:t xml:space="preserve">Companion to: AfProsPos Business Requirements Document v1.0</w:t>
      </w:r>
    </w:p>
    <w:p>
      <w:r>
        <w:br w:type="page"/>
      </w:r>
    </w:p>
    <w:p>
      <w:pPr>
        <w:pStyle w:val="Heading1"/>
        <w:spacing w:after="200" w:before="400"/>
      </w:pPr>
      <w:r>
        <w:rPr>
          <w:b/>
          <w:bCs/>
        </w:rPr>
        <w:t xml:space="preserve">Document Control</w:t>
      </w:r>
    </w:p>
    <w:p>
      <w:pPr>
        <w:pStyle w:val="Heading2"/>
        <w:spacing w:after="150" w:before="300"/>
      </w:pPr>
      <w:r>
        <w:rPr>
          <w:b/>
          <w:bCs/>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50"/>
      </w:tblGrid>
      <w:tr>
        <w:trPr>
          <w:tblHeader/>
        </w:trPr>
        <w:tc>
          <w:tcPr>
            <w:tcW w:type="dxa" w:w="14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Version</w:t>
            </w:r>
          </w:p>
        </w:tc>
        <w:tc>
          <w:tcPr>
            <w:tcW w:type="dxa" w:w="18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Date</w:t>
            </w:r>
          </w:p>
        </w:tc>
        <w:tc>
          <w:tcPr>
            <w:tcW w:type="dxa" w:w="61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Description</w:t>
            </w:r>
          </w:p>
        </w:tc>
      </w:tr>
      <w:tr>
        <w:tc>
          <w:tcPr>
            <w:tcW w:type="dxa" w:w="1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w:t>
            </w:r>
          </w:p>
        </w:tc>
        <w:tc>
          <w:tcPr>
            <w:tcW w:type="dxa" w:w="18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Aug 31, 2026</w:t>
            </w:r>
          </w:p>
        </w:tc>
        <w:tc>
          <w:tcPr>
            <w:tcW w:type="dxa" w:w="61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Initial BLD covering Repair↔Inventory, Sales/POS↔Inventory↔Payments, and Warranty/Returns/Trade-In. Remaining module questions listed as open items (Section 8).</w:t>
            </w:r>
          </w:p>
        </w:tc>
      </w:tr>
      <w:tr>
        <w:tc>
          <w:tcPr>
            <w:tcW w:type="dxa" w:w="1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1.1</w:t>
            </w:r>
          </w:p>
        </w:tc>
        <w:tc>
          <w:tcPr>
            <w:tcW w:type="dxa" w:w="18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Sep 1, 2026</w:t>
            </w:r>
          </w:p>
        </w:tc>
        <w:tc>
          <w:tcPr>
            <w:tcW w:type="dxa" w:w="61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Resolves all remaining Section 8 items: Commission, Referral &amp; Rewards, Marketing Campaigns, Inventory/Multi-Shop/SKU, RBAC, a new unified Audit Trail module, Notifications, Consolidated Financial Reporting, Offline/Connectivity, and Data Protection &amp; Privacy. Adds Bank-Transfer Payment Disputes (Sales/POS) and a Return/Refund Window policy (Warranty/Returns). No open cross-module questions remain from the original analysis.</w:t>
            </w:r>
          </w:p>
        </w:tc>
      </w:tr>
    </w:tbl>
    <w:p>
      <w:pPr>
        <w:spacing w:before="250"/>
      </w:pPr>
    </w:p>
    <w:p>
      <w:pPr>
        <w:pStyle w:val="Heading2"/>
        <w:spacing w:after="150" w:before="300"/>
      </w:pPr>
      <w:r>
        <w:rPr>
          <w:b/>
          <w:bCs/>
        </w:rPr>
        <w:t xml:space="preserve">Purpose vs. the BRD</w:t>
      </w:r>
    </w:p>
    <w:p>
      <w:pPr>
        <w:spacing w:after="160" w:line="276"/>
      </w:pPr>
      <w:r>
        <w:t xml:space="preserve">The Business Requirements Document (BRD) states what the system must do. This Business Logic Document (BLD) states how the system decides what happens in edge cases, races, exceptions, and multi-module interactions that the BRD's feature list does not fully specify — the operational rules, state models, and calculations that keep repairs, inventory, sales, payments, commission, referral, notifications, reporting, and warranty handling consistent across every module.</w:t>
      </w:r>
    </w:p>
    <w:p>
      <w:r>
        <w:br w:type="page"/>
      </w:r>
    </w:p>
    <w:p>
      <w:pPr>
        <w:pStyle w:val="Heading1"/>
        <w:spacing w:after="200" w:before="400"/>
      </w:pPr>
      <w:r>
        <w:rPr>
          <w:b/>
          <w:bCs/>
        </w:rPr>
        <w:t xml:space="preserve">Table of Contents</w:t>
      </w:r>
    </w:p>
    <w:p>
      <w:pPr>
        <w:tabs>
          <w:tab w:val="right" w:pos="9026" w:leader="dot"/>
        </w:tabs>
        <w:spacing w:after="120"/>
        <w:ind w:left="0"/>
      </w:pPr>
      <w:r>
        <w:rPr>
          <w:b/>
          <w:bCs/>
          <w:color w:val="1B2A4A"/>
          <w:sz w:val="21"/>
          <w:szCs w:val="21"/>
        </w:rPr>
        <w:t xml:space="preserve">1. Introduction	5</w:t>
      </w:r>
    </w:p>
    <w:p>
      <w:pPr>
        <w:tabs>
          <w:tab w:val="right" w:pos="9026" w:leader="dot"/>
        </w:tabs>
        <w:spacing w:after="85"/>
        <w:ind w:left="300"/>
      </w:pPr>
      <w:r>
        <w:rPr>
          <w:b w:val="false"/>
          <w:bCs w:val="false"/>
          <w:color w:val="232323"/>
          <w:sz w:val="21"/>
          <w:szCs w:val="21"/>
        </w:rPr>
        <w:t xml:space="preserve">1.1 Purpose &amp; Relationship to the BRD	5</w:t>
      </w:r>
    </w:p>
    <w:p>
      <w:pPr>
        <w:tabs>
          <w:tab w:val="right" w:pos="9026" w:leader="dot"/>
        </w:tabs>
        <w:spacing w:after="85"/>
        <w:ind w:left="300"/>
      </w:pPr>
      <w:r>
        <w:rPr>
          <w:b w:val="false"/>
          <w:bCs w:val="false"/>
          <w:color w:val="232323"/>
          <w:sz w:val="21"/>
          <w:szCs w:val="21"/>
        </w:rPr>
        <w:t xml:space="preserve">1.2 What a Business Logic Document Captures	5</w:t>
      </w:r>
    </w:p>
    <w:p>
      <w:pPr>
        <w:tabs>
          <w:tab w:val="right" w:pos="9026" w:leader="dot"/>
        </w:tabs>
        <w:spacing w:after="85"/>
        <w:ind w:left="300"/>
      </w:pPr>
      <w:r>
        <w:rPr>
          <w:b w:val="false"/>
          <w:bCs w:val="false"/>
          <w:color w:val="232323"/>
          <w:sz w:val="21"/>
          <w:szCs w:val="21"/>
        </w:rPr>
        <w:t xml:space="preserve">1.3 Document Conventions	5</w:t>
      </w:r>
    </w:p>
    <w:p>
      <w:pPr>
        <w:tabs>
          <w:tab w:val="right" w:pos="9026" w:leader="dot"/>
        </w:tabs>
        <w:spacing w:after="85"/>
        <w:ind w:left="300"/>
      </w:pPr>
      <w:r>
        <w:rPr>
          <w:b w:val="false"/>
          <w:bCs w:val="false"/>
          <w:color w:val="232323"/>
          <w:sz w:val="21"/>
          <w:szCs w:val="21"/>
        </w:rPr>
        <w:t xml:space="preserve">1.4 Scope &amp; Status of This Version	6</w:t>
      </w:r>
    </w:p>
    <w:p>
      <w:pPr>
        <w:tabs>
          <w:tab w:val="right" w:pos="9026" w:leader="dot"/>
        </w:tabs>
        <w:spacing w:after="120"/>
        <w:ind w:left="0"/>
      </w:pPr>
      <w:r>
        <w:rPr>
          <w:b/>
          <w:bCs/>
          <w:color w:val="1B2A4A"/>
          <w:sz w:val="21"/>
          <w:szCs w:val="21"/>
        </w:rPr>
        <w:t xml:space="preserve">2. Core Business Logic Concepts (Cross-Cutting)	7</w:t>
      </w:r>
    </w:p>
    <w:p>
      <w:pPr>
        <w:tabs>
          <w:tab w:val="right" w:pos="9026" w:leader="dot"/>
        </w:tabs>
        <w:spacing w:after="85"/>
        <w:ind w:left="300"/>
      </w:pPr>
      <w:r>
        <w:rPr>
          <w:b w:val="false"/>
          <w:bCs w:val="false"/>
          <w:color w:val="232323"/>
          <w:sz w:val="21"/>
          <w:szCs w:val="21"/>
        </w:rPr>
        <w:t xml:space="preserve">2.1 Inventory Reservation Model	7</w:t>
      </w:r>
    </w:p>
    <w:p>
      <w:pPr>
        <w:tabs>
          <w:tab w:val="right" w:pos="9026" w:leader="dot"/>
        </w:tabs>
        <w:spacing w:after="85"/>
        <w:ind w:left="300"/>
      </w:pPr>
      <w:r>
        <w:rPr>
          <w:b w:val="false"/>
          <w:bCs w:val="false"/>
          <w:color w:val="232323"/>
          <w:sz w:val="21"/>
          <w:szCs w:val="21"/>
        </w:rPr>
        <w:t xml:space="preserve">2.2 Reservation Sources &amp; Reuse Across Modules	7</w:t>
      </w:r>
    </w:p>
    <w:p>
      <w:pPr>
        <w:tabs>
          <w:tab w:val="right" w:pos="9026" w:leader="dot"/>
        </w:tabs>
        <w:spacing w:after="85"/>
        <w:ind w:left="300"/>
      </w:pPr>
      <w:r>
        <w:rPr>
          <w:b w:val="false"/>
          <w:bCs w:val="false"/>
          <w:color w:val="232323"/>
          <w:sz w:val="21"/>
          <w:szCs w:val="21"/>
        </w:rPr>
        <w:t xml:space="preserve">2.3 Serialized vs. Non-Serialized Allocation	7</w:t>
      </w:r>
    </w:p>
    <w:p>
      <w:pPr>
        <w:tabs>
          <w:tab w:val="right" w:pos="9026" w:leader="dot"/>
        </w:tabs>
        <w:spacing w:after="85"/>
        <w:ind w:left="300"/>
      </w:pPr>
      <w:r>
        <w:rPr>
          <w:b w:val="false"/>
          <w:bCs w:val="false"/>
          <w:color w:val="232323"/>
          <w:sz w:val="21"/>
          <w:szCs w:val="21"/>
        </w:rPr>
        <w:t xml:space="preserve">2.4 Four-Dimension Transaction State Model	8</w:t>
      </w:r>
    </w:p>
    <w:p>
      <w:pPr>
        <w:tabs>
          <w:tab w:val="right" w:pos="9026" w:leader="dot"/>
        </w:tabs>
        <w:spacing w:after="85"/>
        <w:ind w:left="300"/>
      </w:pPr>
      <w:r>
        <w:rPr>
          <w:b w:val="false"/>
          <w:bCs w:val="false"/>
          <w:color w:val="232323"/>
          <w:sz w:val="21"/>
          <w:szCs w:val="21"/>
        </w:rPr>
        <w:t xml:space="preserve">2.5 Concurrency &amp; Transactional Integrity	8</w:t>
      </w:r>
    </w:p>
    <w:p>
      <w:pPr>
        <w:tabs>
          <w:tab w:val="right" w:pos="9026" w:leader="dot"/>
        </w:tabs>
        <w:spacing w:after="120"/>
        <w:ind w:left="0"/>
      </w:pPr>
      <w:r>
        <w:rPr>
          <w:b/>
          <w:bCs/>
          <w:color w:val="1B2A4A"/>
          <w:sz w:val="21"/>
          <w:szCs w:val="21"/>
        </w:rPr>
        <w:t xml:space="preserve">3. Repair Management — Business Logic	9</w:t>
      </w:r>
    </w:p>
    <w:p>
      <w:pPr>
        <w:tabs>
          <w:tab w:val="right" w:pos="9026" w:leader="dot"/>
        </w:tabs>
        <w:spacing w:after="85"/>
        <w:ind w:left="300"/>
      </w:pPr>
      <w:r>
        <w:rPr>
          <w:b w:val="false"/>
          <w:bCs w:val="false"/>
          <w:color w:val="232323"/>
          <w:sz w:val="21"/>
          <w:szCs w:val="21"/>
        </w:rPr>
        <w:t xml:space="preserve">3.1 Revised Repair Lifecycle	9</w:t>
      </w:r>
    </w:p>
    <w:p>
      <w:pPr>
        <w:tabs>
          <w:tab w:val="right" w:pos="9026" w:leader="dot"/>
        </w:tabs>
        <w:spacing w:after="85"/>
        <w:ind w:left="300"/>
      </w:pPr>
      <w:r>
        <w:rPr>
          <w:b w:val="false"/>
          <w:bCs w:val="false"/>
          <w:color w:val="232323"/>
          <w:sz w:val="21"/>
          <w:szCs w:val="21"/>
        </w:rPr>
        <w:t xml:space="preserve">3.2 Diagnosis as a Structured Business Object	9</w:t>
      </w:r>
    </w:p>
    <w:p>
      <w:pPr>
        <w:tabs>
          <w:tab w:val="right" w:pos="9026" w:leader="dot"/>
        </w:tabs>
        <w:spacing w:after="85"/>
        <w:ind w:left="300"/>
      </w:pPr>
      <w:r>
        <w:rPr>
          <w:b w:val="false"/>
          <w:bCs w:val="false"/>
          <w:color w:val="232323"/>
          <w:sz w:val="21"/>
          <w:szCs w:val="21"/>
        </w:rPr>
        <w:t xml:space="preserve">3.3 Parts Reservation &amp; Conflict Handling	10</w:t>
      </w:r>
    </w:p>
    <w:p>
      <w:pPr>
        <w:tabs>
          <w:tab w:val="right" w:pos="9026" w:leader="dot"/>
        </w:tabs>
        <w:spacing w:after="85"/>
        <w:ind w:left="300"/>
      </w:pPr>
      <w:r>
        <w:rPr>
          <w:b w:val="false"/>
          <w:bCs w:val="false"/>
          <w:color w:val="232323"/>
          <w:sz w:val="21"/>
          <w:szCs w:val="21"/>
        </w:rPr>
        <w:t xml:space="preserve">3.4 Parts Shortage vs. Low-Stock Alerts	10</w:t>
      </w:r>
    </w:p>
    <w:p>
      <w:pPr>
        <w:tabs>
          <w:tab w:val="right" w:pos="9026" w:leader="dot"/>
        </w:tabs>
        <w:spacing w:after="85"/>
        <w:ind w:left="300"/>
      </w:pPr>
      <w:r>
        <w:rPr>
          <w:b w:val="false"/>
          <w:bCs w:val="false"/>
          <w:color w:val="232323"/>
          <w:sz w:val="21"/>
          <w:szCs w:val="21"/>
        </w:rPr>
        <w:t xml:space="preserve">3.5 Diagnosis Outcome &amp; Unrepairable Handling	11</w:t>
      </w:r>
    </w:p>
    <w:p>
      <w:pPr>
        <w:tabs>
          <w:tab w:val="right" w:pos="9026" w:leader="dot"/>
        </w:tabs>
        <w:spacing w:after="85"/>
        <w:ind w:left="300"/>
      </w:pPr>
      <w:r>
        <w:rPr>
          <w:b w:val="false"/>
          <w:bCs w:val="false"/>
          <w:color w:val="232323"/>
          <w:sz w:val="21"/>
          <w:szCs w:val="21"/>
        </w:rPr>
        <w:t xml:space="preserve">3.6 Repair Authorization &amp; Payment-Before-Work	12</w:t>
      </w:r>
    </w:p>
    <w:p>
      <w:pPr>
        <w:tabs>
          <w:tab w:val="right" w:pos="9026" w:leader="dot"/>
        </w:tabs>
        <w:spacing w:after="85"/>
        <w:ind w:left="300"/>
      </w:pPr>
      <w:r>
        <w:rPr>
          <w:b w:val="false"/>
          <w:bCs w:val="false"/>
          <w:color w:val="232323"/>
          <w:sz w:val="21"/>
          <w:szCs w:val="21"/>
        </w:rPr>
        <w:t xml:space="preserve">3.7 Completed Repair With Outstanding Balance	12</w:t>
      </w:r>
    </w:p>
    <w:p>
      <w:pPr>
        <w:tabs>
          <w:tab w:val="right" w:pos="9026" w:leader="dot"/>
        </w:tabs>
        <w:spacing w:after="85"/>
        <w:ind w:left="300"/>
      </w:pPr>
      <w:r>
        <w:rPr>
          <w:b w:val="false"/>
          <w:bCs w:val="false"/>
          <w:color w:val="232323"/>
          <w:sz w:val="21"/>
          <w:szCs w:val="21"/>
        </w:rPr>
        <w:t xml:space="preserve">3.8 Collection &amp; Abandonment Management	13</w:t>
      </w:r>
    </w:p>
    <w:p>
      <w:pPr>
        <w:tabs>
          <w:tab w:val="right" w:pos="9026" w:leader="dot"/>
        </w:tabs>
        <w:spacing w:after="85"/>
        <w:ind w:left="300"/>
      </w:pPr>
      <w:r>
        <w:rPr>
          <w:b w:val="false"/>
          <w:bCs w:val="false"/>
          <w:color w:val="232323"/>
          <w:sz w:val="21"/>
          <w:szCs w:val="21"/>
        </w:rPr>
        <w:t xml:space="preserve">3.9 Repair State Summary	15</w:t>
      </w:r>
    </w:p>
    <w:p>
      <w:pPr>
        <w:tabs>
          <w:tab w:val="right" w:pos="9026" w:leader="dot"/>
        </w:tabs>
        <w:spacing w:after="120"/>
        <w:ind w:left="0"/>
      </w:pPr>
      <w:r>
        <w:rPr>
          <w:b/>
          <w:bCs/>
          <w:color w:val="1B2A4A"/>
          <w:sz w:val="21"/>
          <w:szCs w:val="21"/>
        </w:rPr>
        <w:t xml:space="preserve">4. Sales / POS — Business Logic	16</w:t>
      </w:r>
    </w:p>
    <w:p>
      <w:pPr>
        <w:tabs>
          <w:tab w:val="right" w:pos="9026" w:leader="dot"/>
        </w:tabs>
        <w:spacing w:after="85"/>
        <w:ind w:left="300"/>
      </w:pPr>
      <w:r>
        <w:rPr>
          <w:b w:val="false"/>
          <w:bCs w:val="false"/>
          <w:color w:val="232323"/>
          <w:sz w:val="21"/>
          <w:szCs w:val="21"/>
        </w:rPr>
        <w:t xml:space="preserve">4.1 Checkout Reservation Model	16</w:t>
      </w:r>
    </w:p>
    <w:p>
      <w:pPr>
        <w:tabs>
          <w:tab w:val="right" w:pos="9026" w:leader="dot"/>
        </w:tabs>
        <w:spacing w:after="85"/>
        <w:ind w:left="300"/>
      </w:pPr>
      <w:r>
        <w:rPr>
          <w:b w:val="false"/>
          <w:bCs w:val="false"/>
          <w:color w:val="232323"/>
          <w:sz w:val="21"/>
          <w:szCs w:val="21"/>
        </w:rPr>
        <w:t xml:space="preserve">4.2 Concurrency at Checkout	16</w:t>
      </w:r>
    </w:p>
    <w:p>
      <w:pPr>
        <w:tabs>
          <w:tab w:val="right" w:pos="9026" w:leader="dot"/>
        </w:tabs>
        <w:spacing w:after="85"/>
        <w:ind w:left="300"/>
      </w:pPr>
      <w:r>
        <w:rPr>
          <w:b w:val="false"/>
          <w:bCs w:val="false"/>
          <w:color w:val="232323"/>
          <w:sz w:val="21"/>
          <w:szCs w:val="21"/>
        </w:rPr>
        <w:t xml:space="preserve">4.3 Payment Confirmation, Expiry &amp; Release	17</w:t>
      </w:r>
    </w:p>
    <w:p>
      <w:pPr>
        <w:tabs>
          <w:tab w:val="right" w:pos="9026" w:leader="dot"/>
        </w:tabs>
        <w:spacing w:after="85"/>
        <w:ind w:left="300"/>
      </w:pPr>
      <w:r>
        <w:rPr>
          <w:b w:val="false"/>
          <w:bCs w:val="false"/>
          <w:color w:val="232323"/>
          <w:sz w:val="21"/>
          <w:szCs w:val="21"/>
        </w:rPr>
        <w:t xml:space="preserve">4.4 Relationship to Repair Down Payments	17</w:t>
      </w:r>
    </w:p>
    <w:p>
      <w:pPr>
        <w:tabs>
          <w:tab w:val="right" w:pos="9026" w:leader="dot"/>
        </w:tabs>
        <w:spacing w:after="85"/>
        <w:ind w:left="300"/>
      </w:pPr>
      <w:r>
        <w:rPr>
          <w:b w:val="false"/>
          <w:bCs w:val="false"/>
          <w:color w:val="232323"/>
          <w:sz w:val="21"/>
          <w:szCs w:val="21"/>
        </w:rPr>
        <w:t xml:space="preserve">4.5 Bank Transfer Confirmation &amp; Payment Disputes	17</w:t>
      </w:r>
    </w:p>
    <w:p>
      <w:pPr>
        <w:tabs>
          <w:tab w:val="right" w:pos="9026" w:leader="dot"/>
        </w:tabs>
        <w:spacing w:after="120"/>
        <w:ind w:left="0"/>
      </w:pPr>
      <w:r>
        <w:rPr>
          <w:b/>
          <w:bCs/>
          <w:color w:val="1B2A4A"/>
          <w:sz w:val="21"/>
          <w:szCs w:val="21"/>
        </w:rPr>
        <w:t xml:space="preserve">5. Warranty, Returns &amp; After-Sales Management	19</w:t>
      </w:r>
    </w:p>
    <w:p>
      <w:pPr>
        <w:tabs>
          <w:tab w:val="right" w:pos="9026" w:leader="dot"/>
        </w:tabs>
        <w:spacing w:after="85"/>
        <w:ind w:left="300"/>
      </w:pPr>
      <w:r>
        <w:rPr>
          <w:b w:val="false"/>
          <w:bCs w:val="false"/>
          <w:color w:val="232323"/>
          <w:sz w:val="21"/>
          <w:szCs w:val="21"/>
        </w:rPr>
        <w:t xml:space="preserve">5.1 Why a Dedicated Module Is Needed	19</w:t>
      </w:r>
    </w:p>
    <w:p>
      <w:pPr>
        <w:tabs>
          <w:tab w:val="right" w:pos="9026" w:leader="dot"/>
        </w:tabs>
        <w:spacing w:after="85"/>
        <w:ind w:left="300"/>
      </w:pPr>
      <w:r>
        <w:rPr>
          <w:b w:val="false"/>
          <w:bCs w:val="false"/>
          <w:color w:val="232323"/>
          <w:sz w:val="21"/>
          <w:szCs w:val="21"/>
        </w:rPr>
        <w:t xml:space="preserve">5.2 Key Distinctions	19</w:t>
      </w:r>
    </w:p>
    <w:p>
      <w:pPr>
        <w:tabs>
          <w:tab w:val="right" w:pos="9026" w:leader="dot"/>
        </w:tabs>
        <w:spacing w:after="85"/>
        <w:ind w:left="300"/>
      </w:pPr>
      <w:r>
        <w:rPr>
          <w:b w:val="false"/>
          <w:bCs w:val="false"/>
          <w:color w:val="232323"/>
          <w:sz w:val="21"/>
          <w:szCs w:val="21"/>
        </w:rPr>
        <w:t xml:space="preserve">5.3 Warranty Policy Model	19</w:t>
      </w:r>
    </w:p>
    <w:p>
      <w:pPr>
        <w:tabs>
          <w:tab w:val="right" w:pos="9026" w:leader="dot"/>
        </w:tabs>
        <w:spacing w:after="85"/>
        <w:ind w:left="300"/>
      </w:pPr>
      <w:r>
        <w:rPr>
          <w:b w:val="false"/>
          <w:bCs w:val="false"/>
          <w:color w:val="232323"/>
          <w:sz w:val="21"/>
          <w:szCs w:val="21"/>
        </w:rPr>
        <w:t xml:space="preserve">5.4 Warranty Claim Lifecycle	20</w:t>
      </w:r>
    </w:p>
    <w:p>
      <w:pPr>
        <w:tabs>
          <w:tab w:val="right" w:pos="9026" w:leader="dot"/>
        </w:tabs>
        <w:spacing w:after="85"/>
        <w:ind w:left="300"/>
      </w:pPr>
      <w:r>
        <w:rPr>
          <w:b w:val="false"/>
          <w:bCs w:val="false"/>
          <w:color w:val="232323"/>
          <w:sz w:val="21"/>
          <w:szCs w:val="21"/>
        </w:rPr>
        <w:t xml:space="preserve">5.5 Eligibility, Assessment &amp; Exclusions	21</w:t>
      </w:r>
    </w:p>
    <w:p>
      <w:pPr>
        <w:tabs>
          <w:tab w:val="right" w:pos="9026" w:leader="dot"/>
        </w:tabs>
        <w:spacing w:after="85"/>
        <w:ind w:left="300"/>
      </w:pPr>
      <w:r>
        <w:rPr>
          <w:b w:val="false"/>
          <w:bCs w:val="false"/>
          <w:color w:val="232323"/>
          <w:sz w:val="21"/>
          <w:szCs w:val="21"/>
        </w:rPr>
        <w:t xml:space="preserve">5.6 Resolution Options &amp; Financial Control	21</w:t>
      </w:r>
    </w:p>
    <w:p>
      <w:pPr>
        <w:tabs>
          <w:tab w:val="right" w:pos="9026" w:leader="dot"/>
        </w:tabs>
        <w:spacing w:after="85"/>
        <w:ind w:left="300"/>
      </w:pPr>
      <w:r>
        <w:rPr>
          <w:b w:val="false"/>
          <w:bCs w:val="false"/>
          <w:color w:val="232323"/>
          <w:sz w:val="21"/>
          <w:szCs w:val="21"/>
        </w:rPr>
        <w:t xml:space="preserve">5.7 Trade-In / Swap Flow	22</w:t>
      </w:r>
    </w:p>
    <w:p>
      <w:pPr>
        <w:tabs>
          <w:tab w:val="right" w:pos="9026" w:leader="dot"/>
        </w:tabs>
        <w:spacing w:after="85"/>
        <w:ind w:left="300"/>
      </w:pPr>
      <w:r>
        <w:rPr>
          <w:b w:val="false"/>
          <w:bCs w:val="false"/>
          <w:color w:val="232323"/>
          <w:sz w:val="21"/>
          <w:szCs w:val="21"/>
        </w:rPr>
        <w:t xml:space="preserve">5.8 Regulatory Consideration (Nigeria)	22</w:t>
      </w:r>
    </w:p>
    <w:p>
      <w:pPr>
        <w:tabs>
          <w:tab w:val="right" w:pos="9026" w:leader="dot"/>
        </w:tabs>
        <w:spacing w:after="85"/>
        <w:ind w:left="300"/>
      </w:pPr>
      <w:r>
        <w:rPr>
          <w:b w:val="false"/>
          <w:bCs w:val="false"/>
          <w:color w:val="232323"/>
          <w:sz w:val="21"/>
          <w:szCs w:val="21"/>
        </w:rPr>
        <w:t xml:space="preserve">5.9 Return / Refund Window	22</w:t>
      </w:r>
    </w:p>
    <w:p>
      <w:pPr>
        <w:tabs>
          <w:tab w:val="right" w:pos="9026" w:leader="dot"/>
        </w:tabs>
        <w:spacing w:after="120"/>
        <w:ind w:left="0"/>
      </w:pPr>
      <w:r>
        <w:rPr>
          <w:b/>
          <w:bCs/>
          <w:color w:val="1B2A4A"/>
          <w:sz w:val="21"/>
          <w:szCs w:val="21"/>
        </w:rPr>
        <w:t xml:space="preserve">6. Commission Management — Business Logic	23</w:t>
      </w:r>
    </w:p>
    <w:p>
      <w:pPr>
        <w:tabs>
          <w:tab w:val="right" w:pos="9026" w:leader="dot"/>
        </w:tabs>
        <w:spacing w:after="85"/>
        <w:ind w:left="300"/>
      </w:pPr>
      <w:r>
        <w:rPr>
          <w:b w:val="false"/>
          <w:bCs w:val="false"/>
          <w:color w:val="232323"/>
          <w:sz w:val="21"/>
          <w:szCs w:val="21"/>
        </w:rPr>
        <w:t xml:space="preserve">6.1 Commissionable Amount	23</w:t>
      </w:r>
    </w:p>
    <w:p>
      <w:pPr>
        <w:tabs>
          <w:tab w:val="right" w:pos="9026" w:leader="dot"/>
        </w:tabs>
        <w:spacing w:after="85"/>
        <w:ind w:left="300"/>
      </w:pPr>
      <w:r>
        <w:rPr>
          <w:b w:val="false"/>
          <w:bCs w:val="false"/>
          <w:color w:val="232323"/>
          <w:sz w:val="21"/>
          <w:szCs w:val="21"/>
        </w:rPr>
        <w:t xml:space="preserve">6.2 Payment-Based Recognition: Earned vs. Paid	23</w:t>
      </w:r>
    </w:p>
    <w:p>
      <w:pPr>
        <w:tabs>
          <w:tab w:val="right" w:pos="9026" w:leader="dot"/>
        </w:tabs>
        <w:spacing w:after="85"/>
        <w:ind w:left="300"/>
      </w:pPr>
      <w:r>
        <w:rPr>
          <w:b w:val="false"/>
          <w:bCs w:val="false"/>
          <w:color w:val="232323"/>
          <w:sz w:val="21"/>
          <w:szCs w:val="21"/>
        </w:rPr>
        <w:t xml:space="preserve">6.3 Reversal, Ledger &amp; Partial Refunds	23</w:t>
      </w:r>
    </w:p>
    <w:p>
      <w:pPr>
        <w:tabs>
          <w:tab w:val="right" w:pos="9026" w:leader="dot"/>
        </w:tabs>
        <w:spacing w:after="85"/>
        <w:ind w:left="300"/>
      </w:pPr>
      <w:r>
        <w:rPr>
          <w:b w:val="false"/>
          <w:bCs w:val="false"/>
          <w:color w:val="232323"/>
          <w:sz w:val="21"/>
          <w:szCs w:val="21"/>
        </w:rPr>
        <w:t xml:space="preserve">6.4 Multi-Staff Attribution &amp; Assignment History	24</w:t>
      </w:r>
    </w:p>
    <w:p>
      <w:pPr>
        <w:tabs>
          <w:tab w:val="right" w:pos="9026" w:leader="dot"/>
        </w:tabs>
        <w:spacing w:after="120"/>
        <w:ind w:left="0"/>
      </w:pPr>
      <w:r>
        <w:rPr>
          <w:b/>
          <w:bCs/>
          <w:color w:val="1B2A4A"/>
          <w:sz w:val="21"/>
          <w:szCs w:val="21"/>
        </w:rPr>
        <w:t xml:space="preserve">7. Referral Program — Business Logic	26</w:t>
      </w:r>
    </w:p>
    <w:p>
      <w:pPr>
        <w:tabs>
          <w:tab w:val="right" w:pos="9026" w:leader="dot"/>
        </w:tabs>
        <w:spacing w:after="85"/>
        <w:ind w:left="300"/>
      </w:pPr>
      <w:r>
        <w:rPr>
          <w:b w:val="false"/>
          <w:bCs w:val="false"/>
          <w:color w:val="232323"/>
          <w:sz w:val="21"/>
          <w:szCs w:val="21"/>
        </w:rPr>
        <w:t xml:space="preserve">7.1 Qualifying Transaction &amp; Bonus Timing	26</w:t>
      </w:r>
    </w:p>
    <w:p>
      <w:pPr>
        <w:tabs>
          <w:tab w:val="right" w:pos="9026" w:leader="dot"/>
        </w:tabs>
        <w:spacing w:after="85"/>
        <w:ind w:left="300"/>
      </w:pPr>
      <w:r>
        <w:rPr>
          <w:b w:val="false"/>
          <w:bCs w:val="false"/>
          <w:color w:val="232323"/>
          <w:sz w:val="21"/>
          <w:szCs w:val="21"/>
        </w:rPr>
        <w:t xml:space="preserve">7.2 Reward Generation	26</w:t>
      </w:r>
    </w:p>
    <w:p>
      <w:pPr>
        <w:tabs>
          <w:tab w:val="right" w:pos="9026" w:leader="dot"/>
        </w:tabs>
        <w:spacing w:after="85"/>
        <w:ind w:left="300"/>
      </w:pPr>
      <w:r>
        <w:rPr>
          <w:b w:val="false"/>
          <w:bCs w:val="false"/>
          <w:color w:val="232323"/>
          <w:sz w:val="21"/>
          <w:szCs w:val="21"/>
        </w:rPr>
        <w:t xml:space="preserve">7.3 Refund Window &amp; Bonus Timing	26</w:t>
      </w:r>
    </w:p>
    <w:p>
      <w:pPr>
        <w:tabs>
          <w:tab w:val="right" w:pos="9026" w:leader="dot"/>
        </w:tabs>
        <w:spacing w:after="85"/>
        <w:ind w:left="300"/>
      </w:pPr>
      <w:r>
        <w:rPr>
          <w:b w:val="false"/>
          <w:bCs w:val="false"/>
          <w:color w:val="232323"/>
          <w:sz w:val="21"/>
          <w:szCs w:val="21"/>
        </w:rPr>
        <w:t xml:space="preserve">7.4 Fraud &amp; Self-Referral Safeguards	27</w:t>
      </w:r>
    </w:p>
    <w:p>
      <w:pPr>
        <w:tabs>
          <w:tab w:val="right" w:pos="9026" w:leader="dot"/>
        </w:tabs>
        <w:spacing w:after="120"/>
        <w:ind w:left="0"/>
      </w:pPr>
      <w:r>
        <w:rPr>
          <w:b/>
          <w:bCs/>
          <w:color w:val="1B2A4A"/>
          <w:sz w:val="21"/>
          <w:szCs w:val="21"/>
        </w:rPr>
        <w:t xml:space="preserve">8. Marketing Campaigns &amp; Rewards — Business Logic	28</w:t>
      </w:r>
    </w:p>
    <w:p>
      <w:pPr>
        <w:tabs>
          <w:tab w:val="right" w:pos="9026" w:leader="dot"/>
        </w:tabs>
        <w:spacing w:after="85"/>
        <w:ind w:left="300"/>
      </w:pPr>
      <w:r>
        <w:rPr>
          <w:b w:val="false"/>
          <w:bCs w:val="false"/>
          <w:color w:val="232323"/>
          <w:sz w:val="21"/>
          <w:szCs w:val="21"/>
        </w:rPr>
        <w:t xml:space="preserve">8.1 Reward Types: Store Credit &amp; Vouchers	28</w:t>
      </w:r>
    </w:p>
    <w:p>
      <w:pPr>
        <w:tabs>
          <w:tab w:val="right" w:pos="9026" w:leader="dot"/>
        </w:tabs>
        <w:spacing w:after="85"/>
        <w:ind w:left="300"/>
      </w:pPr>
      <w:r>
        <w:rPr>
          <w:b w:val="false"/>
          <w:bCs w:val="false"/>
          <w:color w:val="232323"/>
          <w:sz w:val="21"/>
          <w:szCs w:val="21"/>
        </w:rPr>
        <w:t xml:space="preserve">8.2 Discount &amp; Reward Stacking	28</w:t>
      </w:r>
    </w:p>
    <w:p>
      <w:pPr>
        <w:tabs>
          <w:tab w:val="right" w:pos="9026" w:leader="dot"/>
        </w:tabs>
        <w:spacing w:after="85"/>
        <w:ind w:left="300"/>
      </w:pPr>
      <w:r>
        <w:rPr>
          <w:b w:val="false"/>
          <w:bCs w:val="false"/>
          <w:color w:val="232323"/>
          <w:sz w:val="21"/>
          <w:szCs w:val="21"/>
        </w:rPr>
        <w:t xml:space="preserve">8.3 Customer Segment Source of Truth	29</w:t>
      </w:r>
    </w:p>
    <w:p>
      <w:pPr>
        <w:tabs>
          <w:tab w:val="right" w:pos="9026" w:leader="dot"/>
        </w:tabs>
        <w:spacing w:after="120"/>
        <w:ind w:left="0"/>
      </w:pPr>
      <w:r>
        <w:rPr>
          <w:b/>
          <w:bCs/>
          <w:color w:val="1B2A4A"/>
          <w:sz w:val="21"/>
          <w:szCs w:val="21"/>
        </w:rPr>
        <w:t xml:space="preserve">9. Inventory, Multi-Shop &amp; SKU — Business Logic	30</w:t>
      </w:r>
    </w:p>
    <w:p>
      <w:pPr>
        <w:tabs>
          <w:tab w:val="right" w:pos="9026" w:leader="dot"/>
        </w:tabs>
        <w:spacing w:after="85"/>
        <w:ind w:left="300"/>
      </w:pPr>
      <w:r>
        <w:rPr>
          <w:b w:val="false"/>
          <w:bCs w:val="false"/>
          <w:color w:val="232323"/>
          <w:sz w:val="21"/>
          <w:szCs w:val="21"/>
        </w:rPr>
        <w:t xml:space="preserve">9.1 Product, SKU &amp; Inventory Item Model	30</w:t>
      </w:r>
    </w:p>
    <w:p>
      <w:pPr>
        <w:tabs>
          <w:tab w:val="right" w:pos="9026" w:leader="dot"/>
        </w:tabs>
        <w:spacing w:after="85"/>
        <w:ind w:left="300"/>
      </w:pPr>
      <w:r>
        <w:rPr>
          <w:b w:val="false"/>
          <w:bCs w:val="false"/>
          <w:color w:val="232323"/>
          <w:sz w:val="21"/>
          <w:szCs w:val="21"/>
        </w:rPr>
        <w:t xml:space="preserve">9.2 Inter-Shop Transfers	30</w:t>
      </w:r>
    </w:p>
    <w:p>
      <w:pPr>
        <w:tabs>
          <w:tab w:val="right" w:pos="9026" w:leader="dot"/>
        </w:tabs>
        <w:spacing w:after="85"/>
        <w:ind w:left="300"/>
      </w:pPr>
      <w:r>
        <w:rPr>
          <w:b w:val="false"/>
          <w:bCs w:val="false"/>
          <w:color w:val="232323"/>
          <w:sz w:val="21"/>
          <w:szCs w:val="21"/>
        </w:rPr>
        <w:t xml:space="preserve">9.3 Available Stock for Allocation	31</w:t>
      </w:r>
    </w:p>
    <w:p>
      <w:pPr>
        <w:tabs>
          <w:tab w:val="right" w:pos="9026" w:leader="dot"/>
        </w:tabs>
        <w:spacing w:after="120"/>
        <w:ind w:left="0"/>
      </w:pPr>
      <w:r>
        <w:rPr>
          <w:b/>
          <w:bCs/>
          <w:color w:val="1B2A4A"/>
          <w:sz w:val="21"/>
          <w:szCs w:val="21"/>
        </w:rPr>
        <w:t xml:space="preserve">10. RBAC — Business Logic	32</w:t>
      </w:r>
    </w:p>
    <w:p>
      <w:pPr>
        <w:tabs>
          <w:tab w:val="right" w:pos="9026" w:leader="dot"/>
        </w:tabs>
        <w:spacing w:after="85"/>
        <w:ind w:left="300"/>
      </w:pPr>
      <w:r>
        <w:rPr>
          <w:b w:val="false"/>
          <w:bCs w:val="false"/>
          <w:color w:val="232323"/>
          <w:sz w:val="21"/>
          <w:szCs w:val="21"/>
        </w:rPr>
        <w:t xml:space="preserve">10.1 Multiple Roles &amp; Effective Permissions	32</w:t>
      </w:r>
    </w:p>
    <w:p>
      <w:pPr>
        <w:tabs>
          <w:tab w:val="right" w:pos="9026" w:leader="dot"/>
        </w:tabs>
        <w:spacing w:after="85"/>
        <w:ind w:left="300"/>
      </w:pPr>
      <w:r>
        <w:rPr>
          <w:b w:val="false"/>
          <w:bCs w:val="false"/>
          <w:color w:val="232323"/>
          <w:sz w:val="21"/>
          <w:szCs w:val="21"/>
        </w:rPr>
        <w:t xml:space="preserve">10.2 Historical Preservation &amp; Deactivation	32</w:t>
      </w:r>
    </w:p>
    <w:p>
      <w:pPr>
        <w:tabs>
          <w:tab w:val="right" w:pos="9026" w:leader="dot"/>
        </w:tabs>
        <w:spacing w:after="120"/>
        <w:ind w:left="0"/>
      </w:pPr>
      <w:r>
        <w:rPr>
          <w:b/>
          <w:bCs/>
          <w:color w:val="1B2A4A"/>
          <w:sz w:val="21"/>
          <w:szCs w:val="21"/>
        </w:rPr>
        <w:t xml:space="preserve">11. Unified Audit Trail — Business Logic	33</w:t>
      </w:r>
    </w:p>
    <w:p>
      <w:pPr>
        <w:tabs>
          <w:tab w:val="right" w:pos="9026" w:leader="dot"/>
        </w:tabs>
        <w:spacing w:after="120"/>
        <w:ind w:left="0"/>
      </w:pPr>
      <w:r>
        <w:rPr>
          <w:b/>
          <w:bCs/>
          <w:color w:val="1B2A4A"/>
          <w:sz w:val="21"/>
          <w:szCs w:val="21"/>
        </w:rPr>
        <w:t xml:space="preserve">12. Notifications — Business Logic	34</w:t>
      </w:r>
    </w:p>
    <w:p>
      <w:pPr>
        <w:tabs>
          <w:tab w:val="right" w:pos="9026" w:leader="dot"/>
        </w:tabs>
        <w:spacing w:after="85"/>
        <w:ind w:left="300"/>
      </w:pPr>
      <w:r>
        <w:rPr>
          <w:b w:val="false"/>
          <w:bCs w:val="false"/>
          <w:color w:val="232323"/>
          <w:sz w:val="21"/>
          <w:szCs w:val="21"/>
        </w:rPr>
        <w:t xml:space="preserve">12.1 Event-Driven Delivery Architecture	34</w:t>
      </w:r>
    </w:p>
    <w:p>
      <w:pPr>
        <w:tabs>
          <w:tab w:val="right" w:pos="9026" w:leader="dot"/>
        </w:tabs>
        <w:spacing w:after="85"/>
        <w:ind w:left="300"/>
      </w:pPr>
      <w:r>
        <w:rPr>
          <w:b w:val="false"/>
          <w:bCs w:val="false"/>
          <w:color w:val="232323"/>
          <w:sz w:val="21"/>
          <w:szCs w:val="21"/>
        </w:rPr>
        <w:t xml:space="preserve">12.2 Retry, Failover &amp; Delivery Status	34</w:t>
      </w:r>
    </w:p>
    <w:p>
      <w:pPr>
        <w:tabs>
          <w:tab w:val="right" w:pos="9026" w:leader="dot"/>
        </w:tabs>
        <w:spacing w:after="85"/>
        <w:ind w:left="300"/>
      </w:pPr>
      <w:r>
        <w:rPr>
          <w:b w:val="false"/>
          <w:bCs w:val="false"/>
          <w:color w:val="232323"/>
          <w:sz w:val="21"/>
          <w:szCs w:val="21"/>
        </w:rPr>
        <w:t xml:space="preserve">12.3 Notification Categories &amp; Preferences	35</w:t>
      </w:r>
    </w:p>
    <w:p>
      <w:pPr>
        <w:tabs>
          <w:tab w:val="right" w:pos="9026" w:leader="dot"/>
        </w:tabs>
        <w:spacing w:after="120"/>
        <w:ind w:left="0"/>
      </w:pPr>
      <w:r>
        <w:rPr>
          <w:b/>
          <w:bCs/>
          <w:color w:val="1B2A4A"/>
          <w:sz w:val="21"/>
          <w:szCs w:val="21"/>
        </w:rPr>
        <w:t xml:space="preserve">13. Expense Tracking &amp; Consolidated Financial Reporting	36</w:t>
      </w:r>
    </w:p>
    <w:p>
      <w:pPr>
        <w:tabs>
          <w:tab w:val="right" w:pos="9026" w:leader="dot"/>
        </w:tabs>
        <w:spacing w:after="120"/>
        <w:ind w:left="0"/>
      </w:pPr>
      <w:r>
        <w:rPr>
          <w:b/>
          <w:bCs/>
          <w:color w:val="1B2A4A"/>
          <w:sz w:val="21"/>
          <w:szCs w:val="21"/>
        </w:rPr>
        <w:t xml:space="preserve">14. Offline &amp; Connectivity — Business Logic	37</w:t>
      </w:r>
    </w:p>
    <w:p>
      <w:pPr>
        <w:tabs>
          <w:tab w:val="right" w:pos="9026" w:leader="dot"/>
        </w:tabs>
        <w:spacing w:after="120"/>
        <w:ind w:left="0"/>
      </w:pPr>
      <w:r>
        <w:rPr>
          <w:b/>
          <w:bCs/>
          <w:color w:val="1B2A4A"/>
          <w:sz w:val="21"/>
          <w:szCs w:val="21"/>
        </w:rPr>
        <w:t xml:space="preserve">15. Data Protection &amp; Privacy — Business Logic	39</w:t>
      </w:r>
    </w:p>
    <w:p>
      <w:pPr>
        <w:tabs>
          <w:tab w:val="right" w:pos="9026" w:leader="dot"/>
        </w:tabs>
        <w:spacing w:after="120"/>
        <w:ind w:left="0"/>
      </w:pPr>
      <w:r>
        <w:rPr>
          <w:b/>
          <w:bCs/>
          <w:color w:val="1B2A4A"/>
          <w:sz w:val="21"/>
          <w:szCs w:val="21"/>
        </w:rPr>
        <w:t xml:space="preserve">16. Consolidated Business Rule Register	40</w:t>
      </w:r>
    </w:p>
    <w:p>
      <w:pPr>
        <w:tabs>
          <w:tab w:val="right" w:pos="9026" w:leader="dot"/>
        </w:tabs>
        <w:spacing w:after="120"/>
        <w:ind w:left="0"/>
      </w:pPr>
      <w:r>
        <w:rPr>
          <w:b/>
          <w:bCs/>
          <w:color w:val="1B2A4A"/>
          <w:sz w:val="21"/>
          <w:szCs w:val="21"/>
        </w:rPr>
        <w:t xml:space="preserve">17. Recommended Amendments to the BRD	48</w:t>
      </w:r>
    </w:p>
    <w:p>
      <w:pPr>
        <w:tabs>
          <w:tab w:val="right" w:pos="9026" w:leader="dot"/>
        </w:tabs>
        <w:spacing w:after="120"/>
        <w:ind w:left="0"/>
      </w:pPr>
      <w:r>
        <w:rPr>
          <w:b/>
          <w:bCs/>
          <w:color w:val="1B2A4A"/>
          <w:sz w:val="21"/>
          <w:szCs w:val="21"/>
        </w:rPr>
        <w:t xml:space="preserve">18. Resolution Status Summary	49</w:t>
      </w:r>
    </w:p>
    <w:p>
      <w:pPr>
        <w:tabs>
          <w:tab w:val="right" w:pos="9026" w:leader="dot"/>
        </w:tabs>
        <w:spacing w:after="120"/>
        <w:ind w:left="0"/>
      </w:pPr>
      <w:r>
        <w:rPr>
          <w:b/>
          <w:bCs/>
          <w:color w:val="1B2A4A"/>
          <w:sz w:val="21"/>
          <w:szCs w:val="21"/>
        </w:rPr>
        <w:t xml:space="preserve">19. Glossary	50</w:t>
      </w:r>
    </w:p>
    <w:p>
      <w:r>
        <w:br w:type="page"/>
      </w:r>
    </w:p>
    <w:p>
      <w:pPr>
        <w:pStyle w:val="Heading1"/>
        <w:spacing w:after="200" w:before="400"/>
      </w:pPr>
      <w:r>
        <w:rPr>
          <w:b/>
          <w:bCs/>
        </w:rPr>
        <w:t xml:space="preserve">1. Introduction</w:t>
      </w:r>
    </w:p>
    <w:p>
      <w:pPr>
        <w:pStyle w:val="Heading2"/>
        <w:spacing w:after="150" w:before="300"/>
      </w:pPr>
      <w:r>
        <w:rPr>
          <w:b/>
          <w:bCs/>
        </w:rPr>
        <w:t xml:space="preserve">1.1 Purpose &amp; Relationship to the BRD</w:t>
      </w:r>
    </w:p>
    <w:p>
      <w:pPr>
        <w:spacing w:after="160" w:line="276"/>
      </w:pPr>
      <w:r>
        <w:t xml:space="preserve">This document extends the AfProsPos Business Requirements Document (BRD v1.0) by resolving the operational business logic behind the features it lists. Where the BRD states that a feature exists (e.g., “REP-02: a technician shall be able to select parts for a repair”), this BLD states the rule governing what happens when that feature is used under real conditions — concurrent access, partial payment, cancellation, expiry, and disagreement between modules over the same fact.</w:t>
      </w:r>
    </w:p>
    <w:p>
      <w:pPr>
        <w:pStyle w:val="Heading2"/>
        <w:spacing w:after="150" w:before="300"/>
      </w:pPr>
      <w:r>
        <w:rPr>
          <w:b/>
          <w:bCs/>
        </w:rPr>
        <w:t xml:space="preserve">1.2 What a Business Logic Document Captures</w:t>
      </w:r>
    </w:p>
    <w:p>
      <w:pPr>
        <w:spacing w:after="160" w:line="276"/>
      </w:pPr>
      <w:r>
        <w:t xml:space="preserve">This document captures four kinds of content that a feature list cannot:</w:t>
      </w:r>
    </w:p>
    <w:p>
      <w:pPr>
        <w:pStyle w:val="ListParagraph"/>
        <w:numPr>
          <w:ilvl w:val="0"/>
          <w:numId w:val="2"/>
        </w:numPr>
        <w:spacing w:after="80" w:line="276"/>
      </w:pPr>
      <w:r>
        <w:t xml:space="preserve">State models — the distinct states a business object (a repair, a checkout, a warranty claim, a referral reward) can be in, and what causes it to move between them.</w:t>
      </w:r>
    </w:p>
    <w:p>
      <w:pPr>
        <w:pStyle w:val="ListParagraph"/>
        <w:numPr>
          <w:ilvl w:val="0"/>
          <w:numId w:val="2"/>
        </w:numPr>
        <w:spacing w:after="80" w:line="276"/>
      </w:pPr>
      <w:r>
        <w:t xml:space="preserve">Business rules — specific, testable statements of system behavior, each with a unique ID for traceability into design, development, and QA.</w:t>
      </w:r>
    </w:p>
    <w:p>
      <w:pPr>
        <w:pStyle w:val="ListParagraph"/>
        <w:numPr>
          <w:ilvl w:val="0"/>
          <w:numId w:val="2"/>
        </w:numPr>
        <w:spacing w:after="80" w:line="276"/>
      </w:pPr>
      <w:r>
        <w:t xml:space="preserve">Calculations — how derived values (available stock, outstanding balance, warranty coverage, trade-in credit, commissionable amount, referral bonus) are computed from underlying data.</w:t>
      </w:r>
    </w:p>
    <w:p>
      <w:pPr>
        <w:pStyle w:val="ListParagraph"/>
        <w:numPr>
          <w:ilvl w:val="0"/>
          <w:numId w:val="2"/>
        </w:numPr>
        <w:spacing w:after="80" w:line="276"/>
      </w:pPr>
      <w:r>
        <w:t xml:space="preserve">Boundaries of automation — which decisions the system may make automatically, and which must be routed to an authorized human (an accountant, a shop owner, a senior technician).</w:t>
      </w:r>
    </w:p>
    <w:p>
      <w:pPr>
        <w:pStyle w:val="Heading2"/>
        <w:spacing w:after="150" w:before="300"/>
      </w:pPr>
      <w:r>
        <w:rPr>
          <w:b/>
          <w:bCs/>
        </w:rPr>
        <w:t xml:space="preserve">1.3 Document Conventions</w:t>
      </w:r>
    </w:p>
    <w:p>
      <w:pPr>
        <w:spacing w:after="160" w:line="276"/>
      </w:pPr>
      <w:r>
        <w:t xml:space="preserve">Every rule in this document carries a unique ID composed of a module prefix and a sequence number, so it can be referenced directly from design specs, test cases, and code comments.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Prefix</w:t>
            </w:r>
          </w:p>
        </w:tc>
        <w:tc>
          <w:tcPr>
            <w:tcW w:type="dxa" w:w="69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Module</w:t>
            </w:r>
          </w:p>
        </w:tc>
      </w:tr>
      <w:tr>
        <w:tc>
          <w:tcPr>
            <w:tcW w:type="dxa" w:w="2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INV/REP-BR</w:t>
            </w:r>
          </w:p>
        </w:tc>
        <w:tc>
          <w:tcPr>
            <w:tcW w:type="dxa" w:w="69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 ↔ Inventory (parts reservation)</w:t>
            </w:r>
          </w:p>
        </w:tc>
      </w:tr>
      <w:tr>
        <w:tc>
          <w:tcPr>
            <w:tcW w:type="dxa" w:w="2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REP/INV-BR, INV-BR</w:t>
            </w:r>
          </w:p>
        </w:tc>
        <w:tc>
          <w:tcPr>
            <w:tcW w:type="dxa" w:w="69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Repair ↔ Inventory (parts shortage, low-stock, available stock, SKU/catalog/transfers)</w:t>
            </w:r>
          </w:p>
        </w:tc>
      </w:tr>
      <w:tr>
        <w:tc>
          <w:tcPr>
            <w:tcW w:type="dxa" w:w="2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w:t>
            </w:r>
          </w:p>
        </w:tc>
        <w:tc>
          <w:tcPr>
            <w:tcW w:type="dxa" w:w="69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 Management (diagnosis, authorization, collection, abandonment)</w:t>
            </w:r>
          </w:p>
        </w:tc>
      </w:tr>
      <w:tr>
        <w:tc>
          <w:tcPr>
            <w:tcW w:type="dxa" w:w="2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SALE/INV-BR</w:t>
            </w:r>
          </w:p>
        </w:tc>
        <w:tc>
          <w:tcPr>
            <w:tcW w:type="dxa" w:w="69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Sales/POS ↔ Inventory (checkout reservation)</w:t>
            </w:r>
          </w:p>
        </w:tc>
      </w:tr>
      <w:tr>
        <w:tc>
          <w:tcPr>
            <w:tcW w:type="dxa" w:w="2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SALE/PAY-BR, PAY-BR</w:t>
            </w:r>
          </w:p>
        </w:tc>
        <w:tc>
          <w:tcPr>
            <w:tcW w:type="dxa" w:w="69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Sales/POS ↔ Payments (incl. bank-transfer confirmation &amp; disputes)</w:t>
            </w:r>
          </w:p>
        </w:tc>
      </w:tr>
      <w:tr>
        <w:tc>
          <w:tcPr>
            <w:tcW w:type="dxa" w:w="2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WAR-BR</w:t>
            </w:r>
          </w:p>
        </w:tc>
        <w:tc>
          <w:tcPr>
            <w:tcW w:type="dxa" w:w="69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Warranty, Returns &amp; After-Sales Management</w:t>
            </w:r>
          </w:p>
        </w:tc>
      </w:tr>
      <w:tr>
        <w:tc>
          <w:tcPr>
            <w:tcW w:type="dxa" w:w="2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TRADE-BR</w:t>
            </w:r>
          </w:p>
        </w:tc>
        <w:tc>
          <w:tcPr>
            <w:tcW w:type="dxa" w:w="69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Trade-In / Swap</w:t>
            </w:r>
          </w:p>
        </w:tc>
      </w:tr>
      <w:tr>
        <w:tc>
          <w:tcPr>
            <w:tcW w:type="dxa" w:w="2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COMM-BR</w:t>
            </w:r>
          </w:p>
        </w:tc>
        <w:tc>
          <w:tcPr>
            <w:tcW w:type="dxa" w:w="69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Commission Management</w:t>
            </w:r>
          </w:p>
        </w:tc>
      </w:tr>
      <w:tr>
        <w:tc>
          <w:tcPr>
            <w:tcW w:type="dxa" w:w="2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REF-BR</w:t>
            </w:r>
          </w:p>
        </w:tc>
        <w:tc>
          <w:tcPr>
            <w:tcW w:type="dxa" w:w="69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Referral Program</w:t>
            </w:r>
          </w:p>
        </w:tc>
      </w:tr>
      <w:tr>
        <w:tc>
          <w:tcPr>
            <w:tcW w:type="dxa" w:w="2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MKT-BR</w:t>
            </w:r>
          </w:p>
        </w:tc>
        <w:tc>
          <w:tcPr>
            <w:tcW w:type="dxa" w:w="69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Marketing Campaigns &amp; Rewards (store credit, vouchers, stacking, segments)</w:t>
            </w:r>
          </w:p>
        </w:tc>
      </w:tr>
      <w:tr>
        <w:tc>
          <w:tcPr>
            <w:tcW w:type="dxa" w:w="2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RBAC-BR</w:t>
            </w:r>
          </w:p>
        </w:tc>
        <w:tc>
          <w:tcPr>
            <w:tcW w:type="dxa" w:w="69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Role-Based Access Control</w:t>
            </w:r>
          </w:p>
        </w:tc>
      </w:tr>
      <w:tr>
        <w:tc>
          <w:tcPr>
            <w:tcW w:type="dxa" w:w="2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AUD-BR</w:t>
            </w:r>
          </w:p>
        </w:tc>
        <w:tc>
          <w:tcPr>
            <w:tcW w:type="dxa" w:w="69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Unified Audit Trail</w:t>
            </w:r>
          </w:p>
        </w:tc>
      </w:tr>
      <w:tr>
        <w:tc>
          <w:tcPr>
            <w:tcW w:type="dxa" w:w="2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w:t>
            </w:r>
          </w:p>
        </w:tc>
        <w:tc>
          <w:tcPr>
            <w:tcW w:type="dxa" w:w="69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Notifications</w:t>
            </w:r>
          </w:p>
        </w:tc>
      </w:tr>
      <w:tr>
        <w:tc>
          <w:tcPr>
            <w:tcW w:type="dxa" w:w="2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FIN-BR</w:t>
            </w:r>
          </w:p>
        </w:tc>
        <w:tc>
          <w:tcPr>
            <w:tcW w:type="dxa" w:w="69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Expense Tracking &amp; Consolidated Financial Reporting</w:t>
            </w:r>
          </w:p>
        </w:tc>
      </w:tr>
      <w:tr>
        <w:tc>
          <w:tcPr>
            <w:tcW w:type="dxa" w:w="2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OFF-BR</w:t>
            </w:r>
          </w:p>
        </w:tc>
        <w:tc>
          <w:tcPr>
            <w:tcW w:type="dxa" w:w="69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Offline &amp; Connectivity</w:t>
            </w:r>
          </w:p>
        </w:tc>
      </w:tr>
      <w:tr>
        <w:tc>
          <w:tcPr>
            <w:tcW w:type="dxa" w:w="2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DATA-BR</w:t>
            </w:r>
          </w:p>
        </w:tc>
        <w:tc>
          <w:tcPr>
            <w:tcW w:type="dxa" w:w="69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Data Protection &amp; Privacy</w:t>
            </w:r>
          </w:p>
        </w:tc>
      </w:tr>
    </w:tbl>
    <w:p>
      <w:pPr>
        <w:spacing w:before="200"/>
      </w:pPr>
    </w:p>
    <w:p>
      <w:pPr>
        <w:spacing w:after="160" w:line="276"/>
      </w:pPr>
      <w:r>
        <w:t xml:space="preserve">Flow diagrams are shown in monospace text blocks using arrows (→) to indicate state transitions; branch points are shown as indented alternatives beneath the deciding step.</w:t>
      </w:r>
    </w:p>
    <w:p>
      <w:pPr>
        <w:pStyle w:val="Heading2"/>
        <w:spacing w:after="150" w:before="300"/>
      </w:pPr>
      <w:r>
        <w:rPr>
          <w:b/>
          <w:bCs/>
        </w:rPr>
        <w:t xml:space="preserve">1.4 Scope &amp; Status of This Version</w:t>
      </w:r>
    </w:p>
    <w:p>
      <w:pPr>
        <w:spacing w:after="160" w:line="276"/>
      </w:pPr>
      <w:r>
        <w:t xml:space="preserve">Version 1.0 resolved Repair ↔ Inventory, Sales/POS ↔ Inventory ↔ Payments, and Warranty/Returns/Trade-In, and listed every other module-crossing question raised during analysis as outstanding. This version (1.1) resolves all of those remaining items: Commission, Referral &amp; Rewards, Marketing Campaigns, Inventory/Multi-Shop/SKU, RBAC, a new unified Audit Trail, Notifications, Consolidated Financial Reporting, Offline/Connectivity, and Data Protection &amp; Privacy — plus two items surfaced along the way that hadn't been assigned a home: bank-transfer payment disputes (Sales/POS, Section 4.5) and a general return/refund window policy (Warranty/Returns, Section 5.9).</w:t>
      </w:r>
    </w:p>
    <w:p>
      <w:pPr>
        <w:spacing w:after="160" w:line="276"/>
      </w:pPr>
      <w:r>
        <w:t xml:space="preserve">No cross-module question from the original analysis remains open as of this version. Section 18 summarizes what was resolved and where; new questions that surface once the business begins configuring the system (exact retry counts, specific window durations, and similar defaults) are configuration decisions within the rules below, not business-logic gaps.</w:t>
      </w:r>
    </w:p>
    <w:p>
      <w:r>
        <w:br w:type="page"/>
      </w:r>
    </w:p>
    <w:p>
      <w:pPr>
        <w:pStyle w:val="Heading1"/>
        <w:spacing w:after="200" w:before="400"/>
      </w:pPr>
      <w:r>
        <w:rPr>
          <w:b/>
          <w:bCs/>
        </w:rPr>
        <w:t xml:space="preserve">2. Core Business Logic Concepts (Cross-Cutting)</w:t>
      </w:r>
    </w:p>
    <w:p>
      <w:pPr>
        <w:spacing w:after="160" w:line="276"/>
      </w:pPr>
      <w:r>
        <w:t xml:space="preserve">The rules in Sections 3–5 all build on five shared concepts. Establishing them once here avoids re-deriving the same logic separately for repairs, sales, and warranty handling.</w:t>
      </w:r>
    </w:p>
    <w:p>
      <w:pPr>
        <w:pStyle w:val="Heading2"/>
        <w:spacing w:after="150" w:before="300"/>
      </w:pPr>
      <w:r>
        <w:rPr>
          <w:b/>
          <w:bCs/>
        </w:rPr>
        <w:t xml:space="preserve">2.1 Inventory Reservation Model</w:t>
      </w:r>
    </w:p>
    <w:p>
      <w:pPr>
        <w:spacing w:after="160" w:line="276"/>
      </w:pPr>
      <w:r>
        <w:t xml:space="preserve">A single quantity field per product is not sufficient once two modules (repairs and sales) can both draw on the same stock. Every inventory item therefore carries three related quantities: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6BE6" w:sz="12"/>
              <w:left w:val="single" w:color="2E6BE6" w:sz="12"/>
              <w:bottom w:val="single" w:color="C9D2E0" w:sz="2"/>
              <w:right w:val="single" w:color="C9D2E0" w:sz="2"/>
            </w:tcBorders>
            <w:shd w:fill="EAF0FB" w:val="clear"/>
            <w:tcMar>
              <w:top w:type="dxa" w:w="150"/>
              <w:left w:type="dxa" w:w="200"/>
              <w:bottom w:type="dxa" w:w="150"/>
              <w:right w:type="dxa" w:w="200"/>
            </w:tcMar>
          </w:tcPr>
          <w:p>
            <w:pPr>
              <w:spacing w:after="40"/>
            </w:pPr>
            <w:r>
              <w:rPr>
                <w:b/>
                <w:bCs/>
              </w:rPr>
              <w:t xml:space="preserve">On-hand</w:t>
            </w:r>
            <w:r>
              <w:t xml:space="preserve"> — physically present in the shop.</w:t>
            </w:r>
          </w:p>
          <w:p>
            <w:pPr>
              <w:spacing w:after="40"/>
            </w:pPr>
            <w:r>
              <w:rPr>
                <w:b/>
                <w:bCs/>
              </w:rPr>
              <w:t xml:space="preserve">Reserved</w:t>
            </w:r>
            <w:r>
              <w:t xml:space="preserve"> — physically present but committed to an open repair job or checkout.</w:t>
            </w:r>
          </w:p>
          <w:p>
            <w:r>
              <w:rPr>
                <w:b/>
                <w:bCs/>
              </w:rPr>
              <w:t xml:space="preserve">Available</w:t>
            </w:r>
            <w:r>
              <w:t xml:space="preserve"> — On-hand minus Reserved; the quantity that can be newly committed.</w:t>
            </w:r>
          </w:p>
        </w:tc>
      </w:tr>
    </w:tbl>
    <w:p>
      <w:pPr>
        <w:spacing w:before="200"/>
      </w:pPr>
    </w:p>
    <w:p>
      <w:pPr>
        <w:spacing w:after="160" w:line="276"/>
      </w:pPr>
      <w:r>
        <w:t xml:space="preserve">Reservation is not a stock-out. Physical stock (On-hand) only decreases when a part is actually installed on a repair, or a sold item is actually paid for. Example, for a single screen in stock: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1550"/>
        <w:gridCol w:w="1550"/>
        <w:gridCol w:w="1650"/>
      </w:tblGrid>
      <w:tr>
        <w:trPr>
          <w:tblHeader/>
        </w:trPr>
        <w:tc>
          <w:tcPr>
            <w:tcW w:type="dxa" w:w="4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Event</w:t>
            </w:r>
          </w:p>
        </w:tc>
        <w:tc>
          <w:tcPr>
            <w:tcW w:type="dxa" w:w="15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On-hand</w:t>
            </w:r>
          </w:p>
        </w:tc>
        <w:tc>
          <w:tcPr>
            <w:tcW w:type="dxa" w:w="15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Reserved</w:t>
            </w:r>
          </w:p>
        </w:tc>
        <w:tc>
          <w:tcPr>
            <w:tcW w:type="dxa" w:w="16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Available</w:t>
            </w:r>
          </w:p>
        </w:tc>
      </w:tr>
      <w:tr>
        <w:tc>
          <w:tcPr>
            <w:tcW w:type="dxa" w:w="4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Before any repair</w:t>
            </w:r>
          </w:p>
        </w:tc>
        <w:tc>
          <w:tcPr>
            <w:tcW w:type="dxa" w:w="15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w:t>
            </w:r>
          </w:p>
        </w:tc>
        <w:tc>
          <w:tcPr>
            <w:tcW w:type="dxa" w:w="15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0</w:t>
            </w:r>
          </w:p>
        </w:tc>
        <w:tc>
          <w:tcPr>
            <w:tcW w:type="dxa" w:w="16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w:t>
            </w:r>
          </w:p>
        </w:tc>
      </w:tr>
      <w:tr>
        <w:tc>
          <w:tcPr>
            <w:tcW w:type="dxa" w:w="4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Technician selects the screen for a repair</w:t>
            </w:r>
          </w:p>
        </w:tc>
        <w:tc>
          <w:tcPr>
            <w:tcW w:type="dxa" w:w="15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w:t>
            </w:r>
          </w:p>
        </w:tc>
        <w:tc>
          <w:tcPr>
            <w:tcW w:type="dxa" w:w="15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w:t>
            </w:r>
          </w:p>
        </w:tc>
        <w:tc>
          <w:tcPr>
            <w:tcW w:type="dxa" w:w="16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0</w:t>
            </w:r>
          </w:p>
        </w:tc>
      </w:tr>
      <w:tr>
        <w:tc>
          <w:tcPr>
            <w:tcW w:type="dxa" w:w="4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 completed (part installed / consumed)</w:t>
            </w:r>
          </w:p>
        </w:tc>
        <w:tc>
          <w:tcPr>
            <w:tcW w:type="dxa" w:w="15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0</w:t>
            </w:r>
          </w:p>
        </w:tc>
        <w:tc>
          <w:tcPr>
            <w:tcW w:type="dxa" w:w="15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0</w:t>
            </w:r>
          </w:p>
        </w:tc>
        <w:tc>
          <w:tcPr>
            <w:tcW w:type="dxa" w:w="16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0</w:t>
            </w:r>
          </w:p>
        </w:tc>
      </w:tr>
    </w:tbl>
    <w:p>
      <w:pPr>
        <w:pStyle w:val="Heading2"/>
        <w:spacing w:after="150" w:before="300"/>
      </w:pPr>
      <w:r>
        <w:rPr>
          <w:b/>
          <w:bCs/>
        </w:rPr>
        <w:t xml:space="preserve">2.2 Reservation Sources &amp; Reuse Across Modules</w:t>
      </w:r>
    </w:p>
    <w:p>
      <w:pPr>
        <w:spacing w:after="160" w:line="276"/>
      </w:pPr>
      <w:r>
        <w:t xml:space="preserve">Reservation is a general inventory mechanism with a source/reason attached to each reservation record, not a repair-only or sales-only feature: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Available  --reserve--&gt;  Reserved [source: REPAIR | CHECKOUT]  --consume--&gt;  Sold/Installed</w:t>
            </w:r>
          </w:p>
          <w:p>
            <w:pPr>
              <w:spacing w:after="40"/>
            </w:pPr>
            <w:r>
              <w:rPr>
                <w:rFonts w:ascii="Consolas" w:cs="Consolas" w:eastAsia="Consolas" w:hAnsi="Consolas"/>
                <w:color w:val="1B4332"/>
                <w:sz w:val="19"/>
                <w:szCs w:val="19"/>
              </w:rPr>
              <w:t xml:space="preserve">Reserved  --release (cancel/expire)--&gt;  Available</w:t>
            </w:r>
          </w:p>
        </w:tc>
      </w:tr>
    </w:tbl>
    <w:p>
      <w:pPr>
        <w:spacing w:before="150"/>
      </w:pPr>
    </w:p>
    <w:p>
      <w:pPr>
        <w:spacing w:after="160" w:line="276"/>
      </w:pPr>
      <w:r>
        <w:t xml:space="preserve">This means Sections 3 and 4 apply the same underlying reservation logic to two different triggers (a technician selecting a part; a cashier or customer creating a checkout) rather than maintaining two separate inventory engines.</w:t>
      </w:r>
    </w:p>
    <w:p>
      <w:pPr>
        <w:pStyle w:val="Heading2"/>
        <w:spacing w:after="150" w:before="300"/>
      </w:pPr>
      <w:r>
        <w:rPr>
          <w:b/>
          <w:bCs/>
        </w:rPr>
        <w:t xml:space="preserve">2.3 Serialized vs. Non-Serialized Allocation</w:t>
      </w:r>
    </w:p>
    <w:p>
      <w:pPr>
        <w:spacing w:after="160" w:line="276"/>
      </w:pPr>
      <w:r>
        <w:t xml:space="preserve">Two different allocation strategies are required depending on whether a product is individually tracked:</w:t>
      </w:r>
    </w:p>
    <w:p>
      <w:pPr>
        <w:pStyle w:val="ListParagraph"/>
        <w:numPr>
          <w:ilvl w:val="0"/>
          <w:numId w:val="2"/>
        </w:numPr>
        <w:spacing w:after="80" w:line="276"/>
      </w:pPr>
      <w:r>
        <w:t xml:space="preserve">Serialized inventory (e.g., an IMEI-tracked phone): the system identifies which specific physical unit is available and reserves that exact unit against the repair or checkout. Two open transactions can never point at the same physical unit.</w:t>
      </w:r>
    </w:p>
    <w:p>
      <w:pPr>
        <w:pStyle w:val="ListParagraph"/>
        <w:numPr>
          <w:ilvl w:val="0"/>
          <w:numId w:val="2"/>
        </w:numPr>
        <w:spacing w:after="80" w:line="276"/>
      </w:pPr>
      <w:r>
        <w:t xml:space="preserve">Non-serialized inventory (e.g., a screen protector, a charging cable): the system reserves a quantity against the total available count; no specific unit identity is tracked.</w:t>
      </w:r>
    </w:p>
    <w:p>
      <w:pPr>
        <w:pStyle w:val="Heading2"/>
        <w:spacing w:after="150" w:before="300"/>
      </w:pPr>
      <w:r>
        <w:rPr>
          <w:b/>
          <w:bCs/>
        </w:rPr>
        <w:t xml:space="preserve">2.4 Four-Dimension Transaction State Model</w:t>
      </w:r>
    </w:p>
    <w:p>
      <w:pPr>
        <w:spacing w:after="160" w:line="276"/>
      </w:pPr>
      <w:r>
        <w:t xml:space="preserve">Rather than one long linear status list, a repair (and, with adaptation, a sale) is modeled along four independent dimensions that combine to describe its real situation at any moment: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Dimension</w:t>
            </w:r>
          </w:p>
        </w:tc>
        <w:tc>
          <w:tcPr>
            <w:tcW w:type="dxa" w:w="67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Example Values</w:t>
            </w:r>
          </w:p>
        </w:tc>
      </w:tr>
      <w:tr>
        <w:tc>
          <w:tcPr>
            <w:tcW w:type="dxa" w:w="2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 / Order State</w:t>
            </w:r>
          </w:p>
        </w:tc>
        <w:tc>
          <w:tcPr>
            <w:tcW w:type="dxa" w:w="67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Diagnosing → Repairable → In Progress → Completed / Failed</w:t>
            </w:r>
          </w:p>
        </w:tc>
      </w:tr>
      <w:tr>
        <w:tc>
          <w:tcPr>
            <w:tcW w:type="dxa" w:w="2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Payment State</w:t>
            </w:r>
          </w:p>
        </w:tc>
        <w:tc>
          <w:tcPr>
            <w:tcW w:type="dxa" w:w="67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Unpaid → Partially Paid → Fully Paid → Overdue</w:t>
            </w:r>
          </w:p>
        </w:tc>
      </w:tr>
      <w:tr>
        <w:tc>
          <w:tcPr>
            <w:tcW w:type="dxa" w:w="2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Inventory State</w:t>
            </w:r>
          </w:p>
        </w:tc>
        <w:tc>
          <w:tcPr>
            <w:tcW w:type="dxa" w:w="67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Unreserved → Reserved → Consumed → Released</w:t>
            </w:r>
          </w:p>
        </w:tc>
      </w:tr>
      <w:tr>
        <w:tc>
          <w:tcPr>
            <w:tcW w:type="dxa" w:w="2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Device Disposition</w:t>
            </w:r>
          </w:p>
        </w:tc>
        <w:tc>
          <w:tcPr>
            <w:tcW w:type="dxa" w:w="67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With Business → Ready for Return/Collection → Collected</w:t>
            </w:r>
          </w:p>
        </w:tc>
      </w:tr>
    </w:tbl>
    <w:p>
      <w:pPr>
        <w:spacing w:before="200"/>
      </w:pPr>
    </w:p>
    <w:p>
      <w:pPr>
        <w:spacing w:after="160" w:line="276"/>
      </w:pPr>
      <w:r>
        <w:t xml:space="preserve">Business policies (Sections 3.6–3.8) determine which combinations of these four values are permitted to transition into which others — e.g., Device Disposition cannot become Collected while Payment State is Overdue, unless an authorized override is recorded.</w:t>
      </w:r>
    </w:p>
    <w:p>
      <w:pPr>
        <w:pStyle w:val="Heading2"/>
        <w:spacing w:after="150" w:before="300"/>
      </w:pPr>
      <w:r>
        <w:rPr>
          <w:b/>
          <w:bCs/>
        </w:rPr>
        <w:t xml:space="preserve">2.5 Concurrency &amp; Transactional Integrity</w:t>
      </w:r>
    </w:p>
    <w:p>
      <w:pPr>
        <w:spacing w:after="160" w:line="276"/>
      </w:pPr>
      <w:r>
        <w:t xml:space="preserve">Any operation that checks availability and then reserves stock must be atomic: the check and the reservation happen inside one transaction so that two staff members acting at the same instant cannot both succeed against the last available unit. Where a race is detected, the second request is rejected with a clear reason rather than silently over-committing stock.</w:t>
      </w:r>
    </w:p>
    <w:p>
      <w:r>
        <w:br w:type="page"/>
      </w:r>
    </w:p>
    <w:p>
      <w:pPr>
        <w:pStyle w:val="Heading1"/>
        <w:spacing w:after="200" w:before="400"/>
      </w:pPr>
      <w:r>
        <w:rPr>
          <w:b/>
          <w:bCs/>
        </w:rPr>
        <w:t xml:space="preserve">3. Repair Management — Business Logic</w:t>
      </w:r>
    </w:p>
    <w:p>
      <w:pPr>
        <w:pStyle w:val="Heading2"/>
        <w:spacing w:after="150" w:before="300"/>
      </w:pPr>
      <w:r>
        <w:rPr>
          <w:b/>
          <w:bCs/>
        </w:rPr>
        <w:t xml:space="preserve">3.1 Revised Repair Lifecycle</w:t>
      </w:r>
    </w:p>
    <w:p>
      <w:pPr>
        <w:spacing w:after="160" w:line="276"/>
      </w:pPr>
      <w:r>
        <w:t xml:space="preserve">The BRD's original lifecycle (Received → Diagnosing → Awaiting Down Payment → In Progress → Awaiting Parts → Completed → Ready for Collection → Collected) assumed the device would always turn out to be repairable and would always be collected promptly. Diagnosis and collection are now separated out as their own decision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Received -&gt; Diagnosing -&gt; Diagnosis Complete</w:t>
            </w:r>
          </w:p>
          <w:p>
            <w:pPr>
              <w:spacing w:after="40"/>
            </w:pPr>
            <w:r>
              <w:rPr>
                <w:rFonts w:ascii="Consolas" w:cs="Consolas" w:eastAsia="Consolas" w:hAnsi="Consolas"/>
                <w:color w:val="1B4332"/>
                <w:sz w:val="19"/>
                <w:szCs w:val="19"/>
              </w:rPr>
              <w:t xml:space="preserve">   |-- Unrepairable ------------------&gt; Ready for Return ---&gt; Collection Lifecycle (3.8)</w:t>
            </w:r>
          </w:p>
          <w:p>
            <w:pPr>
              <w:spacing w:after="40"/>
            </w:pPr>
            <w:r>
              <w:rPr>
                <w:rFonts w:ascii="Consolas" w:cs="Consolas" w:eastAsia="Consolas" w:hAnsi="Consolas"/>
                <w:color w:val="1B4332"/>
                <w:sz w:val="19"/>
                <w:szCs w:val="19"/>
              </w:rPr>
              <w:t xml:space="preserve">   `-- Repairable</w:t>
            </w:r>
          </w:p>
          <w:p>
            <w:pPr>
              <w:spacing w:after="40"/>
            </w:pPr>
            <w:r>
              <w:rPr>
                <w:rFonts w:ascii="Consolas" w:cs="Consolas" w:eastAsia="Consolas" w:hAnsi="Consolas"/>
                <w:color w:val="1B4332"/>
                <w:sz w:val="19"/>
                <w:szCs w:val="19"/>
              </w:rPr>
              <w:t xml:space="preserve">        -&gt; Awaiting Down Payment (if required)</w:t>
            </w:r>
          </w:p>
          <w:p>
            <w:pPr>
              <w:spacing w:after="40"/>
            </w:pPr>
            <w:r>
              <w:rPr>
                <w:rFonts w:ascii="Consolas" w:cs="Consolas" w:eastAsia="Consolas" w:hAnsi="Consolas"/>
                <w:color w:val="1B4332"/>
                <w:sz w:val="19"/>
                <w:szCs w:val="19"/>
              </w:rPr>
              <w:t xml:space="preserve">             |-- Payment received --&gt; Parts Reserved -&gt; In Progress -&gt; Completed / Failed</w:t>
            </w:r>
          </w:p>
          <w:p>
            <w:pPr>
              <w:spacing w:after="40"/>
            </w:pPr>
            <w:r>
              <w:rPr>
                <w:rFonts w:ascii="Consolas" w:cs="Consolas" w:eastAsia="Consolas" w:hAnsi="Consolas"/>
                <w:color w:val="1B4332"/>
                <w:sz w:val="19"/>
                <w:szCs w:val="19"/>
              </w:rPr>
              <w:t xml:space="preserve">             `-- Payment overdue --&gt; Repair Expired/Cancelled -&gt; Ready for Return -&gt; Collection Lifecycle</w:t>
            </w:r>
          </w:p>
        </w:tc>
      </w:tr>
    </w:tbl>
    <w:p>
      <w:pPr>
        <w:pStyle w:val="Heading2"/>
        <w:spacing w:after="150" w:before="300"/>
      </w:pPr>
      <w:r>
        <w:rPr>
          <w:b/>
          <w:bCs/>
        </w:rPr>
        <w:t xml:space="preserve">3.2 Diagnosis as a Structured Business Object</w:t>
      </w:r>
    </w:p>
    <w:p>
      <w:pPr>
        <w:spacing w:after="160" w:line="276"/>
      </w:pPr>
      <w:r>
        <w:t xml:space="preserve">Diagnosis is recorded, not merely concluded. For each relevant component/function, the technician records one of: Working, Faulty, Not Tested, or Unable to Test — the last two being legitimate outcomes for dead, severely damaged, water-damaged, or locked devices, rather than being silently assumed “working.” Diagnosis then resolves to one of three outcomes: Repairable, Unrepairable, or Requires Further Assessment.</w:t>
      </w:r>
    </w:p>
    <w:p>
      <w:r>
        <w:br w:type="page"/>
      </w:r>
    </w:p>
    <w:p>
      <w:pPr>
        <w:pStyle w:val="Heading2"/>
        <w:spacing w:after="150" w:before="300"/>
      </w:pPr>
      <w:r>
        <w:rPr>
          <w:b/>
          <w:bCs/>
        </w:rPr>
        <w:t xml:space="preserve">3.3 Parts Reservation &amp; Conflict Handling</w:t>
      </w:r>
    </w:p>
    <w:p>
      <w:pPr>
        <w:spacing w:after="160" w:line="276"/>
      </w:pPr>
      <w:r>
        <w:t xml:space="preserve">Selecting a part for a repair (BRD ref. REP-02) reserves it; it does not deduct it from physical stock. This prevents two technicians from both believing a single remaining part is available to them.</w:t>
      </w:r>
    </w:p>
    <w:p>
      <w:pPr>
        <w:pStyle w:val="ListParagraph"/>
        <w:numPr>
          <w:ilvl w:val="0"/>
          <w:numId w:val="2"/>
        </w:numPr>
        <w:spacing w:after="110" w:line="276"/>
      </w:pPr>
      <w:r>
        <w:rPr>
          <w:b/>
          <w:bCs/>
          <w:color w:val="2E6BE6"/>
        </w:rPr>
        <w:t xml:space="preserve">INV/REP-BR-01 — Part Reservation. </w:t>
      </w:r>
      <w:r>
        <w:t xml:space="preserve">When a part is selected for an active repair job, the system shall reserve the required quantity against that repair job and reduce the part's Available quantity without reducing its On-hand quantity.</w:t>
      </w:r>
    </w:p>
    <w:p>
      <w:pPr>
        <w:pStyle w:val="ListParagraph"/>
        <w:numPr>
          <w:ilvl w:val="0"/>
          <w:numId w:val="2"/>
        </w:numPr>
        <w:spacing w:after="110" w:line="276"/>
      </w:pPr>
      <w:r>
        <w:rPr>
          <w:b/>
          <w:bCs/>
          <w:color w:val="2E6BE6"/>
        </w:rPr>
        <w:t xml:space="preserve">INV/REP-BR-02 — Reservation Conflict. </w:t>
      </w:r>
      <w:r>
        <w:t xml:space="preserve">The system shall prevent a repair job from reserving a quantity greater than the part's current Available quantity.</w:t>
      </w:r>
    </w:p>
    <w:p>
      <w:pPr>
        <w:pStyle w:val="ListParagraph"/>
        <w:numPr>
          <w:ilvl w:val="0"/>
          <w:numId w:val="2"/>
        </w:numPr>
        <w:spacing w:after="110" w:line="276"/>
      </w:pPr>
      <w:r>
        <w:rPr>
          <w:b/>
          <w:bCs/>
          <w:color w:val="2E6BE6"/>
        </w:rPr>
        <w:t xml:space="preserve">INV/REP-BR-03 — Reservation Release. </w:t>
      </w:r>
      <w:r>
        <w:t xml:space="preserve">When a reserved part is removed from a repair job, or the repair job is cancelled, the reservation shall be released and the quantity shall return to Available.</w:t>
      </w:r>
    </w:p>
    <w:p>
      <w:pPr>
        <w:pStyle w:val="ListParagraph"/>
        <w:numPr>
          <w:ilvl w:val="0"/>
          <w:numId w:val="2"/>
        </w:numPr>
        <w:spacing w:after="110" w:line="276"/>
      </w:pPr>
      <w:r>
        <w:rPr>
          <w:b/>
          <w:bCs/>
          <w:color w:val="2E6BE6"/>
        </w:rPr>
        <w:t xml:space="preserve">INV/REP-BR-04 — Part Consumption. </w:t>
      </w:r>
      <w:r>
        <w:t xml:space="preserve">When a reserved part is actually installed/consumed during a repair, the system shall convert the reservation into a stock-out transaction, reducing On-hand.</w:t>
      </w:r>
    </w:p>
    <w:p>
      <w:pPr>
        <w:pStyle w:val="Heading2"/>
        <w:spacing w:after="150" w:before="300"/>
      </w:pPr>
      <w:r>
        <w:rPr>
          <w:b/>
          <w:bCs/>
        </w:rPr>
        <w:t xml:space="preserve">3.4 Parts Shortage vs. Low-Stock Alerts</w:t>
      </w:r>
    </w:p>
    <w:p>
      <w:pPr>
        <w:spacing w:after="160" w:line="276"/>
      </w:pPr>
      <w:r>
        <w:t xml:space="preserve">A part being unavailable for one specific repair job is a different business event from a product's overall stock falling below its configured threshold; the two triggers are kept distinct so an urgent, job-blocking shortage is never lost inside a routine restocking report.</w:t>
      </w:r>
    </w:p>
    <w:p>
      <w:pPr>
        <w:pStyle w:val="ListParagraph"/>
        <w:numPr>
          <w:ilvl w:val="0"/>
          <w:numId w:val="2"/>
        </w:numPr>
        <w:spacing w:after="110" w:line="276"/>
      </w:pPr>
      <w:r>
        <w:rPr>
          <w:b/>
          <w:bCs/>
          <w:color w:val="2E6BE6"/>
        </w:rPr>
        <w:t xml:space="preserve">REP/INV-BR-05 — Parts Availability. </w:t>
      </w:r>
      <w:r>
        <w:t xml:space="preserve">If a required repair part cannot be reserved because insufficient Available quantity exists, the repair shall enter or remain in Awaiting Parts status.</w:t>
      </w:r>
    </w:p>
    <w:p>
      <w:pPr>
        <w:pStyle w:val="ListParagraph"/>
        <w:numPr>
          <w:ilvl w:val="0"/>
          <w:numId w:val="2"/>
        </w:numPr>
        <w:spacing w:after="110" w:line="276"/>
      </w:pPr>
      <w:r>
        <w:rPr>
          <w:b/>
          <w:bCs/>
          <w:color w:val="2E6BE6"/>
        </w:rPr>
        <w:t xml:space="preserve">REP/INV-BR-06 — Parts Shortage Notification. </w:t>
      </w:r>
      <w:r>
        <w:t xml:space="preserve">When a repair enters Awaiting Parts due to unavailable inventory, the system shall notify the staff responsible for inventory/repair operations, separately from any general low-stock alert.</w:t>
      </w:r>
    </w:p>
    <w:p>
      <w:pPr>
        <w:pStyle w:val="ListParagraph"/>
        <w:numPr>
          <w:ilvl w:val="0"/>
          <w:numId w:val="2"/>
        </w:numPr>
        <w:spacing w:after="110" w:line="276"/>
      </w:pPr>
      <w:r>
        <w:rPr>
          <w:b/>
          <w:bCs/>
          <w:color w:val="2E6BE6"/>
        </w:rPr>
        <w:t xml:space="preserve">INV-BR-07 — Available Stock for Alerts. </w:t>
      </w:r>
      <w:r>
        <w:t xml:space="preserve">Low-stock evaluation (BRD ref. INV-14) shall be calculated against Available quantity (On-hand less Reserved), not On-hand alone, so committed stock is never reported as free stock.</w:t>
      </w:r>
    </w:p>
    <w:p>
      <w:r>
        <w:br w:type="page"/>
      </w:r>
    </w:p>
    <w:p>
      <w:pPr>
        <w:pStyle w:val="Heading2"/>
        <w:spacing w:after="150" w:before="300"/>
      </w:pPr>
      <w:r>
        <w:rPr>
          <w:b/>
          <w:bCs/>
        </w:rPr>
        <w:t xml:space="preserve">3.5 Diagnosis Outcome &amp; Unrepairable Handling</w:t>
      </w:r>
    </w:p>
    <w:p>
      <w:pPr>
        <w:spacing w:after="160" w:line="276"/>
      </w:pPr>
      <w:r>
        <w:t xml:space="preserve">The technical judgment (repairable or not) and the financial decision (refund, retain, or partially retain) are handled by different roles. A technician determines repairability; an authorized accountant/admin determines the resulting financial settlement. The exact refund policy is deliberately left to the business to configure — Nigerian phone-repair businesses are not uniform on this point, and neither Nigerian consumer-protection guidance nor AfProsPos should have that decision hard-coded into the system.</w:t>
      </w:r>
    </w:p>
    <w:p>
      <w:pPr>
        <w:pStyle w:val="ListParagraph"/>
        <w:numPr>
          <w:ilvl w:val="0"/>
          <w:numId w:val="2"/>
        </w:numPr>
        <w:spacing w:after="110" w:line="276"/>
      </w:pPr>
      <w:r>
        <w:rPr>
          <w:b/>
          <w:bCs/>
          <w:color w:val="2E6BE6"/>
        </w:rPr>
        <w:t xml:space="preserve">REP-BR-01 — Diagnosis Before Repair. </w:t>
      </w:r>
      <w:r>
        <w:t xml:space="preserve">A repair job shall undergo diagnosis before parts are reserved or repair work begins, unless the business explicitly permits a direct-repair workflow.</w:t>
      </w:r>
    </w:p>
    <w:p>
      <w:pPr>
        <w:pStyle w:val="ListParagraph"/>
        <w:numPr>
          <w:ilvl w:val="0"/>
          <w:numId w:val="2"/>
        </w:numPr>
        <w:spacing w:after="110" w:line="276"/>
      </w:pPr>
      <w:r>
        <w:rPr>
          <w:b/>
          <w:bCs/>
          <w:color w:val="2E6BE6"/>
        </w:rPr>
        <w:t xml:space="preserve">REP-BR-02 — Diagnostic Assessment. </w:t>
      </w:r>
      <w:r>
        <w:t xml:space="preserve">The technician shall record the condition of relevant device components/functions as Working, Faulty, Not Tested, or Unable to Test, with notes where necessary.</w:t>
      </w:r>
    </w:p>
    <w:p>
      <w:pPr>
        <w:pStyle w:val="ListParagraph"/>
        <w:numPr>
          <w:ilvl w:val="0"/>
          <w:numId w:val="2"/>
        </w:numPr>
        <w:spacing w:after="110" w:line="276"/>
      </w:pPr>
      <w:r>
        <w:rPr>
          <w:b/>
          <w:bCs/>
          <w:color w:val="2E6BE6"/>
        </w:rPr>
        <w:t xml:space="preserve">REP-BR-03 — Inaccessible Device. </w:t>
      </w:r>
      <w:r>
        <w:t xml:space="preserve">Where a device cannot be fully tested, the technician shall record the reason and mark the affected components as Unable to Test rather than assuming they are functional.</w:t>
      </w:r>
    </w:p>
    <w:p>
      <w:pPr>
        <w:pStyle w:val="ListParagraph"/>
        <w:numPr>
          <w:ilvl w:val="0"/>
          <w:numId w:val="2"/>
        </w:numPr>
        <w:spacing w:after="110" w:line="276"/>
      </w:pPr>
      <w:r>
        <w:rPr>
          <w:b/>
          <w:bCs/>
          <w:color w:val="2E6BE6"/>
        </w:rPr>
        <w:t xml:space="preserve">REP-BR-04 — Diagnosis Outcome. </w:t>
      </w:r>
      <w:r>
        <w:t xml:space="preserve">Upon completing diagnosis, the technician shall classify the repair as Repairable, Unrepairable, or Requiring Further Assessment.</w:t>
      </w:r>
    </w:p>
    <w:p>
      <w:pPr>
        <w:pStyle w:val="ListParagraph"/>
        <w:numPr>
          <w:ilvl w:val="0"/>
          <w:numId w:val="2"/>
        </w:numPr>
        <w:spacing w:after="110" w:line="276"/>
      </w:pPr>
      <w:r>
        <w:rPr>
          <w:b/>
          <w:bCs/>
          <w:color w:val="2E6BE6"/>
        </w:rPr>
        <w:t xml:space="preserve">REP-BR-05 — Unrepairable Device. </w:t>
      </w:r>
      <w:r>
        <w:t xml:space="preserve">When a device is classified Unrepairable before repair work begins, the system shall prevent progression to repair execution and shall not reserve repair parts.</w:t>
      </w:r>
    </w:p>
    <w:p>
      <w:pPr>
        <w:pStyle w:val="ListParagraph"/>
        <w:numPr>
          <w:ilvl w:val="0"/>
          <w:numId w:val="2"/>
        </w:numPr>
        <w:spacing w:after="110" w:line="276"/>
      </w:pPr>
      <w:r>
        <w:rPr>
          <w:b/>
          <w:bCs/>
          <w:color w:val="2E6BE6"/>
        </w:rPr>
        <w:t xml:space="preserve">REP-BR-06 — Parts Reservation Timing. </w:t>
      </w:r>
      <w:r>
        <w:t xml:space="preserve">Parts shall only be reserved once the repair has been determined Repairable and any applicable authorization/payment requirement has been satisfied — not merely because a technician selected a candidate part during diagnosis.</w:t>
      </w:r>
    </w:p>
    <w:p>
      <w:pPr>
        <w:pStyle w:val="ListParagraph"/>
        <w:numPr>
          <w:ilvl w:val="0"/>
          <w:numId w:val="2"/>
        </w:numPr>
        <w:spacing w:after="110" w:line="276"/>
      </w:pPr>
      <w:r>
        <w:rPr>
          <w:b/>
          <w:bCs/>
          <w:color w:val="2E6BE6"/>
        </w:rPr>
        <w:t xml:space="preserve">REP-BR-07 — Unrepairable Financial Settlement. </w:t>
      </w:r>
      <w:r>
        <w:t xml:space="preserve">When a repair is classified Unrepairable after payment has been received, the system shall place the transaction into a financial settlement state and calculate amount paid and applicable charges; the refund or retention amount shall follow the business's configured refund policy or an authorized administrative decision — never a technician decision.</w:t>
      </w:r>
    </w:p>
    <w:p>
      <w:pPr>
        <w:pStyle w:val="ListParagraph"/>
        <w:numPr>
          <w:ilvl w:val="0"/>
          <w:numId w:val="2"/>
        </w:numPr>
        <w:spacing w:after="110" w:line="276"/>
      </w:pPr>
      <w:r>
        <w:rPr>
          <w:b/>
          <w:bCs/>
          <w:color w:val="2E6BE6"/>
        </w:rPr>
        <w:t xml:space="preserve">REP-BR-08 — Failed Repair Resolution. </w:t>
      </w:r>
      <w:r>
        <w:t xml:space="preserve">If a repair fails after work has commenced, the system shall record the outcome as Failed / Requires Resolution and shall not automatically determine a refund, additional charge, or further repair action, unless a corresponding business policy has been configured. A failed repair is not automatically the same as an unrepairable device — the business may choose to retry, escalate, refund, or return the device.</w:t>
      </w:r>
    </w:p>
    <w:p>
      <w:r>
        <w:br w:type="page"/>
      </w:r>
    </w:p>
    <w:p>
      <w:pPr>
        <w:pStyle w:val="Heading2"/>
        <w:spacing w:after="150" w:before="300"/>
      </w:pPr>
      <w:r>
        <w:rPr>
          <w:b/>
          <w:bCs/>
        </w:rPr>
        <w:t xml:space="preserve">3.6 Repair Authorization &amp; Payment-Before-Work</w:t>
      </w:r>
    </w:p>
    <w:p>
      <w:pPr>
        <w:spacing w:after="160" w:line="276"/>
      </w:pPr>
      <w:r>
        <w:t xml:space="preserve">A device can sit with the business, diagnosed as repairable, without the customer ever authorizing the work by paying the required down payment. This is treated as its own branch rather than being folded into either the repair-in-progress flow or the post-completion collection flow.</w:t>
      </w:r>
    </w:p>
    <w:p>
      <w:pPr>
        <w:pStyle w:val="ListParagraph"/>
        <w:numPr>
          <w:ilvl w:val="0"/>
          <w:numId w:val="2"/>
        </w:numPr>
        <w:spacing w:after="110" w:line="276"/>
      </w:pPr>
      <w:r>
        <w:rPr>
          <w:b/>
          <w:bCs/>
          <w:color w:val="2E6BE6"/>
        </w:rPr>
        <w:t xml:space="preserve">REP-BR-19 — Repair Payment Deadline. </w:t>
      </w:r>
      <w:r>
        <w:t xml:space="preserve">Where a down payment is required, the system shall support a configurable period within which the customer must pay before the repair authorization expires.</w:t>
      </w:r>
    </w:p>
    <w:p>
      <w:pPr>
        <w:pStyle w:val="ListParagraph"/>
        <w:numPr>
          <w:ilvl w:val="0"/>
          <w:numId w:val="2"/>
        </w:numPr>
        <w:spacing w:after="110" w:line="276"/>
      </w:pPr>
      <w:r>
        <w:rPr>
          <w:b/>
          <w:bCs/>
          <w:color w:val="2E6BE6"/>
        </w:rPr>
        <w:t xml:space="preserve">REP-BR-20 — Payment Expiry. </w:t>
      </w:r>
      <w:r>
        <w:t xml:space="preserve">If the required down payment is not received within the configured period, the repair shall be marked Payment Overdue and subsequently Repair Expired/Cancelled per the configured policy.</w:t>
      </w:r>
    </w:p>
    <w:p>
      <w:pPr>
        <w:pStyle w:val="ListParagraph"/>
        <w:numPr>
          <w:ilvl w:val="0"/>
          <w:numId w:val="2"/>
        </w:numPr>
        <w:spacing w:after="110" w:line="276"/>
      </w:pPr>
      <w:r>
        <w:rPr>
          <w:b/>
          <w:bCs/>
          <w:color w:val="2E6BE6"/>
        </w:rPr>
        <w:t xml:space="preserve">REP-BR-21 — Unpaid Repair Return. </w:t>
      </w:r>
      <w:r>
        <w:t xml:space="preserve">When a repair expires before work begins, the system shall prevent further repair execution and make the device available for return/collection by the customer via the Collection Lifecycle (3.8).</w:t>
      </w:r>
    </w:p>
    <w:p>
      <w:pPr>
        <w:pStyle w:val="Heading2"/>
        <w:spacing w:after="150" w:before="300"/>
      </w:pPr>
      <w:r>
        <w:rPr>
          <w:b/>
          <w:bCs/>
        </w:rPr>
        <w:t xml:space="preserve">3.7 Completed Repair With Outstanding Balance</w:t>
      </w:r>
    </w:p>
    <w:p>
      <w:pPr>
        <w:spacing w:after="160" w:line="276"/>
      </w:pPr>
      <w:r>
        <w:t xml:space="preserve">Completing repair work and being entitled to release the device are treated as two separate facts. A completed repair does not automatically authorize release if money is still owed.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50"/>
      </w:tblGrid>
      <w:tr>
        <w:trPr>
          <w:tblHeader/>
        </w:trPr>
        <w:tc>
          <w:tcPr>
            <w:tcW w:type="dxa" w:w="20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Repair Status</w:t>
            </w:r>
          </w:p>
        </w:tc>
        <w:tc>
          <w:tcPr>
            <w:tcW w:type="dxa" w:w="2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Financial Status</w:t>
            </w:r>
          </w:p>
        </w:tc>
        <w:tc>
          <w:tcPr>
            <w:tcW w:type="dxa" w:w="47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Can Release Device?</w:t>
            </w:r>
          </w:p>
        </w:tc>
      </w:tr>
      <w:tr>
        <w:tc>
          <w:tcPr>
            <w:tcW w:type="dxa" w:w="20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Completed</w:t>
            </w:r>
          </w:p>
        </w:tc>
        <w:tc>
          <w:tcPr>
            <w:tcW w:type="dxa" w:w="2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Fully paid</w:t>
            </w:r>
          </w:p>
        </w:tc>
        <w:tc>
          <w:tcPr>
            <w:tcW w:type="dxa" w:w="47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Yes</w:t>
            </w:r>
          </w:p>
        </w:tc>
      </w:tr>
      <w:tr>
        <w:tc>
          <w:tcPr>
            <w:tcW w:type="dxa" w:w="20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Completed</w:t>
            </w:r>
          </w:p>
        </w:tc>
        <w:tc>
          <w:tcPr>
            <w:tcW w:type="dxa" w:w="2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Balance outstanding</w:t>
            </w:r>
          </w:p>
        </w:tc>
        <w:tc>
          <w:tcPr>
            <w:tcW w:type="dxa" w:w="47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 by default</w:t>
            </w:r>
          </w:p>
        </w:tc>
      </w:tr>
      <w:tr>
        <w:tc>
          <w:tcPr>
            <w:tcW w:type="dxa" w:w="20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Unrepairable</w:t>
            </w:r>
          </w:p>
        </w:tc>
        <w:tc>
          <w:tcPr>
            <w:tcW w:type="dxa" w:w="2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Payment received</w:t>
            </w:r>
          </w:p>
        </w:tc>
        <w:tc>
          <w:tcPr>
            <w:tcW w:type="dxa" w:w="47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Depends on settlement policy (3.5)</w:t>
            </w:r>
          </w:p>
        </w:tc>
      </w:tr>
      <w:tr>
        <w:tc>
          <w:tcPr>
            <w:tcW w:type="dxa" w:w="20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Unrepairable</w:t>
            </w:r>
          </w:p>
        </w:tc>
        <w:tc>
          <w:tcPr>
            <w:tcW w:type="dxa" w:w="2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 payment</w:t>
            </w:r>
          </w:p>
        </w:tc>
        <w:tc>
          <w:tcPr>
            <w:tcW w:type="dxa" w:w="47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Yes — return</w:t>
            </w:r>
          </w:p>
        </w:tc>
      </w:tr>
      <w:tr>
        <w:tc>
          <w:tcPr>
            <w:tcW w:type="dxa" w:w="20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Failed</w:t>
            </w:r>
          </w:p>
        </w:tc>
        <w:tc>
          <w:tcPr>
            <w:tcW w:type="dxa" w:w="2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Balance outstanding</w:t>
            </w:r>
          </w:p>
        </w:tc>
        <w:tc>
          <w:tcPr>
            <w:tcW w:type="dxa" w:w="47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Requires business resolution</w:t>
            </w:r>
          </w:p>
        </w:tc>
      </w:tr>
    </w:tbl>
    <w:p>
      <w:pPr>
        <w:spacing w:before="200"/>
      </w:pPr>
    </w:p>
    <w:p>
      <w:pPr>
        <w:pStyle w:val="ListParagraph"/>
        <w:numPr>
          <w:ilvl w:val="0"/>
          <w:numId w:val="2"/>
        </w:numPr>
        <w:spacing w:after="110" w:line="276"/>
      </w:pPr>
      <w:r>
        <w:rPr>
          <w:b/>
          <w:bCs/>
          <w:color w:val="2E6BE6"/>
        </w:rPr>
        <w:t xml:space="preserve">REP-BR-22 — Outstanding Balance. </w:t>
      </w:r>
      <w:r>
        <w:t xml:space="preserve">When a repair is completed with an outstanding balance, the system shall record the remaining amount as payable and shall not automatically mark the device as eligible for release.</w:t>
      </w:r>
    </w:p>
    <w:p>
      <w:pPr>
        <w:pStyle w:val="ListParagraph"/>
        <w:numPr>
          <w:ilvl w:val="0"/>
          <w:numId w:val="2"/>
        </w:numPr>
        <w:spacing w:after="110" w:line="276"/>
      </w:pPr>
      <w:r>
        <w:rPr>
          <w:b/>
          <w:bCs/>
          <w:color w:val="2E6BE6"/>
        </w:rPr>
        <w:t xml:space="preserve">REP-BR-23 — Collection Payment Requirement. </w:t>
      </w:r>
      <w:r>
        <w:t xml:space="preserve">By default, a completed repair with an outstanding balance shall require payment of that balance before the device is released.</w:t>
      </w:r>
    </w:p>
    <w:p>
      <w:pPr>
        <w:pStyle w:val="ListParagraph"/>
        <w:numPr>
          <w:ilvl w:val="0"/>
          <w:numId w:val="2"/>
        </w:numPr>
        <w:spacing w:after="110" w:line="276"/>
      </w:pPr>
      <w:r>
        <w:rPr>
          <w:b/>
          <w:bCs/>
          <w:color w:val="2E6BE6"/>
        </w:rPr>
        <w:t xml:space="preserve">REP-BR-24 — Authorized Collection Override. </w:t>
      </w:r>
      <w:r>
        <w:t xml:space="preserve">An appropriately authorized staff member may override the payment requirement and release the device, subject to recording the authorization, the staff member, and the reason — real businesses need this exception, and it must be auditable.</w:t>
      </w:r>
    </w:p>
    <w:p>
      <w:r>
        <w:br w:type="page"/>
      </w:r>
    </w:p>
    <w:p>
      <w:pPr>
        <w:pStyle w:val="Heading2"/>
        <w:spacing w:after="150" w:before="300"/>
      </w:pPr>
      <w:r>
        <w:rPr>
          <w:b/>
          <w:bCs/>
        </w:rPr>
        <w:t xml:space="preserve">3.8 Collection &amp; Abandonment Management</w:t>
      </w:r>
    </w:p>
    <w:p>
      <w:pPr>
        <w:spacing w:after="160" w:line="276"/>
      </w:pPr>
      <w:r>
        <w:t xml:space="preserve">Collection is modeled as its own lifecycle, reusable by any device that needs to leave the business's possession — a successful repair, an unrepairable device, or a repair that expired unpaid — rather than only applying to completed repairs.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Ready for Collection/Return -&gt; Customer notified -&gt; Collection Due</w:t>
            </w:r>
          </w:p>
          <w:p>
            <w:pPr>
              <w:spacing w:after="40"/>
            </w:pPr>
            <w:r>
              <w:rPr>
                <w:rFonts w:ascii="Consolas" w:cs="Consolas" w:eastAsia="Consolas" w:hAnsi="Consolas"/>
                <w:color w:val="1B4332"/>
                <w:sz w:val="19"/>
                <w:szCs w:val="19"/>
              </w:rPr>
              <w:t xml:space="preserve">  -&gt; (deadline passes) -&gt; Overdue for Collection</w:t>
            </w:r>
          </w:p>
          <w:p>
            <w:pPr>
              <w:spacing w:after="40"/>
            </w:pPr>
            <w:r>
              <w:rPr>
                <w:rFonts w:ascii="Consolas" w:cs="Consolas" w:eastAsia="Consolas" w:hAnsi="Consolas"/>
                <w:color w:val="1B4332"/>
                <w:sz w:val="19"/>
                <w:szCs w:val="19"/>
              </w:rPr>
              <w:t xml:space="preserve">  -&gt; (abandonment threshold passes) -&gt; Abandoned/Uncollected -&gt; Administrative Resolution</w:t>
            </w:r>
          </w:p>
          <w:p>
            <w:pPr>
              <w:spacing w:after="40"/>
            </w:pPr>
            <w:r>
              <w:rPr>
                <w:rFonts w:ascii="Consolas" w:cs="Consolas" w:eastAsia="Consolas" w:hAnsi="Consolas"/>
                <w:color w:val="1B4332"/>
                <w:sz w:val="19"/>
                <w:szCs w:val="19"/>
              </w:rPr>
              <w:t xml:space="preserve">     [continue holding | contact customer | waive fee | extend deadline | mark abandoned | other]</w:t>
            </w:r>
          </w:p>
        </w:tc>
      </w:tr>
    </w:tbl>
    <w:p>
      <w:pPr>
        <w:spacing w:after="160" w:line="276"/>
      </w:pPr>
      <w:r>
        <w:t xml:space="preserve">Two distinct, independently configurable policies apply here: an abandonment timeline (when does the business stop treating this as an ordinary pending collection) and an optional storage fee (does the business charge for holding the device past a grace period). They are not assumed to be linked.</w:t>
      </w:r>
    </w:p>
    <w:p>
      <w:pPr>
        <w:pStyle w:val="ListParagraph"/>
        <w:numPr>
          <w:ilvl w:val="0"/>
          <w:numId w:val="2"/>
        </w:numPr>
        <w:spacing w:after="110" w:line="276"/>
      </w:pPr>
      <w:r>
        <w:rPr>
          <w:b/>
          <w:bCs/>
          <w:color w:val="2E6BE6"/>
        </w:rPr>
        <w:t xml:space="preserve">REP-BR-09 — Collection Deadline. </w:t>
      </w:r>
      <w:r>
        <w:t xml:space="preserve">When a repair is marked Ready for Collection, the system shall assign a collection deadline per the business's configured collection policy.</w:t>
      </w:r>
    </w:p>
    <w:p>
      <w:pPr>
        <w:pStyle w:val="ListParagraph"/>
        <w:numPr>
          <w:ilvl w:val="0"/>
          <w:numId w:val="2"/>
        </w:numPr>
        <w:spacing w:after="110" w:line="276"/>
      </w:pPr>
      <w:r>
        <w:rPr>
          <w:b/>
          <w:bCs/>
          <w:color w:val="2E6BE6"/>
        </w:rPr>
        <w:t xml:space="preserve">REP-BR-10 — Overdue Status. </w:t>
      </w:r>
      <w:r>
        <w:t xml:space="preserve">If the customer has not collected the device by the deadline, the repair shall be marked Overdue for Collection and shall remain available for collection unless an administrative action changes its status.</w:t>
      </w:r>
    </w:p>
    <w:p>
      <w:pPr>
        <w:pStyle w:val="ListParagraph"/>
        <w:numPr>
          <w:ilvl w:val="0"/>
          <w:numId w:val="2"/>
        </w:numPr>
        <w:spacing w:after="110" w:line="276"/>
      </w:pPr>
      <w:r>
        <w:rPr>
          <w:b/>
          <w:bCs/>
          <w:color w:val="2E6BE6"/>
        </w:rPr>
        <w:t xml:space="preserve">REP-BR-11 — Abandonment Threshold. </w:t>
      </w:r>
      <w:r>
        <w:t xml:space="preserve">The system shall support a configurable abandonment period after which an uncollected repair is flagged Abandoned/Uncollected and requires administrative resolution.</w:t>
      </w:r>
    </w:p>
    <w:p>
      <w:pPr>
        <w:pStyle w:val="ListParagraph"/>
        <w:numPr>
          <w:ilvl w:val="0"/>
          <w:numId w:val="2"/>
        </w:numPr>
        <w:spacing w:after="110" w:line="276"/>
      </w:pPr>
      <w:r>
        <w:rPr>
          <w:b/>
          <w:bCs/>
          <w:color w:val="2E6BE6"/>
        </w:rPr>
        <w:t xml:space="preserve">REP-BR-12 — Storage Fee Configuration. </w:t>
      </w:r>
      <w:r>
        <w:t xml:space="preserve">Authorized administrators may enable or disable storage fees for uncollected devices and configure the grace period, fee amount, charging interval, and an optional maximum fee.</w:t>
      </w:r>
    </w:p>
    <w:p>
      <w:pPr>
        <w:pStyle w:val="ListParagraph"/>
        <w:numPr>
          <w:ilvl w:val="0"/>
          <w:numId w:val="2"/>
        </w:numPr>
        <w:spacing w:after="110" w:line="276"/>
      </w:pPr>
      <w:r>
        <w:rPr>
          <w:b/>
          <w:bCs/>
          <w:color w:val="2E6BE6"/>
        </w:rPr>
        <w:t xml:space="preserve">REP-BR-13 — Storage Fee Accrual. </w:t>
      </w:r>
      <w:r>
        <w:t xml:space="preserve">Where storage fees are enabled, the system shall automatically calculate and display accrued storage charges per the configured policy.</w:t>
      </w:r>
    </w:p>
    <w:p>
      <w:pPr>
        <w:pStyle w:val="ListParagraph"/>
        <w:numPr>
          <w:ilvl w:val="0"/>
          <w:numId w:val="2"/>
        </w:numPr>
        <w:spacing w:after="110" w:line="276"/>
      </w:pPr>
      <w:r>
        <w:rPr>
          <w:b/>
          <w:bCs/>
          <w:color w:val="2E6BE6"/>
        </w:rPr>
        <w:t xml:space="preserve">REP-BR-14 — Storage Fee Visibility. </w:t>
      </w:r>
      <w:r>
        <w:t xml:space="preserve">Collection deadlines, storage-fee rules, accrued fees, and abandonment dates shall be visible to authorized staff and, where appropriate, the affected customer, before charges arrive as a surprise.</w:t>
      </w:r>
    </w:p>
    <w:p>
      <w:pPr>
        <w:pStyle w:val="ListParagraph"/>
        <w:numPr>
          <w:ilvl w:val="0"/>
          <w:numId w:val="2"/>
        </w:numPr>
        <w:spacing w:after="110" w:line="276"/>
      </w:pPr>
      <w:r>
        <w:rPr>
          <w:b/>
          <w:bCs/>
          <w:color w:val="2E6BE6"/>
        </w:rPr>
        <w:t xml:space="preserve">REP-BR-15 — Collection Notifications. </w:t>
      </w:r>
      <w:r>
        <w:t xml:space="preserve">The system shall notify customers when a repair becomes Ready for Collection and shall support configurable reminder notifications before and after the deadline.</w:t>
      </w:r>
    </w:p>
    <w:p>
      <w:pPr>
        <w:pStyle w:val="ListParagraph"/>
        <w:numPr>
          <w:ilvl w:val="0"/>
          <w:numId w:val="2"/>
        </w:numPr>
        <w:spacing w:after="110" w:line="276"/>
      </w:pPr>
      <w:r>
        <w:rPr>
          <w:b/>
          <w:bCs/>
          <w:color w:val="2E6BE6"/>
        </w:rPr>
        <w:t xml:space="preserve">REP-BR-16 — Abandonment Notification. </w:t>
      </w:r>
      <w:r>
        <w:t xml:space="preserve">The system shall notify the customer before an uncollected device reaches the configured abandonment threshold.</w:t>
      </w:r>
    </w:p>
    <w:p>
      <w:pPr>
        <w:pStyle w:val="ListParagraph"/>
        <w:numPr>
          <w:ilvl w:val="0"/>
          <w:numId w:val="2"/>
        </w:numPr>
        <w:spacing w:after="110" w:line="276"/>
      </w:pPr>
      <w:r>
        <w:rPr>
          <w:b/>
          <w:bCs/>
          <w:color w:val="2E6BE6"/>
        </w:rPr>
        <w:t xml:space="preserve">REP-BR-17 — Administrative Resolution. </w:t>
      </w:r>
      <w:r>
        <w:t xml:space="preserve">Reaching the abandonment threshold shall not automatically authorize disposal, sale, transfer, or other permanent disposition of the device. The device shall instead be flagged for an authorized administrative decision per the business's policy.</w:t>
      </w:r>
    </w:p>
    <w:p>
      <w:pPr>
        <w:pStyle w:val="ListParagraph"/>
        <w:numPr>
          <w:ilvl w:val="0"/>
          <w:numId w:val="2"/>
        </w:numPr>
        <w:spacing w:after="110" w:line="276"/>
      </w:pPr>
      <w:r>
        <w:rPr>
          <w:b/>
          <w:bCs/>
          <w:color w:val="2E6BE6"/>
        </w:rPr>
        <w:t xml:space="preserve">REP-BR-18 — Collection History. </w:t>
      </w:r>
      <w:r>
        <w:t xml:space="preserve">The system shall maintain a chronological record of collection deadlines, notifications, extensions, storage-fee accruals, and administrative actions for every uncollected device, feeding the same audit trail required elsewhere in the BRD's Non-Functional Requirements.</w:t>
      </w:r>
    </w:p>
    <w:p>
      <w:pPr>
        <w:pStyle w:val="ListParagraph"/>
        <w:numPr>
          <w:ilvl w:val="0"/>
          <w:numId w:val="2"/>
        </w:numPr>
        <w:spacing w:after="110" w:line="276"/>
      </w:pPr>
      <w:r>
        <w:rPr>
          <w:b/>
          <w:bCs/>
          <w:color w:val="2E6BE6"/>
        </w:rPr>
        <w:t xml:space="preserve">REP-BR-25 — Collection Lifecycle Reuse. </w:t>
      </w:r>
      <w:r>
        <w:t xml:space="preserve">Devices requiring customer return or collection shall enter the collection-management lifecycle regardless of whether the repair was completed, unsuccessful, or cancelled before repair execution.</w:t>
      </w:r>
    </w:p>
    <w:p>
      <w:pPr>
        <w:pStyle w:val="ListParagraph"/>
        <w:numPr>
          <w:ilvl w:val="0"/>
          <w:numId w:val="2"/>
        </w:numPr>
        <w:spacing w:after="110" w:line="276"/>
      </w:pPr>
      <w:r>
        <w:rPr>
          <w:b/>
          <w:bCs/>
          <w:color w:val="2E6BE6"/>
        </w:rPr>
        <w:t xml:space="preserve">REP-BR-26 — Collection Context. </w:t>
      </w:r>
      <w:r>
        <w:t xml:space="preserve">The system shall distinguish a device Ready for Collection following a successful repair from a device Ready for Return following an uncompleted, cancelled, or unrepairable repair, so the customer is never told a repair is “ready” when no repair occurred.</w:t>
      </w:r>
    </w:p>
    <w:p>
      <w:r>
        <w:br w:type="page"/>
      </w:r>
    </w:p>
    <w:p>
      <w:pPr>
        <w:pStyle w:val="Heading2"/>
        <w:spacing w:after="150" w:before="300"/>
      </w:pPr>
      <w:r>
        <w:rPr>
          <w:b/>
          <w:bCs/>
        </w:rPr>
        <w:t xml:space="preserve">3.9 Repair State Summary</w:t>
      </w:r>
    </w:p>
    <w:p>
      <w:pPr>
        <w:spacing w:after="160" w:line="276"/>
      </w:pPr>
      <w:r>
        <w:t xml:space="preserve">The table below shows representative combinations of the four dimensions introduced in Section 2.4, applied to the repair scenarios resolved in this section.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1900"/>
        <w:gridCol w:w="1900"/>
        <w:gridCol w:w="2500"/>
      </w:tblGrid>
      <w:tr>
        <w:trPr>
          <w:tblHeader/>
        </w:trPr>
        <w:tc>
          <w:tcPr>
            <w:tcW w:type="dxa" w:w="30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Scenario</w:t>
            </w:r>
          </w:p>
        </w:tc>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Repair State</w:t>
            </w:r>
          </w:p>
        </w:tc>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Payment State</w:t>
            </w:r>
          </w:p>
        </w:tc>
        <w:tc>
          <w:tcPr>
            <w:tcW w:type="dxa" w:w="25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Device Disposition</w:t>
            </w:r>
          </w:p>
        </w:tc>
      </w:tr>
      <w:tr>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Diagnosed, awaiting customer authorization</w:t>
            </w:r>
          </w:p>
        </w:tc>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Repairable</w:t>
            </w:r>
          </w:p>
        </w:tc>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Unpaid</w:t>
            </w:r>
          </w:p>
        </w:tc>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With Business</w:t>
            </w:r>
          </w:p>
        </w:tc>
      </w:tr>
      <w:tr>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Down payment not received in time</w:t>
            </w:r>
          </w:p>
        </w:tc>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Expired/Cancelled</w:t>
            </w:r>
          </w:p>
        </w:tc>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Overdue</w:t>
            </w:r>
          </w:p>
        </w:tc>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Ready for Return</w:t>
            </w:r>
          </w:p>
        </w:tc>
      </w:tr>
      <w:tr>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Diagnosed as not fixable</w:t>
            </w:r>
          </w:p>
        </w:tc>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Unrepairable</w:t>
            </w:r>
          </w:p>
        </w:tc>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Depends on prior payment</w:t>
            </w:r>
          </w:p>
        </w:tc>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Ready for Return</w:t>
            </w:r>
          </w:p>
        </w:tc>
      </w:tr>
      <w:tr>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Repair finished, fully paid</w:t>
            </w:r>
          </w:p>
        </w:tc>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Completed</w:t>
            </w:r>
          </w:p>
        </w:tc>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Fully Paid</w:t>
            </w:r>
          </w:p>
        </w:tc>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Ready for Collection</w:t>
            </w:r>
          </w:p>
        </w:tc>
      </w:tr>
      <w:tr>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 finished, balance owed</w:t>
            </w:r>
          </w:p>
        </w:tc>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Completed</w:t>
            </w:r>
          </w:p>
        </w:tc>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Partially Paid</w:t>
            </w:r>
          </w:p>
        </w:tc>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Ready for Collection (blocked)</w:t>
            </w:r>
          </w:p>
        </w:tc>
      </w:tr>
      <w:tr>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Repair attempted, did not resolve fault</w:t>
            </w:r>
          </w:p>
        </w:tc>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Failed/Requires Resolution</w:t>
            </w:r>
          </w:p>
        </w:tc>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Varies</w:t>
            </w:r>
          </w:p>
        </w:tc>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With Business (pending decision)</w:t>
            </w:r>
          </w:p>
        </w:tc>
      </w:tr>
      <w:tr>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Customer collected the device</w:t>
            </w:r>
          </w:p>
        </w:tc>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Completed</w:t>
            </w:r>
          </w:p>
        </w:tc>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Fully Paid (or authorized override)</w:t>
            </w:r>
          </w:p>
        </w:tc>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Collected</w:t>
            </w:r>
          </w:p>
        </w:tc>
      </w:tr>
    </w:tbl>
    <w:p>
      <w:r>
        <w:br w:type="page"/>
      </w:r>
    </w:p>
    <w:p>
      <w:pPr>
        <w:pStyle w:val="Heading1"/>
        <w:spacing w:after="200" w:before="400"/>
      </w:pPr>
      <w:r>
        <w:rPr>
          <w:b/>
          <w:bCs/>
        </w:rPr>
        <w:t xml:space="preserve">4. Sales / POS — Business Logic</w:t>
      </w:r>
    </w:p>
    <w:p>
      <w:pPr>
        <w:pStyle w:val="Heading2"/>
        <w:spacing w:after="150" w:before="300"/>
      </w:pPr>
      <w:r>
        <w:rPr>
          <w:b/>
          <w:bCs/>
        </w:rPr>
        <w:t xml:space="preserve">4.1 Checkout Reservation Model</w:t>
      </w:r>
    </w:p>
    <w:p>
      <w:pPr>
        <w:spacing w:after="160" w:line="276"/>
      </w:pPr>
      <w:r>
        <w:t xml:space="preserve">Generating a checkout (BRD ref. SALE-03) reserves inventory; it does not sell it. The same On-hand / Reserved / Available mechanism from Section 2.1 applies, with the checkout itself as the reservation's source.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On-hand=5 Reserved=0 Available=5</w:t>
            </w:r>
          </w:p>
          <w:p>
            <w:pPr>
              <w:spacing w:after="40"/>
            </w:pPr>
            <w:r>
              <w:rPr>
                <w:rFonts w:ascii="Consolas" w:cs="Consolas" w:eastAsia="Consolas" w:hAnsi="Consolas"/>
                <w:color w:val="1B4332"/>
                <w:sz w:val="19"/>
                <w:szCs w:val="19"/>
              </w:rPr>
              <w:t xml:space="preserve">  -&gt; customer/cashier creates checkout for 1 unit</w:t>
            </w:r>
          </w:p>
          <w:p>
            <w:pPr>
              <w:spacing w:after="40"/>
            </w:pPr>
            <w:r>
              <w:rPr>
                <w:rFonts w:ascii="Consolas" w:cs="Consolas" w:eastAsia="Consolas" w:hAnsi="Consolas"/>
                <w:color w:val="1B4332"/>
                <w:sz w:val="19"/>
                <w:szCs w:val="19"/>
              </w:rPr>
              <w:t xml:space="preserve">On-hand=5 Reserved=1 Available=4   (nothing physically left the shop yet)</w:t>
            </w:r>
          </w:p>
          <w:p>
            <w:pPr>
              <w:spacing w:after="40"/>
            </w:pPr>
            <w:r>
              <w:rPr>
                <w:rFonts w:ascii="Consolas" w:cs="Consolas" w:eastAsia="Consolas" w:hAnsi="Consolas"/>
                <w:color w:val="1B4332"/>
                <w:sz w:val="19"/>
                <w:szCs w:val="19"/>
              </w:rPr>
              <w:t xml:space="preserve">  -&gt; payment confirmed</w:t>
            </w:r>
          </w:p>
          <w:p>
            <w:pPr>
              <w:spacing w:after="40"/>
            </w:pPr>
            <w:r>
              <w:rPr>
                <w:rFonts w:ascii="Consolas" w:cs="Consolas" w:eastAsia="Consolas" w:hAnsi="Consolas"/>
                <w:color w:val="1B4332"/>
                <w:sz w:val="19"/>
                <w:szCs w:val="19"/>
              </w:rPr>
              <w:t xml:space="preserve">On-hand=4 Reserved=0 Available=4   (stock-out now recorded)</w:t>
            </w:r>
          </w:p>
        </w:tc>
      </w:tr>
    </w:tbl>
    <w:p>
      <w:pPr>
        <w:pStyle w:val="Heading2"/>
        <w:spacing w:after="150" w:before="300"/>
      </w:pPr>
      <w:r>
        <w:rPr>
          <w:b/>
          <w:bCs/>
        </w:rPr>
        <w:t xml:space="preserve">4.2 Concurrency at Checkout</w:t>
      </w:r>
    </w:p>
    <w:p>
      <w:pPr>
        <w:spacing w:after="160" w:line="276"/>
      </w:pPr>
      <w:r>
        <w:t xml:space="preserve">Multiple open checkouts are normal and expected. What is never permitted is two active checkouts both holding a claim on the same physical unit.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50"/>
      </w:tblGrid>
      <w:tr>
        <w:trPr>
          <w:tblHeader/>
        </w:trPr>
        <w:tc>
          <w:tcPr>
            <w:tcW w:type="dxa" w:w="14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Checkout</w:t>
            </w:r>
          </w:p>
        </w:tc>
        <w:tc>
          <w:tcPr>
            <w:tcW w:type="dxa" w:w="22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Item</w:t>
            </w:r>
          </w:p>
        </w:tc>
        <w:tc>
          <w:tcPr>
            <w:tcW w:type="dxa" w:w="22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Unit</w:t>
            </w:r>
          </w:p>
        </w:tc>
        <w:tc>
          <w:tcPr>
            <w:tcW w:type="dxa" w:w="35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Valid?</w:t>
            </w:r>
          </w:p>
        </w:tc>
      </w:tr>
      <w:tr>
        <w:tc>
          <w:tcPr>
            <w:tcW w:type="dxa" w:w="1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#101</w:t>
            </w:r>
          </w:p>
        </w:tc>
        <w:tc>
          <w:tcPr>
            <w:tcW w:type="dxa" w:w="2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iPhone 13</w:t>
            </w:r>
          </w:p>
        </w:tc>
        <w:tc>
          <w:tcPr>
            <w:tcW w:type="dxa" w:w="2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IMEI-001</w:t>
            </w:r>
          </w:p>
        </w:tc>
        <w:tc>
          <w:tcPr>
            <w:tcW w:type="dxa" w:w="35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Yes</w:t>
            </w:r>
          </w:p>
        </w:tc>
      </w:tr>
      <w:tr>
        <w:tc>
          <w:tcPr>
            <w:tcW w:type="dxa" w:w="14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#102</w:t>
            </w:r>
          </w:p>
        </w:tc>
        <w:tc>
          <w:tcPr>
            <w:tcW w:type="dxa" w:w="2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iPhone 13</w:t>
            </w:r>
          </w:p>
        </w:tc>
        <w:tc>
          <w:tcPr>
            <w:tcW w:type="dxa" w:w="2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IMEI-002</w:t>
            </w:r>
          </w:p>
        </w:tc>
        <w:tc>
          <w:tcPr>
            <w:tcW w:type="dxa" w:w="35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Yes</w:t>
            </w:r>
          </w:p>
        </w:tc>
      </w:tr>
      <w:tr>
        <w:tc>
          <w:tcPr>
            <w:tcW w:type="dxa" w:w="14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#103</w:t>
            </w:r>
          </w:p>
        </w:tc>
        <w:tc>
          <w:tcPr>
            <w:tcW w:type="dxa" w:w="2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iPhone 13</w:t>
            </w:r>
          </w:p>
        </w:tc>
        <w:tc>
          <w:tcPr>
            <w:tcW w:type="dxa" w:w="2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IMEI-001</w:t>
            </w:r>
          </w:p>
        </w:tc>
        <w:tc>
          <w:tcPr>
            <w:tcW w:type="dxa" w:w="35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 — already held by #101</w:t>
            </w:r>
          </w:p>
        </w:tc>
      </w:tr>
    </w:tbl>
    <w:p>
      <w:r>
        <w:br w:type="page"/>
      </w:r>
    </w:p>
    <w:p>
      <w:pPr>
        <w:pStyle w:val="Heading2"/>
        <w:spacing w:after="150" w:before="300"/>
      </w:pPr>
      <w:r>
        <w:rPr>
          <w:b/>
          <w:bCs/>
        </w:rPr>
        <w:t xml:space="preserve">4.3 Payment Confirmation, Expiry &amp; Release</w:t>
      </w:r>
    </w:p>
    <w:p>
      <w:pPr>
        <w:pStyle w:val="ListParagraph"/>
        <w:numPr>
          <w:ilvl w:val="0"/>
          <w:numId w:val="2"/>
        </w:numPr>
        <w:spacing w:after="110" w:line="276"/>
      </w:pPr>
      <w:r>
        <w:rPr>
          <w:b/>
          <w:bCs/>
          <w:color w:val="2E6BE6"/>
        </w:rPr>
        <w:t xml:space="preserve">SALE/INV-BR-01 — Checkout Reservation. </w:t>
      </w:r>
      <w:r>
        <w:t xml:space="preserve">When a checkout is created, the system shall reserve the required inventory for the configured checkout/payment validity period. Reserved inventory remains part of On-hand stock but is not Available for other transactions.</w:t>
      </w:r>
    </w:p>
    <w:p>
      <w:pPr>
        <w:pStyle w:val="ListParagraph"/>
        <w:numPr>
          <w:ilvl w:val="0"/>
          <w:numId w:val="2"/>
        </w:numPr>
        <w:spacing w:after="110" w:line="276"/>
      </w:pPr>
      <w:r>
        <w:rPr>
          <w:b/>
          <w:bCs/>
          <w:color w:val="2E6BE6"/>
        </w:rPr>
        <w:t xml:space="preserve">SALE/INV-BR-02 — Available Quantity. </w:t>
      </w:r>
      <w:r>
        <w:t xml:space="preserve">Inventory available for allocation shall be calculated as On-hand less quantities reserved by active transactions.</w:t>
      </w:r>
    </w:p>
    <w:p>
      <w:pPr>
        <w:pStyle w:val="ListParagraph"/>
        <w:numPr>
          <w:ilvl w:val="0"/>
          <w:numId w:val="2"/>
        </w:numPr>
        <w:spacing w:after="110" w:line="276"/>
      </w:pPr>
      <w:r>
        <w:rPr>
          <w:b/>
          <w:bCs/>
          <w:color w:val="2E6BE6"/>
        </w:rPr>
        <w:t xml:space="preserve">SALE/INV-BR-03 — Unit-Level Reservation. </w:t>
      </w:r>
      <w:r>
        <w:t xml:space="preserve">For individually tracked devices, including IMEI-tracked phones, each reserved physical unit shall be uniquely associated with the checkout that reserved it.</w:t>
      </w:r>
    </w:p>
    <w:p>
      <w:pPr>
        <w:pStyle w:val="ListParagraph"/>
        <w:numPr>
          <w:ilvl w:val="0"/>
          <w:numId w:val="2"/>
        </w:numPr>
        <w:spacing w:after="110" w:line="276"/>
      </w:pPr>
      <w:r>
        <w:rPr>
          <w:b/>
          <w:bCs/>
          <w:color w:val="2E6BE6"/>
        </w:rPr>
        <w:t xml:space="preserve">SALE/INV-BR-04 — Reservation Concurrency. </w:t>
      </w:r>
      <w:r>
        <w:t xml:space="preserve">The system shall prevent the same inventory unit from being simultaneously reserved by multiple active checkouts, using transactional concurrency control so competing requests cannot allocate inventory beyond its Available quantity.</w:t>
      </w:r>
    </w:p>
    <w:p>
      <w:pPr>
        <w:pStyle w:val="ListParagraph"/>
        <w:numPr>
          <w:ilvl w:val="0"/>
          <w:numId w:val="2"/>
        </w:numPr>
        <w:spacing w:after="110" w:line="276"/>
      </w:pPr>
      <w:r>
        <w:rPr>
          <w:b/>
          <w:bCs/>
          <w:color w:val="2E6BE6"/>
        </w:rPr>
        <w:t xml:space="preserve">SALE/INV-BR-05 — Payment-to-Sale Conversion. </w:t>
      </w:r>
      <w:r>
        <w:t xml:space="preserve">Upon valid payment confirmation, the system shall convert the checkout's active reservation into a completed stock-out/sale transaction.</w:t>
      </w:r>
    </w:p>
    <w:p>
      <w:pPr>
        <w:pStyle w:val="ListParagraph"/>
        <w:numPr>
          <w:ilvl w:val="0"/>
          <w:numId w:val="2"/>
        </w:numPr>
        <w:spacing w:after="110" w:line="276"/>
      </w:pPr>
      <w:r>
        <w:rPr>
          <w:b/>
          <w:bCs/>
          <w:color w:val="2E6BE6"/>
        </w:rPr>
        <w:t xml:space="preserve">SALE/INV-BR-06 — Checkout Expiration. </w:t>
      </w:r>
      <w:r>
        <w:t xml:space="preserve">If payment is not confirmed before the checkout's configured validity period expires, the system shall expire the checkout and release its reservation back to Available stock, while retaining the expired checkout's record (unit, reservation time, expiry time, reason) for audit.</w:t>
      </w:r>
    </w:p>
    <w:p>
      <w:pPr>
        <w:pStyle w:val="ListParagraph"/>
        <w:numPr>
          <w:ilvl w:val="0"/>
          <w:numId w:val="2"/>
        </w:numPr>
        <w:spacing w:after="110" w:line="276"/>
      </w:pPr>
      <w:r>
        <w:rPr>
          <w:b/>
          <w:bCs/>
          <w:color w:val="2E6BE6"/>
        </w:rPr>
        <w:t xml:space="preserve">SALE/INV-BR-07 — Reservation Traceability. </w:t>
      </w:r>
      <w:r>
        <w:t xml:space="preserve">The system shall maintain a traceable relationship between a checkout, its reserved unit(s), and any subsequent payment and sale transaction.</w:t>
      </w:r>
    </w:p>
    <w:p>
      <w:pPr>
        <w:pStyle w:val="ListParagraph"/>
        <w:numPr>
          <w:ilvl w:val="0"/>
          <w:numId w:val="2"/>
        </w:numPr>
        <w:spacing w:after="110" w:line="276"/>
      </w:pPr>
      <w:r>
        <w:rPr>
          <w:b/>
          <w:bCs/>
          <w:color w:val="2E6BE6"/>
        </w:rPr>
        <w:t xml:space="preserve">SALE/PAY-BR-08 — Expired Reservation Payment. </w:t>
      </w:r>
      <w:r>
        <w:t xml:space="preserve">A payment confirmation received after its reservation has already expired shall not automatically complete the sale against released inventory; it shall instead be routed to a configured payment-exception process rather than silently succeeding or silently failing.</w:t>
      </w:r>
    </w:p>
    <w:p>
      <w:pPr>
        <w:pStyle w:val="Heading2"/>
        <w:spacing w:after="150" w:before="300"/>
      </w:pPr>
      <w:r>
        <w:rPr>
          <w:b/>
          <w:bCs/>
        </w:rPr>
        <w:t xml:space="preserve">4.4 Relationship to Repair Down Payments</w:t>
      </w:r>
    </w:p>
    <w:p>
      <w:pPr>
        <w:spacing w:after="160" w:line="276"/>
      </w:pPr>
      <w:r>
        <w:t xml:space="preserve">The payment-validity concept introduced here for POS checkouts (SALE/INV-BR-01) is conceptually the same mechanism used for repair down-payment deadlines (REP-BR-19). The two are not assumed to share one timer — the business may reasonably want a short checkout window (minutes) alongside a longer repair-authorization window (days) — so each is independently configurable.</w:t>
      </w:r>
    </w:p>
    <w:p>
      <w:pPr>
        <w:pStyle w:val="Heading2"/>
        <w:spacing w:after="150" w:before="300"/>
      </w:pPr>
      <w:r>
        <w:rPr>
          <w:b/>
          <w:bCs/>
        </w:rPr>
        <w:t xml:space="preserve">4.5 Bank Transfer Confirmation &amp; Payment Disputes</w:t>
      </w:r>
    </w:p>
    <w:p>
      <w:pPr>
        <w:spacing w:after="160" w:line="276"/>
      </w:pPr>
      <w:r>
        <w:t xml:space="preserve">A bank transfer cannot be verified in real time the way a POS terminal or in-app payment can. Leaving a transaction simply “Unpaid” while a transfer is in flight risks its checkout reservation expiring (SALE/INV-BR-06) and the item being resold to someone else while the original customer's payment is genuinely in transit; marking it “Paid” before anyone has verified it risks releasing goods or starting repair work against money that never arrived. A distinct in-between status, with the reservation held rather than ticking down, resolves both risks.</w:t>
      </w:r>
    </w:p>
    <w:p>
      <w:pPr>
        <w:pStyle w:val="ListParagraph"/>
        <w:numPr>
          <w:ilvl w:val="0"/>
          <w:numId w:val="2"/>
        </w:numPr>
        <w:spacing w:after="110" w:line="276"/>
      </w:pPr>
      <w:r>
        <w:rPr>
          <w:b/>
          <w:bCs/>
          <w:color w:val="2E6BE6"/>
        </w:rPr>
        <w:t xml:space="preserve">PAY-BR-01 — Bank Transfer Pending Status. </w:t>
      </w:r>
      <w:r>
        <w:t xml:space="preserve">A transaction awaiting bank-transfer confirmation shall be marked Payment Pending Confirmation — distinct from both Paid and Unpaid — and shall be visible as such to both staff and the customer.</w:t>
      </w:r>
    </w:p>
    <w:p>
      <w:pPr>
        <w:pStyle w:val="ListParagraph"/>
        <w:numPr>
          <w:ilvl w:val="0"/>
          <w:numId w:val="2"/>
        </w:numPr>
        <w:spacing w:after="110" w:line="276"/>
      </w:pPr>
      <w:r>
        <w:rPr>
          <w:b/>
          <w:bCs/>
          <w:color w:val="2E6BE6"/>
        </w:rPr>
        <w:t xml:space="preserve">PAY-BR-02 — Reservation Hold During Confirmation. </w:t>
      </w:r>
      <w:r>
        <w:t xml:space="preserve">A checkout or repair-payment reservation with a bank-transfer claim pending confirmation shall not expire and release its inventory reservation (SALE/INV-BR-06) until the claim is confirmed or explicitly rejected by an authorized staff member.</w:t>
      </w:r>
    </w:p>
    <w:p>
      <w:pPr>
        <w:pStyle w:val="ListParagraph"/>
        <w:numPr>
          <w:ilvl w:val="0"/>
          <w:numId w:val="2"/>
        </w:numPr>
        <w:spacing w:after="110" w:line="276"/>
      </w:pPr>
      <w:r>
        <w:rPr>
          <w:b/>
          <w:bCs/>
          <w:color w:val="2E6BE6"/>
        </w:rPr>
        <w:t xml:space="preserve">PAY-BR-03 — Payment Dispute Handling. </w:t>
      </w:r>
      <w:r>
        <w:t xml:space="preserve">Where a customer asserts payment was made but no admin has confirmed it, the system shall route the transaction to a Payment Dispute state requiring the customer to submit proof of payment and an authorized staff member to verify and resolve it, rather than auto-confirming or auto-cancelling the transaction.</w:t>
      </w:r>
    </w:p>
    <w:p>
      <w:r>
        <w:br w:type="page"/>
      </w:r>
    </w:p>
    <w:p>
      <w:pPr>
        <w:pStyle w:val="Heading1"/>
        <w:spacing w:after="200" w:before="400"/>
      </w:pPr>
      <w:r>
        <w:rPr>
          <w:b/>
          <w:bCs/>
        </w:rPr>
        <w:t xml:space="preserve">5. Warranty, Returns &amp; After-Sales Management</w:t>
      </w:r>
    </w:p>
    <w:p>
      <w:pPr>
        <w:spacing w:after="160" w:line="276"/>
      </w:pPr>
      <w:r>
        <w:t xml:space="preserve">This is a new module, not present in the BRD's original section list. Section 4.3 (SALE-02) mentions setting a warranty at the point of sale, but a warranty flag alone does not describe what happens when it is later invoked — that gap is resolved here.</w:t>
      </w:r>
    </w:p>
    <w:p>
      <w:pPr>
        <w:pStyle w:val="Heading2"/>
        <w:spacing w:after="150" w:before="300"/>
      </w:pPr>
      <w:r>
        <w:rPr>
          <w:b/>
          <w:bCs/>
        </w:rPr>
        <w:t xml:space="preserve">5.1 Why a Dedicated Module Is Needed</w:t>
      </w:r>
    </w:p>
    <w:p>
      <w:pPr>
        <w:spacing w:after="160" w:line="276"/>
      </w:pPr>
      <w:r>
        <w:t xml:space="preserve">Treating “warranty repair” as simply a free repair job loses information the business needs: why it was free, whether the claim was actually eligible, and who authorized the cost. A dedicated Warranty &amp; Resolution layer evaluates eligibility first, then hands off to the repair, inventory, or payment flows that already exist — it does not duplicate them.</w:t>
      </w:r>
    </w:p>
    <w:p>
      <w:pPr>
        <w:pStyle w:val="Heading2"/>
        <w:spacing w:after="150" w:before="300"/>
      </w:pPr>
      <w:r>
        <w:rPr>
          <w:b/>
          <w:bCs/>
        </w:rPr>
        <w:t xml:space="preserve">5.2 Key Distinctions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Concept</w:t>
            </w:r>
          </w:p>
        </w:tc>
        <w:tc>
          <w:tcPr>
            <w:tcW w:type="dxa" w:w="67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Definition</w:t>
            </w:r>
          </w:p>
        </w:tc>
      </w:tr>
      <w:tr>
        <w:tc>
          <w:tcPr>
            <w:tcW w:type="dxa" w:w="2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Return</w:t>
            </w:r>
          </w:p>
        </w:tc>
        <w:tc>
          <w:tcPr>
            <w:tcW w:type="dxa" w:w="67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Customer wants to give back a recently purchased product under the business's return policy.</w:t>
            </w:r>
          </w:p>
        </w:tc>
      </w:tr>
      <w:tr>
        <w:tc>
          <w:tcPr>
            <w:tcW w:type="dxa" w:w="2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Warranty Claim</w:t>
            </w:r>
          </w:p>
        </w:tc>
        <w:tc>
          <w:tcPr>
            <w:tcW w:type="dxa" w:w="67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Customer reports a fault they believe is covered by a product's warranty.</w:t>
            </w:r>
          </w:p>
        </w:tc>
      </w:tr>
      <w:tr>
        <w:tc>
          <w:tcPr>
            <w:tcW w:type="dxa" w:w="2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Exchange / Trade-In</w:t>
            </w:r>
          </w:p>
        </w:tc>
        <w:tc>
          <w:tcPr>
            <w:tcW w:type="dxa" w:w="67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Customer gives an existing device toward the price of another (see 5.7).</w:t>
            </w:r>
          </w:p>
        </w:tc>
      </w:tr>
      <w:tr>
        <w:tc>
          <w:tcPr>
            <w:tcW w:type="dxa" w:w="2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Repair Warranty</w:t>
            </w:r>
          </w:p>
        </w:tc>
        <w:tc>
          <w:tcPr>
            <w:tcW w:type="dxa" w:w="67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 previously completed repair is itself covered for a defined period/condition.</w:t>
            </w:r>
          </w:p>
        </w:tc>
      </w:tr>
    </w:tbl>
    <w:p>
      <w:pPr>
        <w:pStyle w:val="Heading2"/>
        <w:spacing w:after="150" w:before="300"/>
      </w:pPr>
      <w:r>
        <w:rPr>
          <w:b/>
          <w:bCs/>
        </w:rPr>
        <w:t xml:space="preserve">5.3 Warranty Policy Model</w:t>
      </w:r>
    </w:p>
    <w:p>
      <w:pPr>
        <w:spacing w:after="160" w:line="276"/>
      </w:pPr>
      <w:r>
        <w:t xml:space="preserve">A warranty is a configured policy, not a yes/no flag on a sale. Each policy defines:</w:t>
      </w:r>
    </w:p>
    <w:p>
      <w:pPr>
        <w:pStyle w:val="ListParagraph"/>
        <w:numPr>
          <w:ilvl w:val="0"/>
          <w:numId w:val="2"/>
        </w:numPr>
        <w:spacing w:after="80" w:line="276"/>
      </w:pPr>
      <w:r>
        <w:t xml:space="preserve">Coverage duration and start point (e.g., 12 months from date of sale)</w:t>
      </w:r>
    </w:p>
    <w:p>
      <w:pPr>
        <w:pStyle w:val="ListParagraph"/>
        <w:numPr>
          <w:ilvl w:val="0"/>
          <w:numId w:val="2"/>
        </w:numPr>
        <w:spacing w:after="80" w:line="276"/>
      </w:pPr>
      <w:r>
        <w:t xml:space="preserve">What is covered (e.g., manufacturing defects, internal component failure)</w:t>
      </w:r>
    </w:p>
    <w:p>
      <w:pPr>
        <w:pStyle w:val="ListParagraph"/>
        <w:numPr>
          <w:ilvl w:val="0"/>
          <w:numId w:val="2"/>
        </w:numPr>
        <w:spacing w:after="80" w:line="276"/>
      </w:pPr>
      <w:r>
        <w:t xml:space="preserve">Exclusions (e.g., screen breakage, liquid damage, unauthorized repair, misuse)</w:t>
      </w:r>
    </w:p>
    <w:p>
      <w:pPr>
        <w:pStyle w:val="ListParagraph"/>
        <w:numPr>
          <w:ilvl w:val="0"/>
          <w:numId w:val="2"/>
        </w:numPr>
        <w:spacing w:after="80" w:line="276"/>
      </w:pPr>
      <w:r>
        <w:t xml:space="preserve">Available remedies (repair, replacement, refund, exchange, store credit, or other business-defined remedy)</w:t>
      </w:r>
    </w:p>
    <w:p>
      <w:pPr>
        <w:pStyle w:val="ListParagraph"/>
        <w:numPr>
          <w:ilvl w:val="0"/>
          <w:numId w:val="2"/>
        </w:numPr>
        <w:spacing w:after="80" w:line="276"/>
      </w:pPr>
      <w:r>
        <w:t xml:space="preserve">Coverage extent (full, a percentage, a fixed amount, labour-only, parts-only, or specific component)</w:t>
      </w:r>
    </w:p>
    <w:p>
      <w:r>
        <w:br w:type="page"/>
      </w:r>
    </w:p>
    <w:p>
      <w:pPr>
        <w:pStyle w:val="Heading2"/>
        <w:spacing w:after="150" w:before="300"/>
      </w:pPr>
      <w:r>
        <w:rPr>
          <w:b/>
          <w:bCs/>
        </w:rPr>
        <w:t xml:space="preserve">5.4 Warranty Claim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Warranty Claim Requested -&gt; Locate Warranty -&gt; Check Warranty Period -&gt; Device Assessment</w:t>
            </w:r>
          </w:p>
          <w:p>
            <w:pPr>
              <w:spacing w:after="40"/>
            </w:pPr>
            <w:r>
              <w:rPr>
                <w:rFonts w:ascii="Consolas" w:cs="Consolas" w:eastAsia="Consolas" w:hAnsi="Consolas"/>
                <w:color w:val="1B4332"/>
                <w:sz w:val="19"/>
                <w:szCs w:val="19"/>
              </w:rPr>
              <w:t xml:space="preserve">  |-- Not Eligible --&gt; Reject / Offer Paid Repair</w:t>
            </w:r>
          </w:p>
          <w:p>
            <w:pPr>
              <w:spacing w:after="40"/>
            </w:pPr>
            <w:r>
              <w:rPr>
                <w:rFonts w:ascii="Consolas" w:cs="Consolas" w:eastAsia="Consolas" w:hAnsi="Consolas"/>
                <w:color w:val="1B4332"/>
                <w:sz w:val="19"/>
                <w:szCs w:val="19"/>
              </w:rPr>
              <w:t xml:space="preserve">  `-- Eligible --&gt; Determine Permitted Remedies</w:t>
            </w:r>
          </w:p>
          <w:p>
            <w:pPr>
              <w:spacing w:after="40"/>
            </w:pPr>
            <w:r>
              <w:rPr>
                <w:rFonts w:ascii="Consolas" w:cs="Consolas" w:eastAsia="Consolas" w:hAnsi="Consolas"/>
                <w:color w:val="1B4332"/>
                <w:sz w:val="19"/>
                <w:szCs w:val="19"/>
              </w:rPr>
              <w:t xml:space="preserve">        -&gt; Repair   (hands off to existing Repair flow, Section 3, cost attributed to warranty)</w:t>
            </w:r>
          </w:p>
          <w:p>
            <w:pPr>
              <w:spacing w:after="40"/>
            </w:pPr>
            <w:r>
              <w:rPr>
                <w:rFonts w:ascii="Consolas" w:cs="Consolas" w:eastAsia="Consolas" w:hAnsi="Consolas"/>
                <w:color w:val="1B4332"/>
                <w:sz w:val="19"/>
                <w:szCs w:val="19"/>
              </w:rPr>
              <w:t xml:space="preserve">        -&gt; Replace  (reserve replacement unit -&gt; approval -&gt; exchange; defective unit -&gt; inventory)</w:t>
            </w:r>
          </w:p>
          <w:p>
            <w:pPr>
              <w:spacing w:after="40"/>
            </w:pPr>
            <w:r>
              <w:rPr>
                <w:rFonts w:ascii="Consolas" w:cs="Consolas" w:eastAsia="Consolas" w:hAnsi="Consolas"/>
                <w:color w:val="1B4332"/>
                <w:sz w:val="19"/>
                <w:szCs w:val="19"/>
              </w:rPr>
              <w:t xml:space="preserve">        -&gt; Refund   (refund request -&gt; authorization -&gt; payment processing)</w:t>
            </w:r>
          </w:p>
          <w:p>
            <w:pPr>
              <w:spacing w:after="40"/>
            </w:pPr>
            <w:r>
              <w:rPr>
                <w:rFonts w:ascii="Consolas" w:cs="Consolas" w:eastAsia="Consolas" w:hAnsi="Consolas"/>
                <w:color w:val="1B4332"/>
                <w:sz w:val="19"/>
                <w:szCs w:val="19"/>
              </w:rPr>
              <w:t xml:space="preserve">        -&gt; Exchange (handled as a Trade-In-style transaction, Section 5.7)</w:t>
            </w:r>
          </w:p>
        </w:tc>
      </w:tr>
    </w:tbl>
    <w:p>
      <w:pPr>
        <w:spacing w:after="160" w:line="276"/>
      </w:pPr>
      <w:r>
        <w:t xml:space="preserve">A warranty is always associated with its originating sale or repair, its product/physical unit (IMEI where applicable), and the customer, so staff can retrieve the full history — original purchase, prior claims, prior repairs, prior exclusions — from a single lookup.</w:t>
      </w:r>
    </w:p>
    <w:p>
      <w:r>
        <w:br w:type="page"/>
      </w:r>
    </w:p>
    <w:p>
      <w:pPr>
        <w:pStyle w:val="Heading2"/>
        <w:spacing w:after="150" w:before="300"/>
      </w:pPr>
      <w:r>
        <w:rPr>
          <w:b/>
          <w:bCs/>
        </w:rPr>
        <w:t xml:space="preserve">5.5 Eligibility, Assessment &amp; Exclusions</w:t>
      </w:r>
    </w:p>
    <w:p>
      <w:pPr>
        <w:pStyle w:val="ListParagraph"/>
        <w:numPr>
          <w:ilvl w:val="0"/>
          <w:numId w:val="2"/>
        </w:numPr>
        <w:spacing w:after="110" w:line="276"/>
      </w:pPr>
      <w:r>
        <w:rPr>
          <w:b/>
          <w:bCs/>
          <w:color w:val="2E6BE6"/>
        </w:rPr>
        <w:t xml:space="preserve">WAR-BR-01 — Warranty Policy. </w:t>
      </w:r>
      <w:r>
        <w:t xml:space="preserve">The system shall support configurable warranty policies defining coverage duration, coverage scope, exclusions, eligibility conditions, and available resolution options.</w:t>
      </w:r>
    </w:p>
    <w:p>
      <w:pPr>
        <w:pStyle w:val="ListParagraph"/>
        <w:numPr>
          <w:ilvl w:val="0"/>
          <w:numId w:val="2"/>
        </w:numPr>
        <w:spacing w:after="110" w:line="276"/>
      </w:pPr>
      <w:r>
        <w:rPr>
          <w:b/>
          <w:bCs/>
          <w:color w:val="2E6BE6"/>
        </w:rPr>
        <w:t xml:space="preserve">WAR-BR-02 — Warranty Association. </w:t>
      </w:r>
      <w:r>
        <w:t xml:space="preserve">A warranty shall be associated with the applicable product/device or completed repair, retaining a traceable link to the originating sale, repair, customer, and physical device where applicable.</w:t>
      </w:r>
    </w:p>
    <w:p>
      <w:pPr>
        <w:pStyle w:val="ListParagraph"/>
        <w:numPr>
          <w:ilvl w:val="0"/>
          <w:numId w:val="2"/>
        </w:numPr>
        <w:spacing w:after="110" w:line="276"/>
      </w:pPr>
      <w:r>
        <w:rPr>
          <w:b/>
          <w:bCs/>
          <w:color w:val="2E6BE6"/>
        </w:rPr>
        <w:t xml:space="preserve">WAR-BR-03 — Warranty Eligibility. </w:t>
      </w:r>
      <w:r>
        <w:t xml:space="preserve">Before a warranty remedy is approved, the system shall verify that the warranty is active and that the reported issue satisfies the policy's eligibility conditions.</w:t>
      </w:r>
    </w:p>
    <w:p>
      <w:pPr>
        <w:pStyle w:val="ListParagraph"/>
        <w:numPr>
          <w:ilvl w:val="0"/>
          <w:numId w:val="2"/>
        </w:numPr>
        <w:spacing w:after="110" w:line="276"/>
      </w:pPr>
      <w:r>
        <w:rPr>
          <w:b/>
          <w:bCs/>
          <w:color w:val="2E6BE6"/>
        </w:rPr>
        <w:t xml:space="preserve">WAR-BR-04 — Warranty Assessment. </w:t>
      </w:r>
      <w:r>
        <w:t xml:space="preserve">A warranty claim shall require assessment of the reported fault before a remedy is approved, unless the applicable policy explicitly permits automatic resolution.</w:t>
      </w:r>
    </w:p>
    <w:p>
      <w:pPr>
        <w:pStyle w:val="ListParagraph"/>
        <w:numPr>
          <w:ilvl w:val="0"/>
          <w:numId w:val="2"/>
        </w:numPr>
        <w:spacing w:after="110" w:line="276"/>
      </w:pPr>
      <w:r>
        <w:rPr>
          <w:b/>
          <w:bCs/>
          <w:color w:val="2E6BE6"/>
        </w:rPr>
        <w:t xml:space="preserve">WAR-BR-05 — Warranty Exclusions. </w:t>
      </w:r>
      <w:r>
        <w:t xml:space="preserve">The system shall evaluate applicable exclusions — e.g., physical damage, liquid damage, misuse, unauthorized modification or repair — as configured on the policy, before approving a remedy.</w:t>
      </w:r>
    </w:p>
    <w:p>
      <w:pPr>
        <w:pStyle w:val="Heading2"/>
        <w:spacing w:after="150" w:before="300"/>
      </w:pPr>
      <w:r>
        <w:rPr>
          <w:b/>
          <w:bCs/>
        </w:rPr>
        <w:t xml:space="preserve">5.6 Resolution Options &amp; Financial Control</w:t>
      </w:r>
    </w:p>
    <w:p>
      <w:pPr>
        <w:spacing w:after="160" w:line="276"/>
      </w:pPr>
      <w:r>
        <w:t xml:space="preserve">A warranty permitting a refund or replacement does not mean a technician can trigger it directly. Approval and execution are separated so financial exposure stays with the roles the BRD already assigns that responsibility to (Accountant, Shop Owner).</w:t>
      </w:r>
    </w:p>
    <w:p>
      <w:pPr>
        <w:pStyle w:val="ListParagraph"/>
        <w:numPr>
          <w:ilvl w:val="0"/>
          <w:numId w:val="2"/>
        </w:numPr>
        <w:spacing w:after="110" w:line="276"/>
      </w:pPr>
      <w:r>
        <w:rPr>
          <w:b/>
          <w:bCs/>
          <w:color w:val="2E6BE6"/>
        </w:rPr>
        <w:t xml:space="preserve">WAR-BR-06 — Warranty Remedies. </w:t>
      </w:r>
      <w:r>
        <w:t xml:space="preserve">A warranty policy shall define one or more permitted resolution options: repair, replacement, refund, exchange, store credit, or other business-defined remedy.</w:t>
      </w:r>
    </w:p>
    <w:p>
      <w:pPr>
        <w:pStyle w:val="ListParagraph"/>
        <w:numPr>
          <w:ilvl w:val="0"/>
          <w:numId w:val="2"/>
        </w:numPr>
        <w:spacing w:after="110" w:line="276"/>
      </w:pPr>
      <w:r>
        <w:rPr>
          <w:b/>
          <w:bCs/>
          <w:color w:val="2E6BE6"/>
        </w:rPr>
        <w:t xml:space="preserve">WAR-BR-07 — Warranty Repair. </w:t>
      </w:r>
      <w:r>
        <w:t xml:space="preserve">Where warranty repair is approved, the system shall create or associate a repair job with the warranty claim and apply the warranty's coverage to that repair's financial responsibility, rather than recording it as an ordinary zero-cost repair.</w:t>
      </w:r>
    </w:p>
    <w:p>
      <w:pPr>
        <w:pStyle w:val="ListParagraph"/>
        <w:numPr>
          <w:ilvl w:val="0"/>
          <w:numId w:val="2"/>
        </w:numPr>
        <w:spacing w:after="110" w:line="276"/>
      </w:pPr>
      <w:r>
        <w:rPr>
          <w:b/>
          <w:bCs/>
          <w:color w:val="2E6BE6"/>
        </w:rPr>
        <w:t xml:space="preserve">WAR-BR-08 — Coverage Calculation. </w:t>
      </w:r>
      <w:r>
        <w:t xml:space="preserve">The system shall support warranty coverage rules such as full coverage, percentage coverage, fixed-amount coverage, labour-only coverage, parts-only coverage, or other policy-defined limits, and shall calculate the customer-payable remainder accordingly.</w:t>
      </w:r>
    </w:p>
    <w:p>
      <w:pPr>
        <w:pStyle w:val="ListParagraph"/>
        <w:numPr>
          <w:ilvl w:val="0"/>
          <w:numId w:val="2"/>
        </w:numPr>
        <w:spacing w:after="110" w:line="276"/>
      </w:pPr>
      <w:r>
        <w:rPr>
          <w:b/>
          <w:bCs/>
          <w:color w:val="2E6BE6"/>
        </w:rPr>
        <w:t xml:space="preserve">WAR-BR-09 — Warranty Refund Request. </w:t>
      </w:r>
      <w:r>
        <w:t xml:space="preserve">Where refund is an available remedy, the system shall create a refund request for authorization rather than automatically executing the refund.</w:t>
      </w:r>
    </w:p>
    <w:p>
      <w:pPr>
        <w:pStyle w:val="ListParagraph"/>
        <w:numPr>
          <w:ilvl w:val="0"/>
          <w:numId w:val="2"/>
        </w:numPr>
        <w:spacing w:after="110" w:line="276"/>
      </w:pPr>
      <w:r>
        <w:rPr>
          <w:b/>
          <w:bCs/>
          <w:color w:val="2E6BE6"/>
        </w:rPr>
        <w:t xml:space="preserve">WAR-BR-10 — Warranty Replacement. </w:t>
      </w:r>
      <w:r>
        <w:t xml:space="preserve">Where replacement is approved, the system shall associate the replacement device with the warranty claim and record the original device as returned-under-warranty inventory (e.g., Pending Assessment), not simply remove it from records.</w:t>
      </w:r>
    </w:p>
    <w:p>
      <w:pPr>
        <w:pStyle w:val="ListParagraph"/>
        <w:numPr>
          <w:ilvl w:val="0"/>
          <w:numId w:val="2"/>
        </w:numPr>
        <w:spacing w:after="110" w:line="276"/>
      </w:pPr>
      <w:r>
        <w:rPr>
          <w:b/>
          <w:bCs/>
          <w:color w:val="2E6BE6"/>
        </w:rPr>
        <w:t xml:space="preserve">WAR-BR-11 — Repair Warranty. </w:t>
      </w:r>
      <w:r>
        <w:t xml:space="preserve">The system shall support warranty coverage attached to a completed repair job itself, including configurable duration, covered work/parts, exclusions, and eligible remedies, distinct from a product warranty.</w:t>
      </w:r>
    </w:p>
    <w:p>
      <w:r>
        <w:br w:type="page"/>
      </w:r>
    </w:p>
    <w:p>
      <w:pPr>
        <w:pStyle w:val="Heading2"/>
        <w:spacing w:after="150" w:before="300"/>
      </w:pPr>
      <w:r>
        <w:rPr>
          <w:b/>
          <w:bCs/>
        </w:rPr>
        <w:t xml:space="preserve">5.7 Trade-In / Swap Flow</w:t>
      </w:r>
    </w:p>
    <w:p>
      <w:pPr>
        <w:spacing w:after="160" w:line="276"/>
      </w:pPr>
      <w:r>
        <w:t xml:space="preserve">A customer's existing device offered toward a new purchase is modeled as an inventory acquisition plus a transaction credit — not as a discount — so inventory and financial reports reconcile correctly.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Customer selects desired phone</w:t>
            </w:r>
          </w:p>
          <w:p>
            <w:pPr>
              <w:spacing w:after="40"/>
            </w:pPr>
            <w:r>
              <w:rPr>
                <w:rFonts w:ascii="Consolas" w:cs="Consolas" w:eastAsia="Consolas" w:hAnsi="Consolas"/>
                <w:color w:val="1B4332"/>
                <w:sz w:val="19"/>
                <w:szCs w:val="19"/>
              </w:rPr>
              <w:t xml:space="preserve">  -&gt; Trade-in device assessed (IMEI, condition, functional tests, cosmetic grade)</w:t>
            </w:r>
          </w:p>
          <w:p>
            <w:pPr>
              <w:spacing w:after="40"/>
            </w:pPr>
            <w:r>
              <w:rPr>
                <w:rFonts w:ascii="Consolas" w:cs="Consolas" w:eastAsia="Consolas" w:hAnsi="Consolas"/>
                <w:color w:val="1B4332"/>
                <w:sz w:val="19"/>
                <w:szCs w:val="19"/>
              </w:rPr>
              <w:t xml:space="preserve">  -&gt; Trade-in value determined (assessment) -&gt; Approval (separate role)</w:t>
            </w:r>
          </w:p>
          <w:p>
            <w:pPr>
              <w:spacing w:after="40"/>
            </w:pPr>
            <w:r>
              <w:rPr>
                <w:rFonts w:ascii="Consolas" w:cs="Consolas" w:eastAsia="Consolas" w:hAnsi="Consolas"/>
                <w:color w:val="1B4332"/>
                <w:sz w:val="19"/>
                <w:szCs w:val="19"/>
              </w:rPr>
              <w:t xml:space="preserve">  -&gt; Trade-in value becomes transaction credit</w:t>
            </w:r>
          </w:p>
          <w:p>
            <w:pPr>
              <w:spacing w:after="40"/>
            </w:pPr>
            <w:r>
              <w:rPr>
                <w:rFonts w:ascii="Consolas" w:cs="Consolas" w:eastAsia="Consolas" w:hAnsi="Consolas"/>
                <w:color w:val="1B4332"/>
                <w:sz w:val="19"/>
                <w:szCs w:val="19"/>
              </w:rPr>
              <w:t xml:space="preserve">  -&gt; Balance payable = New phone price - Trade-in credit</w:t>
            </w:r>
          </w:p>
          <w:p>
            <w:pPr>
              <w:spacing w:after="40"/>
            </w:pPr>
            <w:r>
              <w:rPr>
                <w:rFonts w:ascii="Consolas" w:cs="Consolas" w:eastAsia="Consolas" w:hAnsi="Consolas"/>
                <w:color w:val="1B4332"/>
                <w:sz w:val="19"/>
                <w:szCs w:val="19"/>
              </w:rPr>
              <w:t xml:space="preserve">  -&gt; Customer pays balance -&gt; New phone: stock-out | Old phone: stock-in</w:t>
            </w:r>
          </w:p>
        </w:tc>
      </w:tr>
    </w:tbl>
    <w:p>
      <w:pPr>
        <w:spacing w:after="160" w:line="276"/>
      </w:pPr>
      <w:r>
        <w:t xml:space="preserve">Example: a ₦1,000,000 phone traded against a ₦350,000 assessed device leaves a ₦650,000 balance payable; the outgoing new phone and the incoming trade-in are both recorded as separate stock movements, not netted away.</w:t>
      </w:r>
    </w:p>
    <w:p>
      <w:pPr>
        <w:pStyle w:val="ListParagraph"/>
        <w:numPr>
          <w:ilvl w:val="0"/>
          <w:numId w:val="2"/>
        </w:numPr>
        <w:spacing w:after="110" w:line="276"/>
      </w:pPr>
      <w:r>
        <w:rPr>
          <w:b/>
          <w:bCs/>
          <w:color w:val="2E6BE6"/>
        </w:rPr>
        <w:t xml:space="preserve">TRADE-BR-01 — Trade-in Assessment. </w:t>
      </w:r>
      <w:r>
        <w:t xml:space="preserve">Staff shall record and assess a customer's trade-in device, including device identity, IMEI where applicable, condition, functional assessment, and assessed trade-in value.</w:t>
      </w:r>
    </w:p>
    <w:p>
      <w:pPr>
        <w:pStyle w:val="ListParagraph"/>
        <w:numPr>
          <w:ilvl w:val="0"/>
          <w:numId w:val="2"/>
        </w:numPr>
        <w:spacing w:after="110" w:line="276"/>
      </w:pPr>
      <w:r>
        <w:rPr>
          <w:b/>
          <w:bCs/>
          <w:color w:val="2E6BE6"/>
        </w:rPr>
        <w:t xml:space="preserve">TRADE-BR-02 — Trade-in Credit. </w:t>
      </w:r>
      <w:r>
        <w:t xml:space="preserve">An approved trade-in value shall be recorded as a credit against the customer's purchase transaction.</w:t>
      </w:r>
    </w:p>
    <w:p>
      <w:pPr>
        <w:pStyle w:val="ListParagraph"/>
        <w:numPr>
          <w:ilvl w:val="0"/>
          <w:numId w:val="2"/>
        </w:numPr>
        <w:spacing w:after="110" w:line="276"/>
      </w:pPr>
      <w:r>
        <w:rPr>
          <w:b/>
          <w:bCs/>
          <w:color w:val="2E6BE6"/>
        </w:rPr>
        <w:t xml:space="preserve">TRADE-BR-03 — Balance Calculation. </w:t>
      </w:r>
      <w:r>
        <w:t xml:space="preserve">The system shall calculate the customer's remaining payable amount as the purchase amount less the approved trade-in credit and any other applicable adjustments.</w:t>
      </w:r>
    </w:p>
    <w:p>
      <w:pPr>
        <w:pStyle w:val="ListParagraph"/>
        <w:numPr>
          <w:ilvl w:val="0"/>
          <w:numId w:val="2"/>
        </w:numPr>
        <w:spacing w:after="110" w:line="276"/>
      </w:pPr>
      <w:r>
        <w:rPr>
          <w:b/>
          <w:bCs/>
          <w:color w:val="2E6BE6"/>
        </w:rPr>
        <w:t xml:space="preserve">TRADE-BR-04 — Trade-in Inventory. </w:t>
      </w:r>
      <w:r>
        <w:t xml:space="preserve">On completion, the accepted trade-in device shall be recorded as inventory acquired by the business, and the sold device shall be recorded as a corresponding inventory outflow.</w:t>
      </w:r>
    </w:p>
    <w:p>
      <w:pPr>
        <w:pStyle w:val="ListParagraph"/>
        <w:numPr>
          <w:ilvl w:val="0"/>
          <w:numId w:val="2"/>
        </w:numPr>
        <w:spacing w:after="110" w:line="276"/>
      </w:pPr>
      <w:r>
        <w:rPr>
          <w:b/>
          <w:bCs/>
          <w:color w:val="2E6BE6"/>
        </w:rPr>
        <w:t xml:space="preserve">TRADE-BR-05 — Trade-in Approval. </w:t>
      </w:r>
      <w:r>
        <w:t xml:space="preserve">Assessed trade-in values shall require authorization per configured staff permissions, separate from the staff member who performed the assessment, to prevent a single employee from both setting and approving an inflated value.</w:t>
      </w:r>
    </w:p>
    <w:p>
      <w:pPr>
        <w:pStyle w:val="Heading2"/>
        <w:spacing w:after="150" w:before="300"/>
      </w:pPr>
      <w:r>
        <w:rPr>
          <w:b/>
          <w:bCs/>
        </w:rPr>
        <w:t xml:space="preserve">5.8 Regulatory Consideration (Nigeria)</w:t>
      </w:r>
    </w:p>
    <w:p>
      <w:pPr>
        <w:spacing w:after="160" w:line="276"/>
      </w:pPr>
      <w:r>
        <w:t xml:space="preserve">Nigeria's Federal Competition and Consumer Protection Act (FCCPA) recognizes consumer remedies for defective goods and services — including repair, replacement, and, in applicable circumstances, refund — and the FCCPC has taken public positions against blanket “no-refund” policies in some circumstances. Rather than hard-coding one commercial policy, AfProsPos should let each business configure its warranty, return, and refund policy within applicable consumer-protection requirements. This section is informational context for the business, not legal advice; the business should confirm compliance with a qualified adviser before finalizing its policy configuration.</w:t>
      </w:r>
    </w:p>
    <w:p>
      <w:pPr>
        <w:pStyle w:val="Heading2"/>
        <w:spacing w:after="150" w:before="300"/>
      </w:pPr>
      <w:r>
        <w:rPr>
          <w:b/>
          <w:bCs/>
        </w:rPr>
        <w:t xml:space="preserve">5.9 Return / Refund Window</w:t>
      </w:r>
    </w:p>
    <w:p>
      <w:pPr>
        <w:spacing w:after="160" w:line="276"/>
      </w:pPr>
      <w:r>
        <w:t xml:space="preserve">Section 5.2's “Return” concept implies a time limit but the original version of this document never defined one. A configured window matters beyond returns themselves — the Referral module (Section 7.3) depends on knowing when a purchase is safely final before paying out a bonus on it.</w:t>
      </w:r>
    </w:p>
    <w:p>
      <w:pPr>
        <w:pStyle w:val="ListParagraph"/>
        <w:numPr>
          <w:ilvl w:val="0"/>
          <w:numId w:val="2"/>
        </w:numPr>
        <w:spacing w:after="110" w:line="276"/>
      </w:pPr>
      <w:r>
        <w:rPr>
          <w:b/>
          <w:bCs/>
          <w:color w:val="2E6BE6"/>
        </w:rPr>
        <w:t xml:space="preserve">WAR-BR-12 — Return Window. </w:t>
      </w:r>
      <w:r>
        <w:t xml:space="preserve">The system shall support a configurable return/refund window — a period after purchase or repair collection — within which a customer may request a return or refund. Requests made after this window shall be denied by default, subject to authorized administrative override.</w:t>
      </w:r>
    </w:p>
    <w:p>
      <w:r>
        <w:br w:type="page"/>
      </w:r>
    </w:p>
    <w:p>
      <w:pPr>
        <w:pStyle w:val="Heading1"/>
        <w:spacing w:after="200" w:before="400"/>
      </w:pPr>
      <w:r>
        <w:rPr>
          <w:b/>
          <w:bCs/>
        </w:rPr>
        <w:t xml:space="preserve">6. Commission Management — Business Logic</w:t>
      </w:r>
    </w:p>
    <w:p>
      <w:pPr>
        <w:spacing w:after="160" w:line="276"/>
      </w:pPr>
      <w:r>
        <w:t xml:space="preserve">Commission touches four other modules — Sales, Repairs, Payments, and Marketing — and gets it wrong in different ways depending on which one is driving the transaction. The rules below establish one consistent basis (a defined “commissionable amount”), one consistent timing rule (earned as payment lands, not at invoice creation), and one consistent response to money moving backwards (an append-only adjustment ledger, never a silent rewrite).</w:t>
      </w:r>
    </w:p>
    <w:p>
      <w:pPr>
        <w:pStyle w:val="Heading2"/>
        <w:spacing w:after="150" w:before="300"/>
      </w:pPr>
      <w:r>
        <w:rPr>
          <w:b/>
          <w:bCs/>
        </w:rPr>
        <w:t xml:space="preserve">6.1 Commissionable Amount</w:t>
      </w:r>
    </w:p>
    <w:p>
      <w:pPr>
        <w:spacing w:after="160" w:line="276"/>
      </w:pPr>
      <w:r>
        <w:t xml:space="preserve">The customer's price and the staff member's commission are two separate calculations — discounting a sale never changes what the commission is based on by accident. A promotional discount reduces the amount the business actually earned, so it reduces the commission base by default; a trade-in or store-credit reduction is different (the business received another asset or had already recognized that liability), so those are not silently treated the same 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Component</w:t>
            </w:r>
          </w:p>
        </w:tc>
        <w:tc>
          <w:tcPr>
            <w:tcW w:type="dxa" w:w="4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Example</w:t>
            </w:r>
          </w:p>
        </w:tc>
      </w:tr>
      <w:tr>
        <w:tc>
          <w:tcPr>
            <w:tcW w:type="dxa" w:w="4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Selling price</w:t>
            </w:r>
          </w:p>
        </w:tc>
        <w:tc>
          <w:tcPr>
            <w:tcW w:type="dxa" w:w="4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₦1,000,000</w:t>
            </w:r>
          </w:p>
        </w:tc>
      </w:tr>
      <w:tr>
        <w:tc>
          <w:tcPr>
            <w:tcW w:type="dxa" w:w="4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Promotional discount</w:t>
            </w:r>
          </w:p>
        </w:tc>
        <w:tc>
          <w:tcPr>
            <w:tcW w:type="dxa" w:w="4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−₦100,000</w:t>
            </w:r>
          </w:p>
        </w:tc>
      </w:tr>
      <w:tr>
        <w:tc>
          <w:tcPr>
            <w:tcW w:type="dxa" w:w="4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Commissionable amount (default)</w:t>
            </w:r>
          </w:p>
        </w:tc>
        <w:tc>
          <w:tcPr>
            <w:tcW w:type="dxa" w:w="4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₦900,000</w:t>
            </w:r>
          </w:p>
        </w:tc>
      </w:tr>
      <w:tr>
        <w:tc>
          <w:tcPr>
            <w:tcW w:type="dxa" w:w="4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Commission @ 5%</w:t>
            </w:r>
          </w:p>
        </w:tc>
        <w:tc>
          <w:tcPr>
            <w:tcW w:type="dxa" w:w="4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₦45,000</w:t>
            </w:r>
          </w:p>
        </w:tc>
      </w:tr>
    </w:tbl>
    <w:p>
      <w:pPr>
        <w:pStyle w:val="ListParagraph"/>
        <w:numPr>
          <w:ilvl w:val="0"/>
          <w:numId w:val="2"/>
        </w:numPr>
        <w:spacing w:after="110" w:line="276"/>
      </w:pPr>
      <w:r>
        <w:rPr>
          <w:b/>
          <w:bCs/>
          <w:color w:val="2E6BE6"/>
        </w:rPr>
        <w:t xml:space="preserve">COMM-BR-01 — Commissionable Amount. </w:t>
      </w:r>
      <w:r>
        <w:t xml:space="preserve">The system shall calculate sales commission using the transaction's configured commissionable amount. By default, promotional discounts shall reduce the commissionable amount, such that commission is calculated on the net selling amount after applicable discounts. The commission basis shall be configurable by an authorized administrator, and treatment of trade-in credit, store credit, and other adjustments shall be determined explicitly by the configured commission policy rather than automatically following the discount rule.</w:t>
      </w:r>
    </w:p>
    <w:p>
      <w:pPr>
        <w:pStyle w:val="Heading2"/>
        <w:spacing w:after="150" w:before="300"/>
      </w:pPr>
      <w:r>
        <w:rPr>
          <w:b/>
          <w:bCs/>
        </w:rPr>
        <w:t xml:space="preserve">6.2 Payment-Based Recognition: Earned vs. Paid</w:t>
      </w:r>
    </w:p>
    <w:p>
      <w:pPr>
        <w:spacing w:after="160" w:line="276"/>
      </w:pPr>
      <w:r>
        <w:t xml:space="preserve">An invoice is an amount owed, not revenue collected. Commission is therefore earned progressively as each payment against a transaction is confirmed — a ₦300,000 down payment on a ₦1,000,000 sale earns commission on ₦300,000, with the remainder earned only if and when the balance is actually paid. Commission Earned is also tracked separately from Commission Paid, since a business may calculate commission immediately but settle it to staff weekly or monthly.</w:t>
      </w:r>
    </w:p>
    <w:p>
      <w:pPr>
        <w:pStyle w:val="ListParagraph"/>
        <w:numPr>
          <w:ilvl w:val="0"/>
          <w:numId w:val="2"/>
        </w:numPr>
        <w:spacing w:after="110" w:line="276"/>
      </w:pPr>
      <w:r>
        <w:rPr>
          <w:b/>
          <w:bCs/>
          <w:color w:val="2E6BE6"/>
        </w:rPr>
        <w:t xml:space="preserve">COMM-BR-02 — Payment-Based Commission Recognition. </w:t>
      </w:r>
      <w:r>
        <w:t xml:space="preserve">Where a sale is paid through multiple payments, commission shall be progressively earned based on confirmed payments received against the transaction. Commission shall not be earned on unpaid balances unless the configured commission policy explicitly permits invoice-based recognition.</w:t>
      </w:r>
    </w:p>
    <w:p>
      <w:pPr>
        <w:pStyle w:val="Heading2"/>
        <w:spacing w:after="150" w:before="300"/>
      </w:pPr>
      <w:r>
        <w:rPr>
          <w:b/>
          <w:bCs/>
        </w:rPr>
        <w:t xml:space="preserve">6.3 Reversal, Ledger &amp; Partial Refunds</w:t>
      </w:r>
    </w:p>
    <w:p>
      <w:pPr>
        <w:spacing w:after="160" w:line="276"/>
      </w:pPr>
      <w:r>
        <w:t xml:space="preserve">Commission follows the economic state of the underlying transaction: a full refund reverses the related commission, a partial refund reverses only the corresponding share, and a checkout that simply expired unpaid never generated commission to reverse in the first place. None of this happens by silently editing the original commission record — every change is a new, linked, append-only ledger entry, so a historical report always shows both what was originally earned and what was later adjusted.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Sale commission: +₦45,000  [Earned]</w:t>
            </w:r>
          </w:p>
          <w:p>
            <w:pPr>
              <w:spacing w:after="40"/>
            </w:pPr>
            <w:r>
              <w:rPr>
                <w:rFonts w:ascii="Consolas" w:cs="Consolas" w:eastAsia="Consolas" w:hAnsi="Consolas"/>
                <w:color w:val="1B4332"/>
                <w:sz w:val="19"/>
                <w:szCs w:val="19"/>
              </w:rPr>
              <w:t xml:space="preserve">  -&gt; Customer refunded ₦200,000 of a ₦900,000 commissionable sale</w:t>
            </w:r>
          </w:p>
          <w:p>
            <w:pPr>
              <w:spacing w:after="40"/>
            </w:pPr>
            <w:r>
              <w:rPr>
                <w:rFonts w:ascii="Consolas" w:cs="Consolas" w:eastAsia="Consolas" w:hAnsi="Consolas"/>
                <w:color w:val="1B4332"/>
                <w:sz w:val="19"/>
                <w:szCs w:val="19"/>
              </w:rPr>
              <w:t xml:space="preserve">Reversal:        -₦10,000  [Reversed]  (proportional to the refunded share)</w:t>
            </w:r>
          </w:p>
          <w:p>
            <w:pPr>
              <w:spacing w:after="40"/>
            </w:pPr>
            <w:r>
              <w:rPr>
                <w:rFonts w:ascii="Consolas" w:cs="Consolas" w:eastAsia="Consolas" w:hAnsi="Consolas"/>
                <w:color w:val="1B4332"/>
                <w:sz w:val="19"/>
                <w:szCs w:val="19"/>
              </w:rPr>
              <w:t xml:space="preserve">Net commission:   ₦35,000</w:t>
            </w:r>
          </w:p>
        </w:tc>
      </w:tr>
    </w:tbl>
    <w:p>
      <w:pPr>
        <w:pStyle w:val="ListParagraph"/>
        <w:numPr>
          <w:ilvl w:val="0"/>
          <w:numId w:val="2"/>
        </w:numPr>
        <w:spacing w:after="110" w:line="276"/>
      </w:pPr>
      <w:r>
        <w:rPr>
          <w:b/>
          <w:bCs/>
          <w:color w:val="2E6BE6"/>
        </w:rPr>
        <w:t xml:space="preserve">COMM-BR-03 — Commission Reversal. </w:t>
      </w:r>
      <w:r>
        <w:t xml:space="preserve">When a completed sale, repair, or other commission-generating transaction is subsequently reversed or refunded, the system shall automatically determine and record the corresponding commission adjustment based on the portion of the transaction affected.</w:t>
      </w:r>
    </w:p>
    <w:p>
      <w:pPr>
        <w:pStyle w:val="ListParagraph"/>
        <w:numPr>
          <w:ilvl w:val="0"/>
          <w:numId w:val="2"/>
        </w:numPr>
        <w:spacing w:after="110" w:line="276"/>
      </w:pPr>
      <w:r>
        <w:rPr>
          <w:b/>
          <w:bCs/>
          <w:color w:val="2E6BE6"/>
        </w:rPr>
        <w:t xml:space="preserve">COMM-BR-04 — Commission Ledger. </w:t>
      </w:r>
      <w:r>
        <w:t xml:space="preserve">Commission reversals shall be recorded as separate adjustment entries linked to the original commission record and underlying transaction. Original commission records shall not be deleted or overwritten.</w:t>
      </w:r>
    </w:p>
    <w:p>
      <w:pPr>
        <w:pStyle w:val="ListParagraph"/>
        <w:numPr>
          <w:ilvl w:val="0"/>
          <w:numId w:val="2"/>
        </w:numPr>
        <w:spacing w:after="110" w:line="276"/>
      </w:pPr>
      <w:r>
        <w:rPr>
          <w:b/>
          <w:bCs/>
          <w:color w:val="2E6BE6"/>
        </w:rPr>
        <w:t xml:space="preserve">COMM-BR-05 — Partial Reversal. </w:t>
      </w:r>
      <w:r>
        <w:t xml:space="preserve">Where only part of a commission-generating transaction is refunded or reversed, the system shall calculate and record only the corresponding commission adjustment rather than automatically reversing the entire commission.</w:t>
      </w:r>
    </w:p>
    <w:p>
      <w:pPr>
        <w:pStyle w:val="ListParagraph"/>
        <w:numPr>
          <w:ilvl w:val="0"/>
          <w:numId w:val="2"/>
        </w:numPr>
        <w:spacing w:after="110" w:line="276"/>
      </w:pPr>
      <w:r>
        <w:rPr>
          <w:b/>
          <w:bCs/>
          <w:color w:val="2E6BE6"/>
        </w:rPr>
        <w:t xml:space="preserve">COMM-BR-06 — Paid Commission Clawback. </w:t>
      </w:r>
      <w:r>
        <w:t xml:space="preserve">Where a commission has already been paid when a subsequent reversal occurs, the resulting negative commission balance shall be recorded as an amount subject to the business's configured settlement or recovery policy — e.g., offset against a future payout — rather than the system attempting to reverse a payment that has already left the business.</w:t>
      </w:r>
    </w:p>
    <w:p>
      <w:pPr>
        <w:pStyle w:val="ListParagraph"/>
        <w:numPr>
          <w:ilvl w:val="0"/>
          <w:numId w:val="2"/>
        </w:numPr>
        <w:spacing w:after="110" w:line="276"/>
      </w:pPr>
      <w:r>
        <w:rPr>
          <w:b/>
          <w:bCs/>
          <w:color w:val="2E6BE6"/>
        </w:rPr>
        <w:t xml:space="preserve">COMM-BR-07 — Authorized Adjustment. </w:t>
      </w:r>
      <w:r>
        <w:t xml:space="preserve">The system shall allow authorized staff to review and approve applicable commission adjustments and shall record the reason, user, date, and affected transaction.</w:t>
      </w:r>
    </w:p>
    <w:p>
      <w:pPr>
        <w:pStyle w:val="Heading2"/>
        <w:spacing w:after="150" w:before="300"/>
      </w:pPr>
      <w:r>
        <w:rPr>
          <w:b/>
          <w:bCs/>
        </w:rPr>
        <w:t xml:space="preserve">6.4 Multi-Staff Attribution &amp; Assignment History</w:t>
      </w:r>
    </w:p>
    <w:p>
      <w:pPr>
        <w:spacing w:after="160" w:line="276"/>
      </w:pPr>
      <w:r>
        <w:t xml:space="preserve">A repair reassigned from one technician to another is not automatically a 50/50 split — the technician who diagnosed a phone and the one who actually repaired it may have contributed very differently. The assigned technician remains the default sole recipient; the system additionally preserves the full assignment history so a manual or configured allocation across multiple contributors is possible without reconstructing who-did-what from memory.</w:t>
      </w:r>
    </w:p>
    <w:p>
      <w:pPr>
        <w:pStyle w:val="ListParagraph"/>
        <w:numPr>
          <w:ilvl w:val="0"/>
          <w:numId w:val="2"/>
        </w:numPr>
        <w:spacing w:after="110" w:line="276"/>
      </w:pPr>
      <w:r>
        <w:rPr>
          <w:b/>
          <w:bCs/>
          <w:color w:val="2E6BE6"/>
        </w:rPr>
        <w:t xml:space="preserve">COMM-BR-08 — Multi-Staff Commission Attribution. </w:t>
      </w:r>
      <w:r>
        <w:t xml:space="preserve">The system shall support commission attribution to one or more staff members involved in a commission-generating repair or transaction.</w:t>
      </w:r>
    </w:p>
    <w:p>
      <w:pPr>
        <w:pStyle w:val="ListParagraph"/>
        <w:numPr>
          <w:ilvl w:val="0"/>
          <w:numId w:val="2"/>
        </w:numPr>
        <w:spacing w:after="110" w:line="276"/>
      </w:pPr>
      <w:r>
        <w:rPr>
          <w:b/>
          <w:bCs/>
          <w:color w:val="2E6BE6"/>
        </w:rPr>
        <w:t xml:space="preserve">COMM-BR-09 — Commission Allocation. </w:t>
      </w:r>
      <w:r>
        <w:t xml:space="preserve">Where multiple staff members are eligible for commission on a repair, the system shall support allocation of the commission among eligible staff according to the configured commission policy or an authorized manual allocation.</w:t>
      </w:r>
    </w:p>
    <w:p>
      <w:pPr>
        <w:pStyle w:val="ListParagraph"/>
        <w:numPr>
          <w:ilvl w:val="0"/>
          <w:numId w:val="2"/>
        </w:numPr>
        <w:spacing w:after="110" w:line="276"/>
      </w:pPr>
      <w:r>
        <w:rPr>
          <w:b/>
          <w:bCs/>
          <w:color w:val="2E6BE6"/>
        </w:rPr>
        <w:t xml:space="preserve">COMM-BR-10 — Assignment History. </w:t>
      </w:r>
      <w:r>
        <w:t xml:space="preserve">The system shall maintain the history of staff assignments and relevant work performed during a repair, including reassignment events.</w:t>
      </w:r>
    </w:p>
    <w:p>
      <w:pPr>
        <w:pStyle w:val="ListParagraph"/>
        <w:numPr>
          <w:ilvl w:val="0"/>
          <w:numId w:val="2"/>
        </w:numPr>
        <w:spacing w:after="110" w:line="276"/>
      </w:pPr>
      <w:r>
        <w:rPr>
          <w:b/>
          <w:bCs/>
          <w:color w:val="2E6BE6"/>
        </w:rPr>
        <w:t xml:space="preserve">COMM-BR-11 — Commission Preservation. </w:t>
      </w:r>
      <w:r>
        <w:t xml:space="preserve">Changes to staff assignment shall not automatically modify previously earned commission records. Any resulting commission reallocation or adjustment shall be recorded as a separate auditable transaction.</w:t>
      </w:r>
    </w:p>
    <w:p>
      <w:pPr>
        <w:pStyle w:val="ListParagraph"/>
        <w:numPr>
          <w:ilvl w:val="0"/>
          <w:numId w:val="2"/>
        </w:numPr>
        <w:spacing w:after="110" w:line="276"/>
      </w:pPr>
      <w:r>
        <w:rPr>
          <w:b/>
          <w:bCs/>
          <w:color w:val="2E6BE6"/>
        </w:rPr>
        <w:t xml:space="preserve">COMM-BR-12 — Commission Snapshot. </w:t>
      </w:r>
      <w:r>
        <w:t xml:space="preserve">Each earned commission record shall retain the commission rate, commissionable amount, applicable commission rule or policy version, and resulting commission amount used when the commission was calculated, so a later rate change never silently alters a historical record.</w:t>
      </w:r>
    </w:p>
    <w:p>
      <w:pPr>
        <w:pStyle w:val="ListParagraph"/>
        <w:numPr>
          <w:ilvl w:val="0"/>
          <w:numId w:val="2"/>
        </w:numPr>
        <w:spacing w:after="110" w:line="276"/>
      </w:pPr>
      <w:r>
        <w:rPr>
          <w:b/>
          <w:bCs/>
          <w:color w:val="2E6BE6"/>
        </w:rPr>
        <w:t xml:space="preserve">COMM-BR-13 — Policy Changes. </w:t>
      </w:r>
      <w:r>
        <w:t xml:space="preserve">Changes to commission rates or commission policies shall apply according to their effective date and shall not automatically recalculate previously earned commissions.</w:t>
      </w:r>
    </w:p>
    <w:p>
      <w:pPr>
        <w:pStyle w:val="ListParagraph"/>
        <w:numPr>
          <w:ilvl w:val="0"/>
          <w:numId w:val="2"/>
        </w:numPr>
        <w:spacing w:after="110" w:line="276"/>
      </w:pPr>
      <w:r>
        <w:rPr>
          <w:b/>
          <w:bCs/>
          <w:color w:val="2E6BE6"/>
        </w:rPr>
        <w:t xml:space="preserve">COMM-BR-14 — Discount Impact. </w:t>
      </w:r>
      <w:r>
        <w:t xml:space="preserve">Commission shall be calculated using the transaction's configured commissionable amount after applicable promotional discounts, per COMM-BR-01; treatment of other credits or adjustments (trade-in, store credit, referral vouchers) shall be determined by the configured commission policy rather than automatically following the discount rule.</w:t>
      </w:r>
    </w:p>
    <w:p>
      <w:r>
        <w:br w:type="page"/>
      </w:r>
    </w:p>
    <w:p>
      <w:pPr>
        <w:pStyle w:val="Heading1"/>
        <w:spacing w:after="200" w:before="400"/>
      </w:pPr>
      <w:r>
        <w:rPr>
          <w:b/>
          <w:bCs/>
        </w:rPr>
        <w:t xml:space="preserve">7. Referral Program — Business Logic</w:t>
      </w:r>
    </w:p>
    <w:p>
      <w:pPr>
        <w:pStyle w:val="Heading2"/>
        <w:spacing w:after="150" w:before="300"/>
      </w:pPr>
      <w:r>
        <w:rPr>
          <w:b/>
          <w:bCs/>
        </w:rPr>
        <w:t xml:space="preserve">7.1 Qualifying Transaction &amp; Bonus Timing</w:t>
      </w:r>
    </w:p>
    <w:p>
      <w:pPr>
        <w:spacing w:after="160" w:line="276"/>
      </w:pPr>
      <w:r>
        <w:t xml:space="preserve">“First purchase” is defined precisely rather than left ambiguous: it is the referred customer's first completed, qualifying transaction — sale or paid repair, per business configuration — not the first invoice or checkout created. An expired checkout, a cancelled repair, or a free warranty repair does not qualify, and a referral relationship itself is tracked separately from whether a bonus has actually been earned from it, so a referral can exist for months before it produces any reward.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Customer A refers Customer B  -&gt;  Referral relationship recorded (no bonus yet)</w:t>
            </w:r>
          </w:p>
          <w:p>
            <w:pPr>
              <w:spacing w:after="40"/>
            </w:pPr>
            <w:r>
              <w:rPr>
                <w:rFonts w:ascii="Consolas" w:cs="Consolas" w:eastAsia="Consolas" w:hAnsi="Consolas"/>
                <w:color w:val="1B4332"/>
                <w:sz w:val="19"/>
                <w:szCs w:val="19"/>
              </w:rPr>
              <w:t xml:space="preserve">Customer B completes a qualifying transaction (payment confirmed)</w:t>
            </w:r>
          </w:p>
          <w:p>
            <w:pPr>
              <w:spacing w:after="40"/>
            </w:pPr>
            <w:r>
              <w:rPr>
                <w:rFonts w:ascii="Consolas" w:cs="Consolas" w:eastAsia="Consolas" w:hAnsi="Consolas"/>
                <w:color w:val="1B4332"/>
                <w:sz w:val="19"/>
                <w:szCs w:val="19"/>
              </w:rPr>
              <w:t xml:space="preserve">  -&gt; Referral condition satisfied -&gt; Bonus becomes Earned</w:t>
            </w:r>
          </w:p>
        </w:tc>
      </w:tr>
    </w:tbl>
    <w:p>
      <w:pPr>
        <w:pStyle w:val="ListParagraph"/>
        <w:numPr>
          <w:ilvl w:val="0"/>
          <w:numId w:val="2"/>
        </w:numPr>
        <w:spacing w:after="110" w:line="276"/>
      </w:pPr>
      <w:r>
        <w:rPr>
          <w:b/>
          <w:bCs/>
          <w:color w:val="2E6BE6"/>
        </w:rPr>
        <w:t xml:space="preserve">REF-BR-01 — Qualifying Transaction. </w:t>
      </w:r>
      <w:r>
        <w:t xml:space="preserve">The system shall determine a referred customer's eligibility for a referral bonus based on completion of the first transaction that satisfies the configured referral policy.</w:t>
      </w:r>
    </w:p>
    <w:p>
      <w:pPr>
        <w:pStyle w:val="ListParagraph"/>
        <w:numPr>
          <w:ilvl w:val="0"/>
          <w:numId w:val="2"/>
        </w:numPr>
        <w:spacing w:after="110" w:line="276"/>
      </w:pPr>
      <w:r>
        <w:rPr>
          <w:b/>
          <w:bCs/>
          <w:color w:val="2E6BE6"/>
        </w:rPr>
        <w:t xml:space="preserve">REF-BR-02 — Transaction Types. </w:t>
      </w:r>
      <w:r>
        <w:t xml:space="preserve">The system shall support configuration of the transaction types that qualify as a referred customer's first qualifying transaction, including product sales, paid repairs, or both — defaulting to both, since each represents real business revenue.</w:t>
      </w:r>
    </w:p>
    <w:p>
      <w:pPr>
        <w:pStyle w:val="ListParagraph"/>
        <w:numPr>
          <w:ilvl w:val="0"/>
          <w:numId w:val="2"/>
        </w:numPr>
        <w:spacing w:after="110" w:line="276"/>
      </w:pPr>
      <w:r>
        <w:rPr>
          <w:b/>
          <w:bCs/>
          <w:color w:val="2E6BE6"/>
        </w:rPr>
        <w:t xml:space="preserve">REF-BR-03 — Completed Transaction. </w:t>
      </w:r>
      <w:r>
        <w:t xml:space="preserve">Unpaid, cancelled, expired, or otherwise incomplete transactions shall not qualify as a completed referral transaction unless explicitly permitted by the configured referral policy.</w:t>
      </w:r>
    </w:p>
    <w:p>
      <w:pPr>
        <w:pStyle w:val="ListParagraph"/>
        <w:numPr>
          <w:ilvl w:val="0"/>
          <w:numId w:val="2"/>
        </w:numPr>
        <w:spacing w:after="110" w:line="276"/>
      </w:pPr>
      <w:r>
        <w:rPr>
          <w:b/>
          <w:bCs/>
          <w:color w:val="2E6BE6"/>
        </w:rPr>
        <w:t xml:space="preserve">REF-BR-04 — Referral Bonus. </w:t>
      </w:r>
      <w:r>
        <w:t xml:space="preserve">Once a referred customer completes a qualifying transaction, the system shall calculate and record the applicable referral bonus for the associated referrer.</w:t>
      </w:r>
    </w:p>
    <w:p>
      <w:pPr>
        <w:pStyle w:val="ListParagraph"/>
        <w:numPr>
          <w:ilvl w:val="0"/>
          <w:numId w:val="2"/>
        </w:numPr>
        <w:spacing w:after="110" w:line="276"/>
      </w:pPr>
      <w:r>
        <w:rPr>
          <w:b/>
          <w:bCs/>
          <w:color w:val="2E6BE6"/>
        </w:rPr>
        <w:t xml:space="preserve">REF-BR-05 — Referral Reversal. </w:t>
      </w:r>
      <w:r>
        <w:t xml:space="preserve">If a qualifying transaction is subsequently refunded or reversed, the system shall identify the associated referral bonus and record the applicable bonus adjustment according to the configured referral policy — refined for AfProsPos by the window-based rule in Section 7.3 (REF-BR-14).</w:t>
      </w:r>
    </w:p>
    <w:p>
      <w:pPr>
        <w:pStyle w:val="ListParagraph"/>
        <w:numPr>
          <w:ilvl w:val="0"/>
          <w:numId w:val="2"/>
        </w:numPr>
        <w:spacing w:after="110" w:line="276"/>
      </w:pPr>
      <w:r>
        <w:rPr>
          <w:b/>
          <w:bCs/>
          <w:color w:val="2E6BE6"/>
        </w:rPr>
        <w:t xml:space="preserve">REF-BR-06 — Referral Attribution. </w:t>
      </w:r>
      <w:r>
        <w:t xml:space="preserve">Each qualifying referred customer shall have an auditable association with the referrer responsible for the referral, and the system shall prevent multiple referral bonuses from being generated for the same qualifying referral unless explicitly permitted by business policy.</w:t>
      </w:r>
    </w:p>
    <w:p>
      <w:pPr>
        <w:pStyle w:val="Heading2"/>
        <w:spacing w:after="150" w:before="300"/>
      </w:pPr>
      <w:r>
        <w:rPr>
          <w:b/>
          <w:bCs/>
        </w:rPr>
        <w:t xml:space="preserve">7.2 Reward Generation</w:t>
      </w:r>
    </w:p>
    <w:p>
      <w:pPr>
        <w:spacing w:after="160" w:line="276"/>
      </w:pPr>
      <w:r>
        <w:t xml:space="preserve">Rather than hard-wiring the Referral module to one payout mechanism, a referral simply generates a Reward — the same reusable concept the Marketing module uses for any campaign benefit (Section 8.1). This means a referral can pay out as store credit, a discount voucher, or (via store credit made eligible for withdrawal) an eventual cash payment, without the Referral module needing to know how any of those actually work.</w:t>
      </w:r>
    </w:p>
    <w:p>
      <w:pPr>
        <w:pStyle w:val="ListParagraph"/>
        <w:numPr>
          <w:ilvl w:val="0"/>
          <w:numId w:val="2"/>
        </w:numPr>
        <w:spacing w:after="110" w:line="276"/>
      </w:pPr>
      <w:r>
        <w:rPr>
          <w:b/>
          <w:bCs/>
          <w:color w:val="2E6BE6"/>
        </w:rPr>
        <w:t xml:space="preserve">REF-BR-07 — Reward Generation. </w:t>
      </w:r>
      <w:r>
        <w:t xml:space="preserve">When a referral satisfies the configured qualifying conditions, the system shall generate the reward defined by the applicable referral campaign, using the reward mechanisms defined in Section 8.1.</w:t>
      </w:r>
    </w:p>
    <w:p>
      <w:pPr>
        <w:pStyle w:val="Heading2"/>
        <w:spacing w:after="150" w:before="300"/>
      </w:pPr>
      <w:r>
        <w:rPr>
          <w:b/>
          <w:bCs/>
        </w:rPr>
        <w:t xml:space="preserve">7.3 Refund Window &amp; Bonus Timing</w:t>
      </w:r>
    </w:p>
    <w:p>
      <w:pPr>
        <w:spacing w:after="160" w:line="276"/>
      </w:pPr>
      <w:r>
        <w:t xml:space="preserve">Rather than paying a bonus immediately and then trying to claw it back if the underlying purchase is refunded, the bonus is held in a Pending state until the business's configured return/refund window (WAR-BR-12) has passed. This sidesteps the recovery problem in the common case entirely: if no refund happens during the window, the bonus simply becomes payable; if a refund happens during the window, the bonus is cancelled and was never paid out; if a customer tries to refund after the window has already closed, the refund itself is denied by default and the referrer keeps their bonus. REF-BR-05's reversal mechanism remains as a safety net for the one remaining edge case — an authorized override that permits a late refund after a bonus has already been paid.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Qualifying transaction paid -&gt; Bonus: Pending</w:t>
            </w:r>
          </w:p>
          <w:p>
            <w:pPr>
              <w:spacing w:after="40"/>
            </w:pPr>
            <w:r>
              <w:rPr>
                <w:rFonts w:ascii="Consolas" w:cs="Consolas" w:eastAsia="Consolas" w:hAnsi="Consolas"/>
                <w:color w:val="1B4332"/>
                <w:sz w:val="19"/>
                <w:szCs w:val="19"/>
              </w:rPr>
              <w:t xml:space="preserve">  |-- Return window elapses, no refund --&gt; Bonus: Payable</w:t>
            </w:r>
          </w:p>
          <w:p>
            <w:pPr>
              <w:spacing w:after="40"/>
            </w:pPr>
            <w:r>
              <w:rPr>
                <w:rFonts w:ascii="Consolas" w:cs="Consolas" w:eastAsia="Consolas" w:hAnsi="Consolas"/>
                <w:color w:val="1B4332"/>
                <w:sz w:val="19"/>
                <w:szCs w:val="19"/>
              </w:rPr>
              <w:t xml:space="preserve">  |-- Refund occurs WITHIN the window   --&gt; Bonus: Cancelled (never paid)</w:t>
            </w:r>
          </w:p>
          <w:p>
            <w:pPr>
              <w:spacing w:after="40"/>
            </w:pPr>
            <w:r>
              <w:rPr>
                <w:rFonts w:ascii="Consolas" w:cs="Consolas" w:eastAsia="Consolas" w:hAnsi="Consolas"/>
                <w:color w:val="1B4332"/>
                <w:sz w:val="19"/>
                <w:szCs w:val="19"/>
              </w:rPr>
              <w:t xml:space="preserve">  `-- Refund requested AFTER the window  --&gt; Refund Denied (WAR-BR-12) -&gt; Bonus stays Payable</w:t>
            </w:r>
          </w:p>
          <w:p>
            <w:pPr>
              <w:spacing w:after="40"/>
            </w:pPr>
            <w:r>
              <w:rPr>
                <w:rFonts w:ascii="Consolas" w:cs="Consolas" w:eastAsia="Consolas" w:hAnsi="Consolas"/>
                <w:color w:val="1B4332"/>
                <w:sz w:val="19"/>
                <w:szCs w:val="19"/>
              </w:rPr>
              <w:t xml:space="preserve">       [Admin override permits a late refund despite denial, bonus already paid]</w:t>
            </w:r>
          </w:p>
          <w:p>
            <w:pPr>
              <w:spacing w:after="40"/>
            </w:pPr>
            <w:r>
              <w:rPr>
                <w:rFonts w:ascii="Consolas" w:cs="Consolas" w:eastAsia="Consolas" w:hAnsi="Consolas"/>
                <w:color w:val="1B4332"/>
                <w:sz w:val="19"/>
                <w:szCs w:val="19"/>
              </w:rPr>
              <w:t xml:space="preserve">         -&gt; Recovery of the already-paid bonus follows REF-BR-05</w:t>
            </w:r>
          </w:p>
        </w:tc>
      </w:tr>
    </w:tbl>
    <w:p>
      <w:pPr>
        <w:pStyle w:val="ListParagraph"/>
        <w:numPr>
          <w:ilvl w:val="0"/>
          <w:numId w:val="2"/>
        </w:numPr>
        <w:spacing w:after="110" w:line="276"/>
      </w:pPr>
      <w:r>
        <w:rPr>
          <w:b/>
          <w:bCs/>
          <w:color w:val="2E6BE6"/>
        </w:rPr>
        <w:t xml:space="preserve">REF-BR-14 — Refund Window &amp; Bonus Timing. </w:t>
      </w:r>
      <w:r>
        <w:t xml:space="preserve">Where the business has configured a return/refund window (WAR-BR-12), a referral bonus for a qualifying transaction shall be held in a Pending state until that window elapses. If the qualifying transaction is refunded within the window, the pending bonus shall be cancelled and not paid. If a refund is requested after the window has closed, the refund shall be denied by default per WAR-BR-12 and the referrer shall keep the bonus. Where an authorized override permits a refund after the window despite denial, and the bonus has already been paid, recovery of that bonus shall follow REF-BR-05.</w:t>
      </w:r>
    </w:p>
    <w:p>
      <w:pPr>
        <w:pStyle w:val="Heading2"/>
        <w:spacing w:after="150" w:before="300"/>
      </w:pPr>
      <w:r>
        <w:rPr>
          <w:b/>
          <w:bCs/>
        </w:rPr>
        <w:t xml:space="preserve">7.4 Fraud &amp; Self-Referral Safeguards</w:t>
      </w:r>
    </w:p>
    <w:p>
      <w:pPr>
        <w:spacing w:after="160" w:line="276"/>
      </w:pPr>
      <w:r>
        <w:t xml:space="preserve">The goal is blocking the obvious abuse case automatically while routing ambiguous ones to a human — aggressive automatic fraud detection risks blocking legitimate cases (two family members sharing a household phone number, for instance), so the system flags rather than auto-rejects anything short of a customer referring themselves.</w:t>
      </w:r>
    </w:p>
    <w:p>
      <w:pPr>
        <w:pStyle w:val="ListParagraph"/>
        <w:numPr>
          <w:ilvl w:val="0"/>
          <w:numId w:val="2"/>
        </w:numPr>
        <w:spacing w:after="110" w:line="276"/>
      </w:pPr>
      <w:r>
        <w:rPr>
          <w:b/>
          <w:bCs/>
          <w:color w:val="2E6BE6"/>
        </w:rPr>
        <w:t xml:space="preserve">REF-BR-08 — Self-Referral Prevention. </w:t>
      </w:r>
      <w:r>
        <w:t xml:space="preserve">The system shall prevent a customer from referring themselves and earning a referral reward from their own qualifying transaction.</w:t>
      </w:r>
    </w:p>
    <w:p>
      <w:pPr>
        <w:pStyle w:val="ListParagraph"/>
        <w:numPr>
          <w:ilvl w:val="0"/>
          <w:numId w:val="2"/>
        </w:numPr>
        <w:spacing w:after="110" w:line="276"/>
      </w:pPr>
      <w:r>
        <w:rPr>
          <w:b/>
          <w:bCs/>
          <w:color w:val="2E6BE6"/>
        </w:rPr>
        <w:t xml:space="preserve">REF-BR-09 — Referral Integrity. </w:t>
      </w:r>
      <w:r>
        <w:t xml:space="preserve">The system shall maintain an auditable association between a referred customer and their referrer and shall restrict modification of an established referral relationship to authorized staff.</w:t>
      </w:r>
    </w:p>
    <w:p>
      <w:pPr>
        <w:pStyle w:val="ListParagraph"/>
        <w:numPr>
          <w:ilvl w:val="0"/>
          <w:numId w:val="2"/>
        </w:numPr>
        <w:spacing w:after="110" w:line="276"/>
      </w:pPr>
      <w:r>
        <w:rPr>
          <w:b/>
          <w:bCs/>
          <w:color w:val="2E6BE6"/>
        </w:rPr>
        <w:t xml:space="preserve">REF-BR-10 — Campaign Limits. </w:t>
      </w:r>
      <w:r>
        <w:t xml:space="preserve">The system shall support configurable limits on referral activity and rewards, including referral count, reward frequency, reward value, and other campaign-defined restrictions.</w:t>
      </w:r>
    </w:p>
    <w:p>
      <w:pPr>
        <w:pStyle w:val="ListParagraph"/>
        <w:numPr>
          <w:ilvl w:val="0"/>
          <w:numId w:val="2"/>
        </w:numPr>
        <w:spacing w:after="110" w:line="276"/>
      </w:pPr>
      <w:r>
        <w:rPr>
          <w:b/>
          <w:bCs/>
          <w:color w:val="2E6BE6"/>
        </w:rPr>
        <w:t xml:space="preserve">REF-BR-11 — Fraud Detection. </w:t>
      </w:r>
      <w:r>
        <w:t xml:space="preserve">The system shall identify configured indicators of potentially fraudulent or abusive referral activity (e.g., referrer and referred customer sharing a phone number, payment reference, or device IMEI) and flag affected referrals for authorized staff review rather than auto-approving or auto-blocking them.</w:t>
      </w:r>
    </w:p>
    <w:p>
      <w:pPr>
        <w:pStyle w:val="ListParagraph"/>
        <w:numPr>
          <w:ilvl w:val="0"/>
          <w:numId w:val="2"/>
        </w:numPr>
        <w:spacing w:after="110" w:line="276"/>
      </w:pPr>
      <w:r>
        <w:rPr>
          <w:b/>
          <w:bCs/>
          <w:color w:val="2E6BE6"/>
        </w:rPr>
        <w:t xml:space="preserve">REF-BR-12 — Fraud Review. </w:t>
      </w:r>
      <w:r>
        <w:t xml:space="preserve">Authorized staff shall be able to approve or reject flagged referral activity, with the system recording the decision, reason, user, and timestamp.</w:t>
      </w:r>
    </w:p>
    <w:p>
      <w:pPr>
        <w:pStyle w:val="ListParagraph"/>
        <w:numPr>
          <w:ilvl w:val="0"/>
          <w:numId w:val="2"/>
        </w:numPr>
        <w:spacing w:after="110" w:line="276"/>
      </w:pPr>
      <w:r>
        <w:rPr>
          <w:b/>
          <w:bCs/>
          <w:color w:val="2E6BE6"/>
        </w:rPr>
        <w:t xml:space="preserve">REF-BR-13 — Reward Integrity. </w:t>
      </w:r>
      <w:r>
        <w:t xml:space="preserve">Referral rewards shall remain traceably associated with the referral and qualifying transaction throughout their lifecycle, including issuance, use, adjustment, reversal, or withdrawal.</w:t>
      </w:r>
    </w:p>
    <w:p>
      <w:r>
        <w:br w:type="page"/>
      </w:r>
    </w:p>
    <w:p>
      <w:pPr>
        <w:pStyle w:val="Heading1"/>
        <w:spacing w:after="200" w:before="400"/>
      </w:pPr>
      <w:r>
        <w:rPr>
          <w:b/>
          <w:bCs/>
        </w:rPr>
        <w:t xml:space="preserve">8. Marketing Campaigns &amp; Rewards — Business Logic</w:t>
      </w:r>
    </w:p>
    <w:p>
      <w:pPr>
        <w:spacing w:after="160" w:line="276"/>
      </w:pPr>
      <w:r>
        <w:t xml:space="preserve">Rather than building Referral, Loyalty, and Promotional discounting as three separate features, they share one underlying engine: a Campaign defines eligibility, a trigger, and a Reward; the reward is generated and consumed through shared, reusable mechanisms. This section defines those shared reward mechanisms and the rules governing how multiple discounts and rewards interact on the same transaction.</w:t>
      </w:r>
    </w:p>
    <w:p>
      <w:pPr>
        <w:pStyle w:val="Heading2"/>
        <w:spacing w:after="150" w:before="300"/>
      </w:pPr>
      <w:r>
        <w:rPr>
          <w:b/>
          <w:bCs/>
        </w:rPr>
        <w:t xml:space="preserve">8.1 Reward Types: Store Credit &amp; Vouchers</w:t>
      </w:r>
    </w:p>
    <w:p>
      <w:pPr>
        <w:spacing w:after="160" w:line="276"/>
      </w:pPr>
      <w:r>
        <w:t xml:space="preserve">Cash is deliberately not an ordinary referral/campaign reward type. Instead, a reward is issued as Store Credit or a Voucher — two instruments that behave differently — and Store Credit can optionally be made eligible for cash withdrawal under conditions the business controls (a minimum holding period, verification, admin approval), which gives the business far more control than paying out cash the moment a reward is earned.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Instrument</w:t>
            </w:r>
          </w:p>
        </w:tc>
        <w:tc>
          <w:tcPr>
            <w:tcW w:type="dxa" w:w="71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Behavior</w:t>
            </w:r>
          </w:p>
        </w:tc>
      </w:tr>
      <w:tr>
        <w:tc>
          <w:tcPr>
            <w:tcW w:type="dxa" w:w="2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Store Credit</w:t>
            </w:r>
          </w:p>
        </w:tc>
        <w:tc>
          <w:tcPr>
            <w:tcW w:type="dxa" w:w="71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 traceable customer-value ledger (issuance, usage, adjustment, expiration). Represents value the business owes the customer within the system.</w:t>
            </w:r>
          </w:p>
        </w:tc>
      </w:tr>
      <w:tr>
        <w:tc>
          <w:tcPr>
            <w:tcW w:type="dxa" w:w="2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Discount Voucher</w:t>
            </w:r>
          </w:p>
        </w:tc>
        <w:tc>
          <w:tcPr>
            <w:tcW w:type="dxa" w:w="71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 conditional discount entitlement (e.g., 10% off, max ₦20,000, valid 30 days, one use). Does not represent money owed — it reduces a future transaction's price.</w:t>
            </w:r>
          </w:p>
        </w:tc>
      </w:tr>
      <w:tr>
        <w:tc>
          <w:tcPr>
            <w:tcW w:type="dxa" w:w="2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Credit Withdrawal</w:t>
            </w:r>
          </w:p>
        </w:tc>
        <w:tc>
          <w:tcPr>
            <w:tcW w:type="dxa" w:w="71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Optional conversion of eligible Store Credit into a cash payout, subject to configured eligibility conditions and authorization — not a default behavior of Store Credit.</w:t>
            </w:r>
          </w:p>
        </w:tc>
      </w:tr>
    </w:tbl>
    <w:p>
      <w:pPr>
        <w:pStyle w:val="ListParagraph"/>
        <w:numPr>
          <w:ilvl w:val="0"/>
          <w:numId w:val="2"/>
        </w:numPr>
        <w:spacing w:after="110" w:line="276"/>
      </w:pPr>
      <w:r>
        <w:rPr>
          <w:b/>
          <w:bCs/>
          <w:color w:val="2E6BE6"/>
        </w:rPr>
        <w:t xml:space="preserve">MKT-BR-01 — Configurable Reward Types. </w:t>
      </w:r>
      <w:r>
        <w:t xml:space="preserve">The system shall allow authorized administrators to configure the reward type offered by a campaign, including store credit, discount vouchers, and other supported reward mechanisms.</w:t>
      </w:r>
    </w:p>
    <w:p>
      <w:pPr>
        <w:pStyle w:val="ListParagraph"/>
        <w:numPr>
          <w:ilvl w:val="0"/>
          <w:numId w:val="2"/>
        </w:numPr>
        <w:spacing w:after="110" w:line="276"/>
      </w:pPr>
      <w:r>
        <w:rPr>
          <w:b/>
          <w:bCs/>
          <w:color w:val="2E6BE6"/>
        </w:rPr>
        <w:t xml:space="preserve">MKT-BR-02 — Reward Conditions. </w:t>
      </w:r>
      <w:r>
        <w:t xml:space="preserve">Campaign rewards shall support configurable conditions including eligibility, value, validity period, usage restrictions, minimum transaction amount, maximum benefit, stacking rules, and other applicable business conditions.</w:t>
      </w:r>
    </w:p>
    <w:p>
      <w:pPr>
        <w:pStyle w:val="ListParagraph"/>
        <w:numPr>
          <w:ilvl w:val="0"/>
          <w:numId w:val="2"/>
        </w:numPr>
        <w:spacing w:after="110" w:line="276"/>
      </w:pPr>
      <w:r>
        <w:rPr>
          <w:b/>
          <w:bCs/>
          <w:color w:val="2E6BE6"/>
        </w:rPr>
        <w:t xml:space="preserve">MKT-BR-03 — Store Credit. </w:t>
      </w:r>
      <w:r>
        <w:t xml:space="preserve">The system shall maintain store credit as a traceable customer-value ledger that records credit issuance, usage, adjustments, expiration, and other applicable movements.</w:t>
      </w:r>
    </w:p>
    <w:p>
      <w:pPr>
        <w:pStyle w:val="ListParagraph"/>
        <w:numPr>
          <w:ilvl w:val="0"/>
          <w:numId w:val="2"/>
        </w:numPr>
        <w:spacing w:after="110" w:line="276"/>
      </w:pPr>
      <w:r>
        <w:rPr>
          <w:b/>
          <w:bCs/>
          <w:color w:val="2E6BE6"/>
        </w:rPr>
        <w:t xml:space="preserve">MKT-BR-04 — Credit Withdrawal. </w:t>
      </w:r>
      <w:r>
        <w:t xml:space="preserve">The system may support conversion of eligible store credit into a cash withdrawal where enabled by the applicable campaign or business policy. Withdrawal eligibility and conditions shall be configurable and subject to authorization.</w:t>
      </w:r>
    </w:p>
    <w:p>
      <w:pPr>
        <w:pStyle w:val="ListParagraph"/>
        <w:numPr>
          <w:ilvl w:val="0"/>
          <w:numId w:val="2"/>
        </w:numPr>
        <w:spacing w:after="110" w:line="276"/>
      </w:pPr>
      <w:r>
        <w:rPr>
          <w:b/>
          <w:bCs/>
          <w:color w:val="2E6BE6"/>
        </w:rPr>
        <w:t xml:space="preserve">MKT-BR-05 — Voucher. </w:t>
      </w:r>
      <w:r>
        <w:t xml:space="preserve">The system shall support configurable discount vouchers that may be issued as campaign rewards and applied to eligible transactions according to their configured conditions.</w:t>
      </w:r>
    </w:p>
    <w:p>
      <w:pPr>
        <w:pStyle w:val="Heading2"/>
        <w:spacing w:after="150" w:before="300"/>
      </w:pPr>
      <w:r>
        <w:rPr>
          <w:b/>
          <w:bCs/>
        </w:rPr>
        <w:t xml:space="preserve">8.2 Discount &amp; Reward Stacking</w:t>
      </w:r>
    </w:p>
    <w:p>
      <w:pPr>
        <w:spacing w:after="160" w:line="276"/>
      </w:pPr>
      <w:r>
        <w:t xml:space="preserve">Multiple things can reduce what a customer pays on one transaction — a promotion, a referral voucher, trade-in credit, store credit — and stacking them unpredictably risks destroying margin. The safe default is non-stackable unless a campaign explicitly permits it, applied in a fixed, deterministic order, with every component of the final price traceable back to exactly why it was deducted.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Component</w:t>
            </w:r>
          </w:p>
        </w:tc>
        <w:tc>
          <w:tcPr>
            <w:tcW w:type="dxa" w:w="4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Amount</w:t>
            </w:r>
          </w:p>
        </w:tc>
      </w:tr>
      <w:tr>
        <w:tc>
          <w:tcPr>
            <w:tcW w:type="dxa" w:w="4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Base price</w:t>
            </w:r>
          </w:p>
        </w:tc>
        <w:tc>
          <w:tcPr>
            <w:tcW w:type="dxa" w:w="4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₦1,000,000</w:t>
            </w:r>
          </w:p>
        </w:tc>
      </w:tr>
      <w:tr>
        <w:tc>
          <w:tcPr>
            <w:tcW w:type="dxa" w:w="4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Promotion (−10%)</w:t>
            </w:r>
          </w:p>
        </w:tc>
        <w:tc>
          <w:tcPr>
            <w:tcW w:type="dxa" w:w="4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−₦100,000</w:t>
            </w:r>
          </w:p>
        </w:tc>
      </w:tr>
      <w:tr>
        <w:tc>
          <w:tcPr>
            <w:tcW w:type="dxa" w:w="4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Referral voucher</w:t>
            </w:r>
          </w:p>
        </w:tc>
        <w:tc>
          <w:tcPr>
            <w:tcW w:type="dxa" w:w="4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−₦20,000</w:t>
            </w:r>
          </w:p>
        </w:tc>
      </w:tr>
      <w:tr>
        <w:tc>
          <w:tcPr>
            <w:tcW w:type="dxa" w:w="4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Trade-in credit</w:t>
            </w:r>
          </w:p>
        </w:tc>
        <w:tc>
          <w:tcPr>
            <w:tcW w:type="dxa" w:w="4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−₦200,000</w:t>
            </w:r>
          </w:p>
        </w:tc>
      </w:tr>
      <w:tr>
        <w:tc>
          <w:tcPr>
            <w:tcW w:type="dxa" w:w="4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Store credit used</w:t>
            </w:r>
          </w:p>
        </w:tc>
        <w:tc>
          <w:tcPr>
            <w:tcW w:type="dxa" w:w="4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−₦50,000</w:t>
            </w:r>
          </w:p>
        </w:tc>
      </w:tr>
      <w:tr>
        <w:tc>
          <w:tcPr>
            <w:tcW w:type="dxa" w:w="4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Customer payable</w:t>
            </w:r>
          </w:p>
        </w:tc>
        <w:tc>
          <w:tcPr>
            <w:tcW w:type="dxa" w:w="4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₦630,000</w:t>
            </w:r>
          </w:p>
        </w:tc>
      </w:tr>
    </w:tbl>
    <w:p>
      <w:pPr>
        <w:pStyle w:val="ListParagraph"/>
        <w:numPr>
          <w:ilvl w:val="0"/>
          <w:numId w:val="2"/>
        </w:numPr>
        <w:spacing w:after="110" w:line="276"/>
      </w:pPr>
      <w:r>
        <w:rPr>
          <w:b/>
          <w:bCs/>
          <w:color w:val="2E6BE6"/>
        </w:rPr>
        <w:t xml:space="preserve">MKT-BR-06 — Discount Stacking. </w:t>
      </w:r>
      <w:r>
        <w:t xml:space="preserve">The system shall support configurable stacking rules for promotional campaigns and rewards. Campaigns shall be configured as stackable or non-stackable according to authorized business policy, with non-stacking as the default where no explicit stacking rule is defined.</w:t>
      </w:r>
    </w:p>
    <w:p>
      <w:pPr>
        <w:pStyle w:val="ListParagraph"/>
        <w:numPr>
          <w:ilvl w:val="0"/>
          <w:numId w:val="2"/>
        </w:numPr>
        <w:spacing w:after="110" w:line="276"/>
      </w:pPr>
      <w:r>
        <w:rPr>
          <w:b/>
          <w:bCs/>
          <w:color w:val="2E6BE6"/>
        </w:rPr>
        <w:t xml:space="preserve">MKT-BR-07 — Application Order. </w:t>
      </w:r>
      <w:r>
        <w:t xml:space="preserve">The system shall apply multiple eligible discounts and credits according to a deterministic configured order (promotion → referral/voucher → trade-in credit → store credit) and shall prevent conflicting or prohibited combinations.</w:t>
      </w:r>
    </w:p>
    <w:p>
      <w:pPr>
        <w:pStyle w:val="ListParagraph"/>
        <w:numPr>
          <w:ilvl w:val="0"/>
          <w:numId w:val="2"/>
        </w:numPr>
        <w:spacing w:after="110" w:line="276"/>
      </w:pPr>
      <w:r>
        <w:rPr>
          <w:b/>
          <w:bCs/>
          <w:color w:val="2E6BE6"/>
        </w:rPr>
        <w:t xml:space="preserve">MKT-BR-08 — Adjustment Traceability. </w:t>
      </w:r>
      <w:r>
        <w:t xml:space="preserve">The system shall record each discount, voucher, credit, trade-in adjustment, and other price adjustment separately within the transaction so that the final payable amount can be traced to its individual components.</w:t>
      </w:r>
    </w:p>
    <w:p>
      <w:pPr>
        <w:pStyle w:val="ListParagraph"/>
        <w:numPr>
          <w:ilvl w:val="0"/>
          <w:numId w:val="2"/>
        </w:numPr>
        <w:spacing w:after="110" w:line="276"/>
      </w:pPr>
      <w:r>
        <w:rPr>
          <w:b/>
          <w:bCs/>
          <w:color w:val="2E6BE6"/>
        </w:rPr>
        <w:t xml:space="preserve">MKT-BR-09 — Campaign Override. </w:t>
      </w:r>
      <w:r>
        <w:t xml:space="preserve">Where authorized staff override a campaign's stacking or discount rules, the system shall record the override, user, reason, affected campaign, and resulting adjustment.</w:t>
      </w:r>
    </w:p>
    <w:p>
      <w:pPr>
        <w:pStyle w:val="Heading2"/>
        <w:spacing w:after="150" w:before="300"/>
      </w:pPr>
      <w:r>
        <w:rPr>
          <w:b/>
          <w:bCs/>
        </w:rPr>
        <w:t xml:space="preserve">8.3 Customer Segment Source of Truth</w:t>
      </w:r>
    </w:p>
    <w:p>
      <w:pPr>
        <w:spacing w:after="160" w:line="276"/>
      </w:pPr>
      <w:r>
        <w:t xml:space="preserve">A segment like “first-time customer” is defined by Marketing but never duplicated as stored data Marketing owns — it is evaluated live against the module that actually owns the underlying fact (Sales/Repairs for purchase history, Referral for referral relationships), because a stored is_first_time_customer flag inevitably goes stale the moment it isn't updated everywhere it needs to be. The one exception is when a campaign benefit is actually granted: at that moment, the system snapshots why the customer qualified, so a later change in their history never rewrites the historical record of what already happened.</w:t>
      </w:r>
    </w:p>
    <w:p>
      <w:pPr>
        <w:pStyle w:val="ListParagraph"/>
        <w:numPr>
          <w:ilvl w:val="0"/>
          <w:numId w:val="2"/>
        </w:numPr>
        <w:spacing w:after="110" w:line="276"/>
      </w:pPr>
      <w:r>
        <w:rPr>
          <w:b/>
          <w:bCs/>
          <w:color w:val="2E6BE6"/>
        </w:rPr>
        <w:t xml:space="preserve">MKT-BR-10 — Segment Definition. </w:t>
      </w:r>
      <w:r>
        <w:t xml:space="preserve">The Marketing &amp; Campaigns module shall define customer segments using configurable eligibility criteria and shall not duplicate authoritative customer, transaction, payment, repair, or referral data solely for the purpose of determining segment membership.</w:t>
      </w:r>
    </w:p>
    <w:p>
      <w:pPr>
        <w:pStyle w:val="ListParagraph"/>
        <w:numPr>
          <w:ilvl w:val="0"/>
          <w:numId w:val="2"/>
        </w:numPr>
        <w:spacing w:after="110" w:line="276"/>
      </w:pPr>
      <w:r>
        <w:rPr>
          <w:b/>
          <w:bCs/>
          <w:color w:val="2E6BE6"/>
        </w:rPr>
        <w:t xml:space="preserve">MKT-BR-11 — Source of Truth. </w:t>
      </w:r>
      <w:r>
        <w:t xml:space="preserve">Customer segment eligibility shall be evaluated using authoritative data from the module responsible for the relevant business information (e.g., Sales/Repairs for purchase history, Referral for referral relationships).</w:t>
      </w:r>
    </w:p>
    <w:p>
      <w:pPr>
        <w:pStyle w:val="ListParagraph"/>
        <w:numPr>
          <w:ilvl w:val="0"/>
          <w:numId w:val="2"/>
        </w:numPr>
        <w:spacing w:after="110" w:line="276"/>
      </w:pPr>
      <w:r>
        <w:rPr>
          <w:b/>
          <w:bCs/>
          <w:color w:val="2E6BE6"/>
        </w:rPr>
        <w:t xml:space="preserve">MKT-BR-12 — Dynamic Eligibility. </w:t>
      </w:r>
      <w:r>
        <w:t xml:space="preserve">Where practical, campaign eligibility shall be evaluated from current qualifying business data at the time a campaign benefit is requested or applied, rather than from a separately stored segment flag.</w:t>
      </w:r>
    </w:p>
    <w:p>
      <w:pPr>
        <w:pStyle w:val="ListParagraph"/>
        <w:numPr>
          <w:ilvl w:val="0"/>
          <w:numId w:val="2"/>
        </w:numPr>
        <w:spacing w:after="110" w:line="276"/>
      </w:pPr>
      <w:r>
        <w:rPr>
          <w:b/>
          <w:bCs/>
          <w:color w:val="2E6BE6"/>
        </w:rPr>
        <w:t xml:space="preserve">MKT-BR-13 — Eligibility Snapshot. </w:t>
      </w:r>
      <w:r>
        <w:t xml:space="preserve">When a campaign benefit is granted, the system shall record the campaign, customer, eligibility result, applicable conditions, and relevant transaction information required to explain why the customer qualified.</w:t>
      </w:r>
    </w:p>
    <w:p>
      <w:pPr>
        <w:pStyle w:val="ListParagraph"/>
        <w:numPr>
          <w:ilvl w:val="0"/>
          <w:numId w:val="2"/>
        </w:numPr>
        <w:spacing w:after="110" w:line="276"/>
      </w:pPr>
      <w:r>
        <w:rPr>
          <w:b/>
          <w:bCs/>
          <w:color w:val="2E6BE6"/>
        </w:rPr>
        <w:t xml:space="preserve">MKT-BR-14 — Cross-Module Data. </w:t>
      </w:r>
      <w:r>
        <w:t xml:space="preserve">Marketing campaigns may consume information from Customer Management, Sales/POS, Repair Management, Payments, Referral, Inventory, and other authorized modules for eligibility evaluation while preserving each module's ownership of its underlying business data.</w:t>
      </w:r>
    </w:p>
    <w:p>
      <w:r>
        <w:br w:type="page"/>
      </w:r>
    </w:p>
    <w:p>
      <w:pPr>
        <w:pStyle w:val="Heading1"/>
        <w:spacing w:after="200" w:before="400"/>
      </w:pPr>
      <w:r>
        <w:rPr>
          <w:b/>
          <w:bCs/>
        </w:rPr>
        <w:t xml:space="preserve">9. Inventory, Multi-Shop &amp; SKU — Business Logic</w:t>
      </w:r>
    </w:p>
    <w:p>
      <w:pPr>
        <w:pStyle w:val="Heading2"/>
        <w:spacing w:after="150" w:before="300"/>
      </w:pPr>
      <w:r>
        <w:rPr>
          <w:b/>
          <w:bCs/>
        </w:rPr>
        <w:t xml:space="preserve">9.1 Product, SKU &amp; Inventory Item Model</w:t>
      </w:r>
    </w:p>
    <w:p>
      <w:pPr>
        <w:spacing w:after="160" w:line="276"/>
      </w:pPr>
      <w:r>
        <w:t xml:space="preserve">Three concepts that were previously blurred together are now distinct: a Product (the conceptual model — “Apple iPhone 15”), a SKU (a specific sellable configuration — “iPhone 15 / 128GB / Black”, defined once at the business level), and an Inventory Item (a physical unit — one IMEI, or a quantity for non-serialized stock). This is what makes SKU-04's per-shop-vs-system-wide question resolvable: the SKU belongs to the business catalog, not to any one shop, so a phone transferred between shops never needs a second SKU.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Product: iPhone 15</w:t>
            </w:r>
          </w:p>
          <w:p>
            <w:pPr>
              <w:spacing w:after="40"/>
            </w:pPr>
            <w:r>
              <w:rPr>
                <w:rFonts w:ascii="Consolas" w:cs="Consolas" w:eastAsia="Consolas" w:hAnsi="Consolas"/>
                <w:color w:val="1B4332"/>
                <w:sz w:val="19"/>
                <w:szCs w:val="19"/>
              </w:rPr>
              <w:t xml:space="preserve">  -&gt; SKU: IPH15-128-BLK   (defined once, business-wide)</w:t>
            </w:r>
          </w:p>
          <w:p>
            <w:pPr>
              <w:spacing w:after="40"/>
            </w:pPr>
            <w:r>
              <w:rPr>
                <w:rFonts w:ascii="Consolas" w:cs="Consolas" w:eastAsia="Consolas" w:hAnsi="Consolas"/>
                <w:color w:val="1B4332"/>
                <w:sz w:val="19"/>
                <w:szCs w:val="19"/>
              </w:rPr>
              <w:t xml:space="preserve">       -&gt; Inventory Item: IMEI 001  [current shop: A]</w:t>
            </w:r>
          </w:p>
          <w:p>
            <w:pPr>
              <w:spacing w:after="40"/>
            </w:pPr>
            <w:r>
              <w:rPr>
                <w:rFonts w:ascii="Consolas" w:cs="Consolas" w:eastAsia="Consolas" w:hAnsi="Consolas"/>
                <w:color w:val="1B4332"/>
                <w:sz w:val="19"/>
                <w:szCs w:val="19"/>
              </w:rPr>
              <w:t xml:space="preserve">       -&gt; Inventory Item: IMEI 002  [current shop: A]</w:t>
            </w:r>
          </w:p>
          <w:p>
            <w:pPr>
              <w:spacing w:after="40"/>
            </w:pPr>
            <w:r>
              <w:rPr>
                <w:rFonts w:ascii="Consolas" w:cs="Consolas" w:eastAsia="Consolas" w:hAnsi="Consolas"/>
                <w:color w:val="1B4332"/>
                <w:sz w:val="19"/>
                <w:szCs w:val="19"/>
              </w:rPr>
              <w:t xml:space="preserve">       -&gt; Inventory Item: IMEI 003  [current shop: B]</w:t>
            </w:r>
          </w:p>
          <w:p>
            <w:pPr>
              <w:spacing w:after="40"/>
            </w:pPr>
            <w:r>
              <w:rPr>
                <w:rFonts w:ascii="Consolas" w:cs="Consolas" w:eastAsia="Consolas" w:hAnsi="Consolas"/>
                <w:color w:val="1B4332"/>
                <w:sz w:val="19"/>
                <w:szCs w:val="19"/>
              </w:rPr>
              <w:t xml:space="preserve">Non-serialized SKU (e.g. USB-C-20W): Quantity=50 per shop, no per-unit records needed</w:t>
            </w:r>
          </w:p>
        </w:tc>
      </w:tr>
    </w:tbl>
    <w:p>
      <w:pPr>
        <w:pStyle w:val="ListParagraph"/>
        <w:numPr>
          <w:ilvl w:val="0"/>
          <w:numId w:val="2"/>
        </w:numPr>
        <w:spacing w:after="110" w:line="276"/>
      </w:pPr>
      <w:r>
        <w:rPr>
          <w:b/>
          <w:bCs/>
          <w:color w:val="2E6BE6"/>
        </w:rPr>
        <w:t xml:space="preserve">INV-BR-08 — Business-Wide SKU. </w:t>
      </w:r>
      <w:r>
        <w:t xml:space="preserve">SKUs shall be unique across the business and shall identify the same product configuration regardless of the shop in which its inventory is held.</w:t>
      </w:r>
    </w:p>
    <w:p>
      <w:pPr>
        <w:pStyle w:val="ListParagraph"/>
        <w:numPr>
          <w:ilvl w:val="0"/>
          <w:numId w:val="2"/>
        </w:numPr>
        <w:spacing w:after="110" w:line="276"/>
      </w:pPr>
      <w:r>
        <w:rPr>
          <w:b/>
          <w:bCs/>
          <w:color w:val="2E6BE6"/>
        </w:rPr>
        <w:t xml:space="preserve">INV-BR-09 — Central Product Catalog. </w:t>
      </w:r>
      <w:r>
        <w:t xml:space="preserve">The system shall maintain a centralized business-level product catalog containing product and SKU definitions, while shop-level records shall maintain inventory quantities, physical inventory units, availability, and applicable shop-specific commercial information (e.g., a shop-specific price override) — this is also what makes cross-shop search (BRD ref. CUST-04) possible: a customer searches one catalog, not each shop's catalog separately.</w:t>
      </w:r>
    </w:p>
    <w:p>
      <w:pPr>
        <w:pStyle w:val="ListParagraph"/>
        <w:numPr>
          <w:ilvl w:val="0"/>
          <w:numId w:val="2"/>
        </w:numPr>
        <w:spacing w:after="110" w:line="276"/>
      </w:pPr>
      <w:r>
        <w:rPr>
          <w:b/>
          <w:bCs/>
          <w:color w:val="2E6BE6"/>
        </w:rPr>
        <w:t xml:space="preserve">INV-BR-10 — Inventory Location. </w:t>
      </w:r>
      <w:r>
        <w:t xml:space="preserve">Each inventory item shall maintain its current shop/location, updated by inventory-transfer transactions, while a separate inventory-movement record maintains the historical record of transfers between shops — the current-shop field alone is state, not history.</w:t>
      </w:r>
    </w:p>
    <w:p>
      <w:pPr>
        <w:pStyle w:val="Heading2"/>
        <w:spacing w:after="150" w:before="300"/>
      </w:pPr>
      <w:r>
        <w:rPr>
          <w:b/>
          <w:bCs/>
        </w:rPr>
        <w:t xml:space="preserve">9.2 Inter-Shop Transfers</w:t>
      </w:r>
    </w:p>
    <w:p>
      <w:pPr>
        <w:spacing w:after="160" w:line="276"/>
      </w:pPr>
      <w:r>
        <w:t xml:space="preserve">A transfer moves inventory belonging to a SKU between shops; it never creates a second SKU. For an IMEI-tracked phone this is enforced by a global uniqueness constraint on IMEI (not merely unique-within-shop), and the whole operation — verify the item is transferable, verify it isn't reserved, change its current shop, write the movement record — happens as a single atomic transaction so a failure partway through can never leave a transfer record disagreeing with where the system thinks the item actually is.</w:t>
      </w:r>
    </w:p>
    <w:p>
      <w:pPr>
        <w:pStyle w:val="ListParagraph"/>
        <w:numPr>
          <w:ilvl w:val="0"/>
          <w:numId w:val="2"/>
        </w:numPr>
        <w:spacing w:after="110" w:line="276"/>
      </w:pPr>
      <w:r>
        <w:rPr>
          <w:b/>
          <w:bCs/>
          <w:color w:val="2E6BE6"/>
        </w:rPr>
        <w:t xml:space="preserve">INV-BR-11 — SKU Transfer. </w:t>
      </w:r>
      <w:r>
        <w:t xml:space="preserve">An inter-shop transfer shall move existing inventory associated with a SKU from one shop to another without creating a new SKU or changing the inventory item's product identity.</w:t>
      </w:r>
    </w:p>
    <w:p>
      <w:pPr>
        <w:pStyle w:val="ListParagraph"/>
        <w:numPr>
          <w:ilvl w:val="0"/>
          <w:numId w:val="2"/>
        </w:numPr>
        <w:spacing w:after="110" w:line="276"/>
      </w:pPr>
      <w:r>
        <w:rPr>
          <w:b/>
          <w:bCs/>
          <w:color w:val="2E6BE6"/>
        </w:rPr>
        <w:t xml:space="preserve">INV-BR-12 — IMEI Uniqueness. </w:t>
      </w:r>
      <w:r>
        <w:t xml:space="preserve">IMEI values shall be globally unique within the business and shall remain associated with the same inventory item throughout transfers between shops.</w:t>
      </w:r>
    </w:p>
    <w:p>
      <w:pPr>
        <w:pStyle w:val="ListParagraph"/>
        <w:numPr>
          <w:ilvl w:val="0"/>
          <w:numId w:val="2"/>
        </w:numPr>
        <w:spacing w:after="110" w:line="276"/>
      </w:pPr>
      <w:r>
        <w:rPr>
          <w:b/>
          <w:bCs/>
          <w:color w:val="2E6BE6"/>
        </w:rPr>
        <w:t xml:space="preserve">INV-BR-13 — Transfer History. </w:t>
      </w:r>
      <w:r>
        <w:t xml:space="preserve">Every completed inventory transfer shall generate an auditable movement record containing the inventory item or quantity, source shop, destination shop, initiating staff member, authorization where applicable, timestamp, and transfer status.</w:t>
      </w:r>
    </w:p>
    <w:p>
      <w:pPr>
        <w:pStyle w:val="ListParagraph"/>
        <w:numPr>
          <w:ilvl w:val="0"/>
          <w:numId w:val="2"/>
        </w:numPr>
        <w:spacing w:after="110" w:line="276"/>
      </w:pPr>
      <w:r>
        <w:rPr>
          <w:b/>
          <w:bCs/>
          <w:color w:val="2E6BE6"/>
        </w:rPr>
        <w:t xml:space="preserve">INV-BR-14 — Transfer Restrictions. </w:t>
      </w:r>
      <w:r>
        <w:t xml:space="preserve">The system shall prevent or appropriately restrict the transfer of inventory that is actively reserved (per Section 2.1), allocated to an incomplete transaction, or otherwise unavailable for transfer according to configured business rules.</w:t>
      </w:r>
    </w:p>
    <w:p>
      <w:pPr>
        <w:pStyle w:val="Heading2"/>
        <w:spacing w:after="150" w:before="300"/>
      </w:pPr>
      <w:r>
        <w:rPr>
          <w:b/>
          <w:bCs/>
        </w:rPr>
        <w:t xml:space="preserve">9.3 Available Stock for Allocation</w:t>
      </w:r>
    </w:p>
    <w:p>
      <w:pPr>
        <w:spacing w:after="160" w:line="276"/>
      </w:pPr>
      <w:r>
        <w:t xml:space="preserve">This restates and generalizes the Available-stock principle from Section 3.4 (INV-BR-07): any operation that allocates inventory — not just low-stock alerts, but repairs, sales, and transfers alike — must check Available (On-hand less Reserved), never On-hand alone, or the system will happily promise the same physical unit to two different transactions.</w:t>
      </w:r>
    </w:p>
    <w:p>
      <w:pPr>
        <w:pStyle w:val="ListParagraph"/>
        <w:numPr>
          <w:ilvl w:val="0"/>
          <w:numId w:val="2"/>
        </w:numPr>
        <w:spacing w:after="110" w:line="276"/>
      </w:pPr>
      <w:r>
        <w:rPr>
          <w:b/>
          <w:bCs/>
          <w:color w:val="2E6BE6"/>
        </w:rPr>
        <w:t xml:space="preserve">INV-BR-15 — Available Stock. </w:t>
      </w:r>
      <w:r>
        <w:t xml:space="preserve">Available inventory shall account for active reservations and shall be used when determining whether inventory can be allocated to new sales, repairs, transfers, or other inventory-consuming transactions.</w:t>
      </w:r>
    </w:p>
    <w:p>
      <w:r>
        <w:br w:type="page"/>
      </w:r>
    </w:p>
    <w:p>
      <w:pPr>
        <w:pStyle w:val="Heading1"/>
        <w:spacing w:after="200" w:before="400"/>
      </w:pPr>
      <w:r>
        <w:rPr>
          <w:b/>
          <w:bCs/>
        </w:rPr>
        <w:t xml:space="preserve">10. RBAC — Business Logic</w:t>
      </w:r>
    </w:p>
    <w:p>
      <w:pPr>
        <w:pStyle w:val="Heading2"/>
        <w:spacing w:after="150" w:before="300"/>
      </w:pPr>
      <w:r>
        <w:rPr>
          <w:b/>
          <w:bCs/>
        </w:rPr>
        <w:t xml:space="preserve">10.1 Multiple Roles &amp; Effective Permissions</w:t>
      </w:r>
    </w:p>
    <w:p>
      <w:pPr>
        <w:spacing w:after="160" w:line="276"/>
      </w:pPr>
      <w:r>
        <w:t xml:space="preserve">Permissions are additive across a staff member's assigned roles, not a contest where one role “wins” — a role simply not granting a capability isn't the same as that role denying it, so holding both Cashier and Sales Manager gives a staff member the union of what each role allows. No permission granted by any assigned role means no access; enforcement lives on the server, never only in what the interface happens to show or hide.</w:t>
      </w:r>
    </w:p>
    <w:p>
      <w:pPr>
        <w:pStyle w:val="ListParagraph"/>
        <w:numPr>
          <w:ilvl w:val="0"/>
          <w:numId w:val="2"/>
        </w:numPr>
        <w:spacing w:after="110" w:line="276"/>
      </w:pPr>
      <w:r>
        <w:rPr>
          <w:b/>
          <w:bCs/>
          <w:color w:val="2E6BE6"/>
        </w:rPr>
        <w:t xml:space="preserve">RBAC-BR-01 — Multiple Roles. </w:t>
      </w:r>
      <w:r>
        <w:t xml:space="preserve">The system shall allow a staff member to be assigned multiple roles simultaneously.</w:t>
      </w:r>
    </w:p>
    <w:p>
      <w:pPr>
        <w:pStyle w:val="ListParagraph"/>
        <w:numPr>
          <w:ilvl w:val="0"/>
          <w:numId w:val="2"/>
        </w:numPr>
        <w:spacing w:after="110" w:line="276"/>
      </w:pPr>
      <w:r>
        <w:rPr>
          <w:b/>
          <w:bCs/>
          <w:color w:val="2E6BE6"/>
        </w:rPr>
        <w:t xml:space="preserve">RBAC-BR-02 — Effective Permissions. </w:t>
      </w:r>
      <w:r>
        <w:t xml:space="preserve">A staff member's effective permissions shall be derived from all roles assigned to the staff member. Permissions granted by any assigned role shall be available to the staff member unless an explicit restriction is defined by the applicable authorization policy.</w:t>
      </w:r>
    </w:p>
    <w:p>
      <w:pPr>
        <w:pStyle w:val="ListParagraph"/>
        <w:numPr>
          <w:ilvl w:val="0"/>
          <w:numId w:val="2"/>
        </w:numPr>
        <w:spacing w:after="110" w:line="276"/>
      </w:pPr>
      <w:r>
        <w:rPr>
          <w:b/>
          <w:bCs/>
          <w:color w:val="2E6BE6"/>
        </w:rPr>
        <w:t xml:space="preserve">RBAC-BR-03 — Default Authorization. </w:t>
      </w:r>
      <w:r>
        <w:t xml:space="preserve">A staff member shall not be permitted to perform an action unless the required permission has been granted through an assigned role or other explicitly authorized mechanism.</w:t>
      </w:r>
    </w:p>
    <w:p>
      <w:pPr>
        <w:pStyle w:val="ListParagraph"/>
        <w:numPr>
          <w:ilvl w:val="0"/>
          <w:numId w:val="2"/>
        </w:numPr>
        <w:spacing w:after="110" w:line="276"/>
      </w:pPr>
      <w:r>
        <w:rPr>
          <w:b/>
          <w:bCs/>
          <w:color w:val="2E6BE6"/>
        </w:rPr>
        <w:t xml:space="preserve">RBAC-BR-04 — Role Management. </w:t>
      </w:r>
      <w:r>
        <w:t xml:space="preserve">Authorized administrators shall be able to create, modify, assign, and deactivate roles and their associated permissions according to their own administrative permissions.</w:t>
      </w:r>
    </w:p>
    <w:p>
      <w:pPr>
        <w:pStyle w:val="ListParagraph"/>
        <w:numPr>
          <w:ilvl w:val="0"/>
          <w:numId w:val="2"/>
        </w:numPr>
        <w:spacing w:after="110" w:line="276"/>
      </w:pPr>
      <w:r>
        <w:rPr>
          <w:b/>
          <w:bCs/>
          <w:color w:val="2E6BE6"/>
        </w:rPr>
        <w:t xml:space="preserve">RBAC-BR-05 — Permission Enforcement. </w:t>
      </w:r>
      <w:r>
        <w:t xml:space="preserve">Authorization checks shall be enforced at the server/business-logic level for protected operations. User-interface restrictions shall not constitute the sole mechanism for enforcing permissions.</w:t>
      </w:r>
    </w:p>
    <w:p>
      <w:pPr>
        <w:pStyle w:val="ListParagraph"/>
        <w:numPr>
          <w:ilvl w:val="0"/>
          <w:numId w:val="2"/>
        </w:numPr>
        <w:spacing w:after="110" w:line="276"/>
      </w:pPr>
      <w:r>
        <w:rPr>
          <w:b/>
          <w:bCs/>
          <w:color w:val="2E6BE6"/>
        </w:rPr>
        <w:t xml:space="preserve">RBAC-BR-06 — Permission Extensibility. </w:t>
      </w:r>
      <w:r>
        <w:t xml:space="preserve">The authorization model shall support the addition of new roles and permissions without requiring structural changes to existing business transactions or modules.</w:t>
      </w:r>
    </w:p>
    <w:p>
      <w:pPr>
        <w:pStyle w:val="Heading2"/>
        <w:spacing w:after="150" w:before="300"/>
      </w:pPr>
      <w:r>
        <w:rPr>
          <w:b/>
          <w:bCs/>
        </w:rPr>
        <w:t xml:space="preserve">10.2 Historical Preservation &amp; Deactivation</w:t>
      </w:r>
    </w:p>
    <w:p>
      <w:pPr>
        <w:spacing w:after="160" w:line="276"/>
      </w:pPr>
      <w:r>
        <w:t xml:space="preserve">Roles, rates, and permissions change over time; the historical record of what applied when a past action was taken must not change with them. A sale commissioned at a 5% rate stays a 5% commission in the record even after the rate is later changed to 3%, and deactivating a staff member stops their future access without deleting or altering anything they did while active.</w:t>
      </w:r>
    </w:p>
    <w:p>
      <w:pPr>
        <w:pStyle w:val="ListParagraph"/>
        <w:numPr>
          <w:ilvl w:val="0"/>
          <w:numId w:val="2"/>
        </w:numPr>
        <w:spacing w:after="110" w:line="276"/>
      </w:pPr>
      <w:r>
        <w:rPr>
          <w:b/>
          <w:bCs/>
          <w:color w:val="2E6BE6"/>
        </w:rPr>
        <w:t xml:space="preserve">RBAC-BR-07 — Historical Role Preservation. </w:t>
      </w:r>
      <w:r>
        <w:t xml:space="preserve">Changes to a staff member's role assignments or permissions shall not alter the historical authorization context or records of previously performed transactions and activities.</w:t>
      </w:r>
    </w:p>
    <w:p>
      <w:pPr>
        <w:pStyle w:val="ListParagraph"/>
        <w:numPr>
          <w:ilvl w:val="0"/>
          <w:numId w:val="2"/>
        </w:numPr>
        <w:spacing w:after="110" w:line="276"/>
      </w:pPr>
      <w:r>
        <w:rPr>
          <w:b/>
          <w:bCs/>
          <w:color w:val="2E6BE6"/>
        </w:rPr>
        <w:t xml:space="preserve">RBAC-BR-08 — Staff Deactivation. </w:t>
      </w:r>
      <w:r>
        <w:t xml:space="preserve">Deactivating a staff account shall prevent future access or authorized operations while preserving the staff member's historical transactions, activities, commission records, and audit records.</w:t>
      </w:r>
    </w:p>
    <w:p>
      <w:pPr>
        <w:pStyle w:val="ListParagraph"/>
        <w:numPr>
          <w:ilvl w:val="0"/>
          <w:numId w:val="2"/>
        </w:numPr>
        <w:spacing w:after="110" w:line="276"/>
      </w:pPr>
      <w:r>
        <w:rPr>
          <w:b/>
          <w:bCs/>
          <w:color w:val="2E6BE6"/>
        </w:rPr>
        <w:t xml:space="preserve">RBAC-BR-09 — Assignment History. </w:t>
      </w:r>
      <w:r>
        <w:t xml:space="preserve">The system shall maintain sufficient history of staff role assignments and changes to support identification of the authorization context applicable when historical actions were performed.</w:t>
      </w:r>
    </w:p>
    <w:p>
      <w:r>
        <w:br w:type="page"/>
      </w:r>
    </w:p>
    <w:p>
      <w:pPr>
        <w:pStyle w:val="Heading1"/>
        <w:spacing w:after="200" w:before="400"/>
      </w:pPr>
      <w:r>
        <w:rPr>
          <w:b/>
          <w:bCs/>
        </w:rPr>
        <w:t xml:space="preserve">11. Unified Audit Trail — Business Logic</w:t>
      </w:r>
    </w:p>
    <w:p>
      <w:pPr>
        <w:spacing w:after="160" w:line="276"/>
      </w:pPr>
      <w:r>
        <w:t xml:space="preserve">RBAC-06 (administrative actions) and the BRD's Non-Functional Requirements (financial/stock audit log) were never actually two separate logging systems that needed reconciling — they are two categories of event inside one audit infrastructure. A single unified trail, with typed events (RBAC, Sales, Inventory, Repairs, Finance, ...), makes questions like “who changed this employee's permissions right before they approved this refund” answerable from one place instead of two.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AUDIT LOG</w:t>
            </w:r>
          </w:p>
          <w:p>
            <w:pPr>
              <w:spacing w:after="40"/>
            </w:pPr>
            <w:r>
              <w:rPr>
                <w:rFonts w:ascii="Consolas" w:cs="Consolas" w:eastAsia="Consolas" w:hAnsi="Consolas"/>
                <w:color w:val="1B4332"/>
                <w:sz w:val="19"/>
                <w:szCs w:val="19"/>
              </w:rPr>
              <w:t xml:space="preserve">  |-- Authentication  (login, logout)</w:t>
            </w:r>
          </w:p>
          <w:p>
            <w:pPr>
              <w:spacing w:after="40"/>
            </w:pPr>
            <w:r>
              <w:rPr>
                <w:rFonts w:ascii="Consolas" w:cs="Consolas" w:eastAsia="Consolas" w:hAnsi="Consolas"/>
                <w:color w:val="1B4332"/>
                <w:sz w:val="19"/>
                <w:szCs w:val="19"/>
              </w:rPr>
              <w:t xml:space="preserve">  |-- RBAC            (role created, permission changed, staff deactivated)</w:t>
            </w:r>
          </w:p>
          <w:p>
            <w:pPr>
              <w:spacing w:after="40"/>
            </w:pPr>
            <w:r>
              <w:rPr>
                <w:rFonts w:ascii="Consolas" w:cs="Consolas" w:eastAsia="Consolas" w:hAnsi="Consolas"/>
                <w:color w:val="1B4332"/>
                <w:sz w:val="19"/>
                <w:szCs w:val="19"/>
              </w:rPr>
              <w:t xml:space="preserve">  |-- Sales           (sale created, cancelled, refund approved)</w:t>
            </w:r>
          </w:p>
          <w:p>
            <w:pPr>
              <w:spacing w:after="40"/>
            </w:pPr>
            <w:r>
              <w:rPr>
                <w:rFonts w:ascii="Consolas" w:cs="Consolas" w:eastAsia="Consolas" w:hAnsi="Consolas"/>
                <w:color w:val="1B4332"/>
                <w:sz w:val="19"/>
                <w:szCs w:val="19"/>
              </w:rPr>
              <w:t xml:space="preserve">  |-- Inventory       (stock adjusted, item transferred, reservation released)</w:t>
            </w:r>
          </w:p>
          <w:p>
            <w:pPr>
              <w:spacing w:after="40"/>
            </w:pPr>
            <w:r>
              <w:rPr>
                <w:rFonts w:ascii="Consolas" w:cs="Consolas" w:eastAsia="Consolas" w:hAnsi="Consolas"/>
                <w:color w:val="1B4332"/>
                <w:sz w:val="19"/>
                <w:szCs w:val="19"/>
              </w:rPr>
              <w:t xml:space="preserve">  |-- Repairs         (status changed, technician reassigned, warranty approved)</w:t>
            </w:r>
          </w:p>
          <w:p>
            <w:pPr>
              <w:spacing w:after="40"/>
            </w:pPr>
            <w:r>
              <w:rPr>
                <w:rFonts w:ascii="Consolas" w:cs="Consolas" w:eastAsia="Consolas" w:hAnsi="Consolas"/>
                <w:color w:val="1B4332"/>
                <w:sz w:val="19"/>
                <w:szCs w:val="19"/>
              </w:rPr>
              <w:t xml:space="preserve">  `-- Finance         (payment confirmed, expense created, commission adjusted)</w:t>
            </w:r>
          </w:p>
        </w:tc>
      </w:tr>
    </w:tbl>
    <w:p>
      <w:pPr>
        <w:pStyle w:val="ListParagraph"/>
        <w:numPr>
          <w:ilvl w:val="0"/>
          <w:numId w:val="2"/>
        </w:numPr>
        <w:spacing w:after="110" w:line="276"/>
      </w:pPr>
      <w:r>
        <w:rPr>
          <w:b/>
          <w:bCs/>
          <w:color w:val="2E6BE6"/>
        </w:rPr>
        <w:t xml:space="preserve">AUD-BR-01 — Unified Audit Trail. </w:t>
      </w:r>
      <w:r>
        <w:t xml:space="preserve">The system shall maintain a unified audit trail for administrative, financial, inventory, operational, security, and other configured auditable activities.</w:t>
      </w:r>
    </w:p>
    <w:p>
      <w:pPr>
        <w:pStyle w:val="ListParagraph"/>
        <w:numPr>
          <w:ilvl w:val="0"/>
          <w:numId w:val="2"/>
        </w:numPr>
        <w:spacing w:after="110" w:line="276"/>
      </w:pPr>
      <w:r>
        <w:rPr>
          <w:b/>
          <w:bCs/>
          <w:color w:val="2E6BE6"/>
        </w:rPr>
        <w:t xml:space="preserve">AUD-BR-02 — Event Classification. </w:t>
      </w:r>
      <w:r>
        <w:t xml:space="preserve">Audit events shall be categorized by the type of activity and associated business module or entity, including but not limited to RBAC, Sales, Inventory, Repairs, Payments, Commission, Expenses, and Marketing.</w:t>
      </w:r>
    </w:p>
    <w:p>
      <w:pPr>
        <w:pStyle w:val="ListParagraph"/>
        <w:numPr>
          <w:ilvl w:val="0"/>
          <w:numId w:val="2"/>
        </w:numPr>
        <w:spacing w:after="110" w:line="276"/>
      </w:pPr>
      <w:r>
        <w:rPr>
          <w:b/>
          <w:bCs/>
          <w:color w:val="2E6BE6"/>
        </w:rPr>
        <w:t xml:space="preserve">AUD-BR-03 — Audit Information. </w:t>
      </w:r>
      <w:r>
        <w:t xml:space="preserve">Auditable events shall record sufficient information to identify the actor, action performed, affected entity or transaction, timestamp, and relevant contextual information required to reconstruct the event.</w:t>
      </w:r>
    </w:p>
    <w:p>
      <w:pPr>
        <w:pStyle w:val="ListParagraph"/>
        <w:numPr>
          <w:ilvl w:val="0"/>
          <w:numId w:val="2"/>
        </w:numPr>
        <w:spacing w:after="110" w:line="276"/>
      </w:pPr>
      <w:r>
        <w:rPr>
          <w:b/>
          <w:bCs/>
          <w:color w:val="2E6BE6"/>
        </w:rPr>
        <w:t xml:space="preserve">AUD-BR-04 — State Changes. </w:t>
      </w:r>
      <w:r>
        <w:t xml:space="preserve">Where applicable, audit events shall retain relevant before-and-after values for significant administrative, financial, inventory, configuration, and permission changes.</w:t>
      </w:r>
    </w:p>
    <w:p>
      <w:pPr>
        <w:pStyle w:val="ListParagraph"/>
        <w:numPr>
          <w:ilvl w:val="0"/>
          <w:numId w:val="2"/>
        </w:numPr>
        <w:spacing w:after="110" w:line="276"/>
      </w:pPr>
      <w:r>
        <w:rPr>
          <w:b/>
          <w:bCs/>
          <w:color w:val="2E6BE6"/>
        </w:rPr>
        <w:t xml:space="preserve">AUD-BR-05 — Audit Immutability. </w:t>
      </w:r>
      <w:r>
        <w:t xml:space="preserve">Audit records shall not be modified or deleted through normal application operations. Corrections to previously recorded events shall be represented by subsequent auditable events, never by editing the original.</w:t>
      </w:r>
    </w:p>
    <w:p>
      <w:pPr>
        <w:pStyle w:val="ListParagraph"/>
        <w:numPr>
          <w:ilvl w:val="0"/>
          <w:numId w:val="2"/>
        </w:numPr>
        <w:spacing w:after="110" w:line="276"/>
      </w:pPr>
      <w:r>
        <w:rPr>
          <w:b/>
          <w:bCs/>
          <w:color w:val="2E6BE6"/>
        </w:rPr>
        <w:t xml:space="preserve">AUD-BR-06 — Critical Operation Logging. </w:t>
      </w:r>
      <w:r>
        <w:t xml:space="preserve">Critical financial, inventory, authorization, and administrative operations shall generate corresponding audit events as part of the operation's processing, ideally succeeding or failing together with the business record itself.</w:t>
      </w:r>
    </w:p>
    <w:p>
      <w:r>
        <w:br w:type="page"/>
      </w:r>
    </w:p>
    <w:p>
      <w:pPr>
        <w:pStyle w:val="Heading1"/>
        <w:spacing w:after="200" w:before="400"/>
      </w:pPr>
      <w:r>
        <w:rPr>
          <w:b/>
          <w:bCs/>
        </w:rPr>
        <w:t xml:space="preserve">12. Notifications — Business Logic</w:t>
      </w:r>
    </w:p>
    <w:p>
      <w:pPr>
        <w:pStyle w:val="Heading2"/>
        <w:spacing w:after="150" w:before="300"/>
      </w:pPr>
      <w:r>
        <w:rPr>
          <w:b/>
          <w:bCs/>
        </w:rPr>
        <w:t xml:space="preserve">12.1 Event-Driven Delivery Architecture</w:t>
      </w:r>
    </w:p>
    <w:p>
      <w:pPr>
        <w:spacing w:after="160" w:line="276"/>
      </w:pPr>
      <w:r>
        <w:t xml:space="preserve">A business module never “sends a WhatsApp message” directly — it emits a business event (e.g., REPAIR_COMPLETED), and a separate Notification Engine decides the recipient, channel, and provider from there. This decoupling matters operationally: a repair can complete successfully even if WhatsApp is down, because notification delivery is processed asynchronously and never allowed to roll back the business transaction that triggered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Repair Completed -&gt; Business Event: REPAIR_COMPLETED</w:t>
            </w:r>
          </w:p>
          <w:p>
            <w:pPr>
              <w:spacing w:after="40"/>
            </w:pPr>
            <w:r>
              <w:rPr>
                <w:rFonts w:ascii="Consolas" w:cs="Consolas" w:eastAsia="Consolas" w:hAnsi="Consolas"/>
                <w:color w:val="1B4332"/>
                <w:sz w:val="19"/>
                <w:szCs w:val="19"/>
              </w:rPr>
              <w:t xml:space="preserve">  -&gt; Notification Engine -&gt; recipient + preferences -&gt; channel/provider selected</w:t>
            </w:r>
          </w:p>
          <w:p>
            <w:pPr>
              <w:spacing w:after="40"/>
            </w:pPr>
            <w:r>
              <w:rPr>
                <w:rFonts w:ascii="Consolas" w:cs="Consolas" w:eastAsia="Consolas" w:hAnsi="Consolas"/>
                <w:color w:val="1B4332"/>
                <w:sz w:val="19"/>
                <w:szCs w:val="19"/>
              </w:rPr>
              <w:t xml:space="preserve">     -&gt; WhatsApp Provider A: Attempt 1 FAILED -&gt; Retry -&gt; Attempt 2 FAILED</w:t>
            </w:r>
          </w:p>
          <w:p>
            <w:pPr>
              <w:spacing w:after="40"/>
            </w:pPr>
            <w:r>
              <w:rPr>
                <w:rFonts w:ascii="Consolas" w:cs="Consolas" w:eastAsia="Consolas" w:hAnsi="Consolas"/>
                <w:color w:val="1B4332"/>
                <w:sz w:val="19"/>
                <w:szCs w:val="19"/>
              </w:rPr>
              <w:t xml:space="preserve">        -&gt; Fallback: Email Provider B -&gt; DELIVERED</w:t>
            </w:r>
          </w:p>
          <w:p>
            <w:pPr>
              <w:spacing w:after="40"/>
            </w:pPr>
            <w:r>
              <w:rPr>
                <w:rFonts w:ascii="Consolas" w:cs="Consolas" w:eastAsia="Consolas" w:hAnsi="Consolas"/>
                <w:color w:val="1B4332"/>
                <w:sz w:val="19"/>
                <w:szCs w:val="19"/>
              </w:rPr>
              <w:t xml:space="preserve">  (Repair status remains Completed regardless of notification outcome)</w:t>
            </w:r>
          </w:p>
        </w:tc>
      </w:tr>
    </w:tbl>
    <w:p>
      <w:pPr>
        <w:pStyle w:val="ListParagraph"/>
        <w:numPr>
          <w:ilvl w:val="0"/>
          <w:numId w:val="2"/>
        </w:numPr>
        <w:spacing w:after="110" w:line="276"/>
      </w:pPr>
      <w:r>
        <w:rPr>
          <w:b/>
          <w:bCs/>
          <w:color w:val="2E6BE6"/>
        </w:rPr>
        <w:t xml:space="preserve">NOTIF-BR-01 — Event-Based Notifications. </w:t>
      </w:r>
      <w:r>
        <w:t xml:space="preserve">Business modules shall generate notification events for configured business occurrences rather than directly managing external notification delivery.</w:t>
      </w:r>
    </w:p>
    <w:p>
      <w:pPr>
        <w:pStyle w:val="ListParagraph"/>
        <w:numPr>
          <w:ilvl w:val="0"/>
          <w:numId w:val="2"/>
        </w:numPr>
        <w:spacing w:after="110" w:line="276"/>
      </w:pPr>
      <w:r>
        <w:rPr>
          <w:b/>
          <w:bCs/>
          <w:color w:val="2E6BE6"/>
        </w:rPr>
        <w:t xml:space="preserve">NOTIF-BR-02 — Asynchronous Delivery. </w:t>
      </w:r>
      <w:r>
        <w:t xml:space="preserve">Notification delivery shall be processed independently of the successful completion of the originating business transaction so that failure of an external notification provider does not cause the originating business operation to fail.</w:t>
      </w:r>
    </w:p>
    <w:p>
      <w:pPr>
        <w:pStyle w:val="ListParagraph"/>
        <w:numPr>
          <w:ilvl w:val="0"/>
          <w:numId w:val="2"/>
        </w:numPr>
        <w:spacing w:after="110" w:line="276"/>
      </w:pPr>
      <w:r>
        <w:rPr>
          <w:b/>
          <w:bCs/>
          <w:color w:val="2E6BE6"/>
        </w:rPr>
        <w:t xml:space="preserve">NOTIF-BR-03 — Multi-Channel Delivery. </w:t>
      </w:r>
      <w:r>
        <w:t xml:space="preserve">The system shall support configurable notification channels, including in-application notifications, email, WhatsApp, and optionally SMS or other supported channels.</w:t>
      </w:r>
    </w:p>
    <w:p>
      <w:pPr>
        <w:pStyle w:val="ListParagraph"/>
        <w:numPr>
          <w:ilvl w:val="0"/>
          <w:numId w:val="2"/>
        </w:numPr>
        <w:spacing w:after="110" w:line="276"/>
      </w:pPr>
      <w:r>
        <w:rPr>
          <w:b/>
          <w:bCs/>
          <w:color w:val="2E6BE6"/>
        </w:rPr>
        <w:t xml:space="preserve">NOTIF-BR-04 — Provider Abstraction. </w:t>
      </w:r>
      <w:r>
        <w:t xml:space="preserve">External notification channels shall support one or more configurable providers, allowing providers to be added, removed, prioritized, or replaced without modifying the business logic of modules generating notifications.</w:t>
      </w:r>
    </w:p>
    <w:p>
      <w:pPr>
        <w:pStyle w:val="ListParagraph"/>
        <w:numPr>
          <w:ilvl w:val="0"/>
          <w:numId w:val="2"/>
        </w:numPr>
        <w:spacing w:after="110" w:line="276"/>
      </w:pPr>
      <w:r>
        <w:rPr>
          <w:b/>
          <w:bCs/>
          <w:color w:val="2E6BE6"/>
        </w:rPr>
        <w:t xml:space="preserve">NOTIF-BR-05 — Delivery Attempts. </w:t>
      </w:r>
      <w:r>
        <w:t xml:space="preserve">The system shall maintain a record of notification delivery attempts, including channel, provider, attempt number, timestamp, status, and relevant provider response or error information.</w:t>
      </w:r>
    </w:p>
    <w:p>
      <w:pPr>
        <w:pStyle w:val="Heading2"/>
        <w:spacing w:after="150" w:before="300"/>
      </w:pPr>
      <w:r>
        <w:rPr>
          <w:b/>
          <w:bCs/>
        </w:rPr>
        <w:t xml:space="preserve">12.2 Retry, Failover &amp; Delivery Status</w:t>
      </w:r>
    </w:p>
    <w:p>
      <w:pPr>
        <w:spacing w:after="160" w:line="276"/>
      </w:pPr>
      <w:r>
        <w:t xml:space="preserve">Not every failure should be retried the same way: a temporary provider timeout deserves a retry with increasing delay; an invalid phone number never will succeed no matter how many times it's retried, and should instead go straight to fallback. Delivery status is tracked as reported by the provider rather than assumed — “accepted by the provider” is not the same claim as “delivered to the customer,” and the system doesn't conflate the two.</w:t>
      </w:r>
    </w:p>
    <w:p>
      <w:pPr>
        <w:pStyle w:val="ListParagraph"/>
        <w:numPr>
          <w:ilvl w:val="0"/>
          <w:numId w:val="2"/>
        </w:numPr>
        <w:spacing w:after="110" w:line="276"/>
      </w:pPr>
      <w:r>
        <w:rPr>
          <w:b/>
          <w:bCs/>
          <w:color w:val="2E6BE6"/>
        </w:rPr>
        <w:t xml:space="preserve">NOTIF-BR-06 — Retry Policy. </w:t>
      </w:r>
      <w:r>
        <w:t xml:space="preserve">The system shall support configurable retry policies for recoverable notification failures, including maximum attempts and increasing retry intervals.</w:t>
      </w:r>
    </w:p>
    <w:p>
      <w:pPr>
        <w:pStyle w:val="ListParagraph"/>
        <w:numPr>
          <w:ilvl w:val="0"/>
          <w:numId w:val="2"/>
        </w:numPr>
        <w:spacing w:after="110" w:line="276"/>
      </w:pPr>
      <w:r>
        <w:rPr>
          <w:b/>
          <w:bCs/>
          <w:color w:val="2E6BE6"/>
        </w:rPr>
        <w:t xml:space="preserve">NOTIF-BR-07 — Failure Classification. </w:t>
      </w:r>
      <w:r>
        <w:t xml:space="preserve">Notification failures shall, where supported by the provider, be classified according to their nature — transient, permanent, recipient-related, or provider-related — to determine whether retry or fallback is appropriate.</w:t>
      </w:r>
    </w:p>
    <w:p>
      <w:pPr>
        <w:pStyle w:val="ListParagraph"/>
        <w:numPr>
          <w:ilvl w:val="0"/>
          <w:numId w:val="2"/>
        </w:numPr>
        <w:spacing w:after="110" w:line="276"/>
      </w:pPr>
      <w:r>
        <w:rPr>
          <w:b/>
          <w:bCs/>
          <w:color w:val="2E6BE6"/>
        </w:rPr>
        <w:t xml:space="preserve">NOTIF-BR-08 — Provider Failover. </w:t>
      </w:r>
      <w:r>
        <w:t xml:space="preserve">Where multiple providers are configured for a notification channel, the system shall support provider prioritization and failover when a provider becomes unavailable or experiences an applicable service failure.</w:t>
      </w:r>
    </w:p>
    <w:p>
      <w:pPr>
        <w:pStyle w:val="ListParagraph"/>
        <w:numPr>
          <w:ilvl w:val="0"/>
          <w:numId w:val="2"/>
        </w:numPr>
        <w:spacing w:after="110" w:line="276"/>
      </w:pPr>
      <w:r>
        <w:rPr>
          <w:b/>
          <w:bCs/>
          <w:color w:val="2E6BE6"/>
        </w:rPr>
        <w:t xml:space="preserve">NOTIF-BR-09 — Delivery Status. </w:t>
      </w:r>
      <w:r>
        <w:t xml:space="preserve">The system shall support asynchronous provider delivery-status updates through provider callbacks, webhooks, or equivalent mechanisms where available.</w:t>
      </w:r>
    </w:p>
    <w:p>
      <w:pPr>
        <w:pStyle w:val="ListParagraph"/>
        <w:numPr>
          <w:ilvl w:val="0"/>
          <w:numId w:val="2"/>
        </w:numPr>
        <w:spacing w:after="110" w:line="276"/>
      </w:pPr>
      <w:r>
        <w:rPr>
          <w:b/>
          <w:bCs/>
          <w:color w:val="2E6BE6"/>
        </w:rPr>
        <w:t xml:space="preserve">NOTIF-BR-10 — Delivery Traceability. </w:t>
      </w:r>
      <w:r>
        <w:t xml:space="preserve">Each notification shall be uniquely identifiable and traceable from its originating business event through its delivery attempts and final delivery status.</w:t>
      </w:r>
    </w:p>
    <w:p>
      <w:pPr>
        <w:pStyle w:val="ListParagraph"/>
        <w:numPr>
          <w:ilvl w:val="0"/>
          <w:numId w:val="2"/>
        </w:numPr>
        <w:spacing w:after="110" w:line="276"/>
      </w:pPr>
      <w:r>
        <w:rPr>
          <w:b/>
          <w:bCs/>
          <w:color w:val="2E6BE6"/>
        </w:rPr>
        <w:t xml:space="preserve">NOTIF-BR-11 — Duplicate Prevention. </w:t>
      </w:r>
      <w:r>
        <w:t xml:space="preserve">The notification system shall prevent duplicate delivery resulting from repeated processing of the same notification event or retry operation.</w:t>
      </w:r>
    </w:p>
    <w:p>
      <w:pPr>
        <w:pStyle w:val="ListParagraph"/>
        <w:numPr>
          <w:ilvl w:val="0"/>
          <w:numId w:val="2"/>
        </w:numPr>
        <w:spacing w:after="110" w:line="276"/>
      </w:pPr>
      <w:r>
        <w:rPr>
          <w:b/>
          <w:bCs/>
          <w:color w:val="2E6BE6"/>
        </w:rPr>
        <w:t xml:space="preserve">NOTIF-BR-12 — Exhausted Notifications. </w:t>
      </w:r>
      <w:r>
        <w:t xml:space="preserve">Notifications that remain undelivered after the configured retry and fallback policies have been exhausted shall be marked as failed or exhausted and retained for administrative monitoring or manual intervention.</w:t>
      </w:r>
    </w:p>
    <w:p>
      <w:pPr>
        <w:pStyle w:val="ListParagraph"/>
        <w:numPr>
          <w:ilvl w:val="0"/>
          <w:numId w:val="2"/>
        </w:numPr>
        <w:spacing w:after="110" w:line="276"/>
      </w:pPr>
      <w:r>
        <w:rPr>
          <w:b/>
          <w:bCs/>
          <w:color w:val="2E6BE6"/>
        </w:rPr>
        <w:t xml:space="preserve">NOTIF-BR-13 — Business Transaction Independence. </w:t>
      </w:r>
      <w:r>
        <w:t xml:space="preserve">Failure to deliver a notification shall not automatically reverse or invalidate the business transaction that generated the notification.</w:t>
      </w:r>
    </w:p>
    <w:p>
      <w:pPr>
        <w:pStyle w:val="Heading2"/>
        <w:spacing w:after="150" w:before="300"/>
      </w:pPr>
      <w:r>
        <w:rPr>
          <w:b/>
          <w:bCs/>
        </w:rPr>
        <w:t xml:space="preserve">12.3 Notification Categories &amp; Preferences</w:t>
      </w:r>
    </w:p>
    <w:p>
      <w:pPr>
        <w:spacing w:after="160" w:line="276"/>
      </w:pPr>
      <w:r>
        <w:t xml:space="preserve">A customer disabling WhatsApp notifications generally should never mean they stop being told their repaired phone is ready — that's why transactional notifications (payment due, repair ready, refund status) are distinguished from marketing communications. Customers control which channel carries a transactional notification, not whether it's sent at all; marketing notifications remain fully opt-in/opt-out, independent of transactional preferences.</w:t>
      </w:r>
    </w:p>
    <w:p>
      <w:pPr>
        <w:pStyle w:val="ListParagraph"/>
        <w:numPr>
          <w:ilvl w:val="0"/>
          <w:numId w:val="2"/>
        </w:numPr>
        <w:spacing w:after="110" w:line="276"/>
      </w:pPr>
      <w:r>
        <w:rPr>
          <w:b/>
          <w:bCs/>
          <w:color w:val="2E6BE6"/>
        </w:rPr>
        <w:t xml:space="preserve">NOTIF-BR-14 — Notification Categories. </w:t>
      </w:r>
      <w:r>
        <w:t xml:space="preserve">The system shall classify notifications into appropriate categories, including transactional, operational, security/account, and marketing communications.</w:t>
      </w:r>
    </w:p>
    <w:p>
      <w:pPr>
        <w:pStyle w:val="ListParagraph"/>
        <w:numPr>
          <w:ilvl w:val="0"/>
          <w:numId w:val="2"/>
        </w:numPr>
        <w:spacing w:after="110" w:line="276"/>
      </w:pPr>
      <w:r>
        <w:rPr>
          <w:b/>
          <w:bCs/>
          <w:color w:val="2E6BE6"/>
        </w:rPr>
        <w:t xml:space="preserve">NOTIF-BR-15 — Channel Preferences. </w:t>
      </w:r>
      <w:r>
        <w:t xml:space="preserve">Customers shall be able to configure their preferred notification channels for notification types that permit user-controlled preferences.</w:t>
      </w:r>
    </w:p>
    <w:p>
      <w:pPr>
        <w:pStyle w:val="ListParagraph"/>
        <w:numPr>
          <w:ilvl w:val="0"/>
          <w:numId w:val="2"/>
        </w:numPr>
        <w:spacing w:after="110" w:line="276"/>
      </w:pPr>
      <w:r>
        <w:rPr>
          <w:b/>
          <w:bCs/>
          <w:color w:val="2E6BE6"/>
        </w:rPr>
        <w:t xml:space="preserve">NOTIF-BR-16 — Mandatory Notifications. </w:t>
      </w:r>
      <w:r>
        <w:t xml:space="preserve">Authorized administrators shall be able to designate specified notification types as mandatory. Mandatory notifications shall not be disabled through ordinary customer notification preferences, though the customer may still choose which enabled channel carries them.</w:t>
      </w:r>
    </w:p>
    <w:p>
      <w:pPr>
        <w:pStyle w:val="ListParagraph"/>
        <w:numPr>
          <w:ilvl w:val="0"/>
          <w:numId w:val="2"/>
        </w:numPr>
        <w:spacing w:after="110" w:line="276"/>
      </w:pPr>
      <w:r>
        <w:rPr>
          <w:b/>
          <w:bCs/>
          <w:color w:val="2E6BE6"/>
        </w:rPr>
        <w:t xml:space="preserve">NOTIF-BR-17 — Marketing Preferences. </w:t>
      </w:r>
      <w:r>
        <w:t xml:space="preserve">Marketing and promotional communications shall support customer opt-in/opt-out preferences independently of essential transactional notifications.</w:t>
      </w:r>
    </w:p>
    <w:p>
      <w:pPr>
        <w:pStyle w:val="ListParagraph"/>
        <w:numPr>
          <w:ilvl w:val="0"/>
          <w:numId w:val="2"/>
        </w:numPr>
        <w:spacing w:after="110" w:line="276"/>
      </w:pPr>
      <w:r>
        <w:rPr>
          <w:b/>
          <w:bCs/>
          <w:color w:val="2E6BE6"/>
        </w:rPr>
        <w:t xml:space="preserve">NOTIF-BR-18 — Dashboard Notifications. </w:t>
      </w:r>
      <w:r>
        <w:t xml:space="preserve">Important transactional notifications shall be retained within the customer's dashboard where applicable, independently of the success or failure of external notification channels — the in-app channel is treated as an internal, always-available notification record rather than an external delivery channel subject to the same failure modes.</w:t>
      </w:r>
    </w:p>
    <w:p>
      <w:pPr>
        <w:pStyle w:val="ListParagraph"/>
        <w:numPr>
          <w:ilvl w:val="0"/>
          <w:numId w:val="2"/>
        </w:numPr>
        <w:spacing w:after="110" w:line="276"/>
      </w:pPr>
      <w:r>
        <w:rPr>
          <w:b/>
          <w:bCs/>
          <w:color w:val="2E6BE6"/>
        </w:rPr>
        <w:t xml:space="preserve">NOTIF-BR-19 — Reminder Scheduling. </w:t>
      </w:r>
      <w:r>
        <w:t xml:space="preserve">The system shall support configurable reminder schedules for applicable notifications, including payment reminders, collection reminders (per REP-BR-15/16), and other time-dependent business notifications.</w:t>
      </w:r>
    </w:p>
    <w:p>
      <w:r>
        <w:br w:type="page"/>
      </w:r>
    </w:p>
    <w:p>
      <w:pPr>
        <w:pStyle w:val="Heading1"/>
        <w:spacing w:after="200" w:before="400"/>
      </w:pPr>
      <w:r>
        <w:rPr>
          <w:b/>
          <w:bCs/>
        </w:rPr>
        <w:t xml:space="preserve">13. Expense Tracking &amp; Consolidated Financial Reporting</w:t>
      </w:r>
    </w:p>
    <w:p>
      <w:pPr>
        <w:spacing w:after="160" w:line="276"/>
      </w:pPr>
      <w:r>
        <w:t xml:space="preserve">Sales, Repairs, Inventory, Commission, and Expenses each remain the system of record for their own detail data; a separate Reporting/Financial layer consumes and aggregates across all of them into one P&amp;L-style view, so the shop owner is never left manually reconciling four separate reports by hand — exactly the paper-based problem AfProsPos exists to replace.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Sales | Repairs | Inventory  --+</w:t>
            </w:r>
          </w:p>
          <w:p>
            <w:pPr>
              <w:spacing w:after="40"/>
            </w:pPr>
            <w:r>
              <w:rPr>
                <w:rFonts w:ascii="Consolas" w:cs="Consolas" w:eastAsia="Consolas" w:hAnsi="Consolas"/>
                <w:color w:val="1B4332"/>
                <w:sz w:val="19"/>
                <w:szCs w:val="19"/>
              </w:rPr>
              <w:t xml:space="preserve">                               +--&gt; Payments --+</w:t>
            </w:r>
          </w:p>
          <w:p>
            <w:pPr>
              <w:spacing w:after="40"/>
            </w:pPr>
            <w:r>
              <w:rPr>
                <w:rFonts w:ascii="Consolas" w:cs="Consolas" w:eastAsia="Consolas" w:hAnsi="Consolas"/>
                <w:color w:val="1B4332"/>
                <w:sz w:val="19"/>
                <w:szCs w:val="19"/>
              </w:rPr>
              <w:t xml:space="preserve">                                                +--&gt; Commissions --+</w:t>
            </w:r>
          </w:p>
          <w:p>
            <w:pPr>
              <w:spacing w:after="40"/>
            </w:pPr>
            <w:r>
              <w:rPr>
                <w:rFonts w:ascii="Consolas" w:cs="Consolas" w:eastAsia="Consolas" w:hAnsi="Consolas"/>
                <w:color w:val="1B4332"/>
                <w:sz w:val="19"/>
                <w:szCs w:val="19"/>
              </w:rPr>
              <w:t xml:space="preserve">                                                                   +--&gt; Expenses --+</w:t>
            </w:r>
          </w:p>
          <w:p>
            <w:pPr>
              <w:spacing w:after="40"/>
            </w:pPr>
            <w:r>
              <w:rPr>
                <w:rFonts w:ascii="Consolas" w:cs="Consolas" w:eastAsia="Consolas" w:hAnsi="Consolas"/>
                <w:color w:val="1B4332"/>
                <w:sz w:val="19"/>
                <w:szCs w:val="19"/>
              </w:rPr>
              <w:t xml:space="preserve">                                                                                    v</w:t>
            </w:r>
          </w:p>
          <w:p>
            <w:pPr>
              <w:spacing w:after="40"/>
            </w:pPr>
            <w:r>
              <w:rPr>
                <w:rFonts w:ascii="Consolas" w:cs="Consolas" w:eastAsia="Consolas" w:hAnsi="Consolas"/>
                <w:color w:val="1B4332"/>
                <w:sz w:val="19"/>
                <w:szCs w:val="19"/>
              </w:rPr>
              <w:t xml:space="preserve">                                              REPORTING / FINANCIAL (business-wide + per-shop)</w:t>
            </w:r>
          </w:p>
        </w:tc>
      </w:tr>
    </w:tbl>
    <w:p>
      <w:pPr>
        <w:pStyle w:val="ListParagraph"/>
        <w:numPr>
          <w:ilvl w:val="0"/>
          <w:numId w:val="2"/>
        </w:numPr>
        <w:spacing w:after="110" w:line="276"/>
      </w:pPr>
      <w:r>
        <w:rPr>
          <w:b/>
          <w:bCs/>
          <w:color w:val="2E6BE6"/>
        </w:rPr>
        <w:t xml:space="preserve">FIN-BR-01 — Consolidated Reporting. </w:t>
      </w:r>
      <w:r>
        <w:t xml:space="preserve">The system shall provide a consolidated reporting layer through which sales, repair, inventory, payment, commission, expense, refund, and other relevant operational data can be analyzed without requiring manual reconciliation of separate module reports.</w:t>
      </w:r>
    </w:p>
    <w:p>
      <w:pPr>
        <w:pStyle w:val="ListParagraph"/>
        <w:numPr>
          <w:ilvl w:val="0"/>
          <w:numId w:val="2"/>
        </w:numPr>
        <w:spacing w:after="110" w:line="276"/>
      </w:pPr>
      <w:r>
        <w:rPr>
          <w:b/>
          <w:bCs/>
          <w:color w:val="2E6BE6"/>
        </w:rPr>
        <w:t xml:space="preserve">FIN-BR-02 — Source Ownership. </w:t>
      </w:r>
      <w:r>
        <w:t xml:space="preserve">Each operational module shall remain the authoritative source for the data it generates, while the Reporting and Financial module shall consume and aggregate authorized data from those sources for reporting purposes.</w:t>
      </w:r>
    </w:p>
    <w:p>
      <w:pPr>
        <w:pStyle w:val="ListParagraph"/>
        <w:numPr>
          <w:ilvl w:val="0"/>
          <w:numId w:val="2"/>
        </w:numPr>
        <w:spacing w:after="110" w:line="276"/>
      </w:pPr>
      <w:r>
        <w:rPr>
          <w:b/>
          <w:bCs/>
          <w:color w:val="2E6BE6"/>
        </w:rPr>
        <w:t xml:space="preserve">FIN-BR-03 — Financial Distinction. </w:t>
      </w:r>
      <w:r>
        <w:t xml:space="preserve">The system shall distinguish revenue, payments received, outstanding receivables, inventory costs, operating expenses, commissions, refunds, and other relevant financial measures rather than treating them as a single monetary value.</w:t>
      </w:r>
    </w:p>
    <w:p>
      <w:pPr>
        <w:pStyle w:val="ListParagraph"/>
        <w:numPr>
          <w:ilvl w:val="0"/>
          <w:numId w:val="2"/>
        </w:numPr>
        <w:spacing w:after="110" w:line="276"/>
      </w:pPr>
      <w:r>
        <w:rPr>
          <w:b/>
          <w:bCs/>
          <w:color w:val="2E6BE6"/>
        </w:rPr>
        <w:t xml:space="preserve">FIN-BR-04 — Profitability. </w:t>
      </w:r>
      <w:r>
        <w:t xml:space="preserve">The system shall support calculation and presentation of profitability using applicable revenue, cost of goods sold, repair costs, commissions, refunds, and operating expenses according to configured business rules.</w:t>
      </w:r>
    </w:p>
    <w:p>
      <w:pPr>
        <w:pStyle w:val="ListParagraph"/>
        <w:numPr>
          <w:ilvl w:val="0"/>
          <w:numId w:val="2"/>
        </w:numPr>
        <w:spacing w:after="110" w:line="276"/>
      </w:pPr>
      <w:r>
        <w:rPr>
          <w:b/>
          <w:bCs/>
          <w:color w:val="2E6BE6"/>
        </w:rPr>
        <w:t xml:space="preserve">FIN-BR-05 — Multi-Shop Reporting. </w:t>
      </w:r>
      <w:r>
        <w:t xml:space="preserve">The system shall support financial and operational reporting at both business-wide and individual-shop levels, with transactions associated with their applicable shop or business-level scope.</w:t>
      </w:r>
    </w:p>
    <w:p>
      <w:pPr>
        <w:pStyle w:val="ListParagraph"/>
        <w:numPr>
          <w:ilvl w:val="0"/>
          <w:numId w:val="2"/>
        </w:numPr>
        <w:spacing w:after="110" w:line="276"/>
      </w:pPr>
      <w:r>
        <w:rPr>
          <w:b/>
          <w:bCs/>
          <w:color w:val="2E6BE6"/>
        </w:rPr>
        <w:t xml:space="preserve">FIN-BR-06 — Shared Expenses. </w:t>
      </w:r>
      <w:r>
        <w:t xml:space="preserve">The system shall support expenses that apply to an individual shop as well as expenses that apply to the business as a whole. Where required, authorized users may allocate shared expenses to applicable shops according to configured or manually specified allocation rules.</w:t>
      </w:r>
    </w:p>
    <w:p>
      <w:pPr>
        <w:pStyle w:val="ListParagraph"/>
        <w:numPr>
          <w:ilvl w:val="0"/>
          <w:numId w:val="2"/>
        </w:numPr>
        <w:spacing w:after="110" w:line="276"/>
      </w:pPr>
      <w:r>
        <w:rPr>
          <w:b/>
          <w:bCs/>
          <w:color w:val="2E6BE6"/>
        </w:rPr>
        <w:t xml:space="preserve">FIN-BR-07 — Report Traceability. </w:t>
      </w:r>
      <w:r>
        <w:t xml:space="preserve">Financial and operational report figures shall be traceable to the underlying transactions and records from which they were derived.</w:t>
      </w:r>
    </w:p>
    <w:p>
      <w:pPr>
        <w:pStyle w:val="ListParagraph"/>
        <w:numPr>
          <w:ilvl w:val="0"/>
          <w:numId w:val="2"/>
        </w:numPr>
        <w:spacing w:after="110" w:line="276"/>
      </w:pPr>
      <w:r>
        <w:rPr>
          <w:b/>
          <w:bCs/>
          <w:color w:val="2E6BE6"/>
        </w:rPr>
        <w:t xml:space="preserve">FIN-BR-08 — Historical Integrity. </w:t>
      </w:r>
      <w:r>
        <w:t xml:space="preserve">Changes to operational records, commission policies, prices, expenses, refunds, or other business configurations shall not silently alter historical financial records. Corrections shall be represented through appropriate adjustment or reversal records.</w:t>
      </w:r>
    </w:p>
    <w:p>
      <w:r>
        <w:br w:type="page"/>
      </w:r>
    </w:p>
    <w:p>
      <w:pPr>
        <w:pStyle w:val="Heading1"/>
        <w:spacing w:after="200" w:before="400"/>
      </w:pPr>
      <w:r>
        <w:rPr>
          <w:b/>
          <w:bCs/>
        </w:rPr>
        <w:t xml:space="preserve">14. Offline &amp; Connectivity — Business Logic</w:t>
      </w:r>
    </w:p>
    <w:p>
      <w:pPr>
        <w:spacing w:after="160" w:line="276"/>
      </w:pPr>
      <w:r>
        <w:t xml:space="preserve">AfProsPos does not promise the entire system works offline — it promises controlled offline-first operation: cash sales and appropriate repair-workflow updates keep working during an outage, while operations that depend on centrally shared, financially risky state (shared inventory reservations, bank-transfer verification, refunds, inter-shop transfers) are restricted until connectivity returns.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INTERNET LOST</w:t>
            </w:r>
          </w:p>
          <w:p>
            <w:pPr>
              <w:spacing w:after="40"/>
            </w:pPr>
            <w:r>
              <w:rPr>
                <w:rFonts w:ascii="Consolas" w:cs="Consolas" w:eastAsia="Consolas" w:hAnsi="Consolas"/>
                <w:color w:val="1B4332"/>
                <w:sz w:val="19"/>
                <w:szCs w:val="19"/>
              </w:rPr>
              <w:t xml:space="preserve">  |-- SAFE OFFLINE (cash sale, repair diagnosis notes, etc.)</w:t>
            </w:r>
          </w:p>
          <w:p>
            <w:pPr>
              <w:spacing w:after="40"/>
            </w:pPr>
            <w:r>
              <w:rPr>
                <w:rFonts w:ascii="Consolas" w:cs="Consolas" w:eastAsia="Consolas" w:hAnsi="Consolas"/>
                <w:color w:val="1B4332"/>
                <w:sz w:val="19"/>
                <w:szCs w:val="19"/>
              </w:rPr>
              <w:t xml:space="preserve">  |     -&gt; committed to local DB -&gt; queued in Sync Outbox</w:t>
            </w:r>
          </w:p>
          <w:p>
            <w:pPr>
              <w:spacing w:after="40"/>
            </w:pPr>
            <w:r>
              <w:rPr>
                <w:rFonts w:ascii="Consolas" w:cs="Consolas" w:eastAsia="Consolas" w:hAnsi="Consolas"/>
                <w:color w:val="1B4332"/>
                <w:sz w:val="19"/>
                <w:szCs w:val="19"/>
              </w:rPr>
              <w:t xml:space="preserve">  `-- NOT SAFE OFFLINE (shared inventory reservation, bank-transfer confirm, refund, transfer)</w:t>
            </w:r>
          </w:p>
          <w:p>
            <w:pPr>
              <w:spacing w:after="40"/>
            </w:pPr>
            <w:r>
              <w:rPr>
                <w:rFonts w:ascii="Consolas" w:cs="Consolas" w:eastAsia="Consolas" w:hAnsi="Consolas"/>
                <w:color w:val="1B4332"/>
                <w:sz w:val="19"/>
                <w:szCs w:val="19"/>
              </w:rPr>
              <w:t xml:space="preserve">        -&gt; prevented or queued-but-not-confirmed until connectivity returns</w:t>
            </w:r>
          </w:p>
          <w:p>
            <w:pPr>
              <w:spacing w:after="40"/>
            </w:pPr>
            <w:r>
              <w:rPr>
                <w:rFonts w:ascii="Consolas" w:cs="Consolas" w:eastAsia="Consolas" w:hAnsi="Consolas"/>
                <w:color w:val="1B4332"/>
                <w:sz w:val="19"/>
                <w:szCs w:val="19"/>
              </w:rPr>
              <w:t xml:space="preserve"/>
            </w:r>
          </w:p>
          <w:p>
            <w:pPr>
              <w:spacing w:after="40"/>
            </w:pPr>
            <w:r>
              <w:rPr>
                <w:rFonts w:ascii="Consolas" w:cs="Consolas" w:eastAsia="Consolas" w:hAnsi="Consolas"/>
                <w:color w:val="1B4332"/>
                <w:sz w:val="19"/>
                <w:szCs w:val="19"/>
              </w:rPr>
              <w:t xml:space="preserve">Internet returns -&gt; Sync Outbox -&gt; Synchronizing -&gt; Success | Conflict (flagged for review)</w:t>
            </w:r>
          </w:p>
        </w:tc>
      </w:tr>
    </w:tbl>
    <w:p>
      <w:pPr>
        <w:pStyle w:val="ListParagraph"/>
        <w:numPr>
          <w:ilvl w:val="0"/>
          <w:numId w:val="2"/>
        </w:numPr>
        <w:spacing w:after="110" w:line="276"/>
      </w:pPr>
      <w:r>
        <w:rPr>
          <w:b/>
          <w:bCs/>
          <w:color w:val="2E6BE6"/>
        </w:rPr>
        <w:t xml:space="preserve">OFF-BR-01 — Offline Operation. </w:t>
      </w:r>
      <w:r>
        <w:t xml:space="preserve">The system shall support controlled offline operation for business processes designated as safe for offline execution, allowing eligible transactions to be recorded locally when connectivity to the central system is unavailable.</w:t>
      </w:r>
    </w:p>
    <w:p>
      <w:pPr>
        <w:pStyle w:val="ListParagraph"/>
        <w:numPr>
          <w:ilvl w:val="0"/>
          <w:numId w:val="2"/>
        </w:numPr>
        <w:spacing w:after="110" w:line="276"/>
      </w:pPr>
      <w:r>
        <w:rPr>
          <w:b/>
          <w:bCs/>
          <w:color w:val="2E6BE6"/>
        </w:rPr>
        <w:t xml:space="preserve">OFF-BR-02 — Offline Policy. </w:t>
      </w:r>
      <w:r>
        <w:t xml:space="preserve">Authorized administrators shall be able to configure which operations and payment methods may be performed while offline.</w:t>
      </w:r>
    </w:p>
    <w:p>
      <w:pPr>
        <w:pStyle w:val="ListParagraph"/>
        <w:numPr>
          <w:ilvl w:val="0"/>
          <w:numId w:val="2"/>
        </w:numPr>
        <w:spacing w:after="110" w:line="276"/>
      </w:pPr>
      <w:r>
        <w:rPr>
          <w:b/>
          <w:bCs/>
          <w:color w:val="2E6BE6"/>
        </w:rPr>
        <w:t xml:space="preserve">OFF-BR-03 — Local Transaction Integrity. </w:t>
      </w:r>
      <w:r>
        <w:t xml:space="preserve">Eligible offline transactions shall be committed atomically to local storage before being placed into the synchronization queue, ensuring that incomplete transactions are not treated as completed transactions.</w:t>
      </w:r>
    </w:p>
    <w:p>
      <w:pPr>
        <w:pStyle w:val="ListParagraph"/>
        <w:numPr>
          <w:ilvl w:val="0"/>
          <w:numId w:val="2"/>
        </w:numPr>
        <w:spacing w:after="110" w:line="276"/>
      </w:pPr>
      <w:r>
        <w:rPr>
          <w:b/>
          <w:bCs/>
          <w:color w:val="2E6BE6"/>
        </w:rPr>
        <w:t xml:space="preserve">OFF-BR-04 — Synchronization Queue. </w:t>
      </w:r>
      <w:r>
        <w:t xml:space="preserve">Offline transactions and applicable business events shall be placed into a persistent synchronization queue and automatically synchronized when connectivity is restored.</w:t>
      </w:r>
    </w:p>
    <w:p>
      <w:pPr>
        <w:pStyle w:val="ListParagraph"/>
        <w:numPr>
          <w:ilvl w:val="0"/>
          <w:numId w:val="2"/>
        </w:numPr>
        <w:spacing w:after="110" w:line="276"/>
      </w:pPr>
      <w:r>
        <w:rPr>
          <w:b/>
          <w:bCs/>
          <w:color w:val="2E6BE6"/>
        </w:rPr>
        <w:t xml:space="preserve">OFF-BR-05 — Idempotent Synchronization. </w:t>
      </w:r>
      <w:r>
        <w:t xml:space="preserve">Synchronization requests shall use stable unique transaction identifiers or equivalent idempotency mechanisms to prevent duplicate business effects when requests are retried following uncertain network responses.</w:t>
      </w:r>
    </w:p>
    <w:p>
      <w:pPr>
        <w:pStyle w:val="ListParagraph"/>
        <w:numPr>
          <w:ilvl w:val="0"/>
          <w:numId w:val="2"/>
        </w:numPr>
        <w:spacing w:after="110" w:line="276"/>
      </w:pPr>
      <w:r>
        <w:rPr>
          <w:b/>
          <w:bCs/>
          <w:color w:val="2E6BE6"/>
        </w:rPr>
        <w:t xml:space="preserve">OFF-BR-06 — Synchronization Status. </w:t>
      </w:r>
      <w:r>
        <w:t xml:space="preserve">The system shall provide synchronization states such as pending, synchronizing, synchronized, failed, and conflict requiring review.</w:t>
      </w:r>
    </w:p>
    <w:p>
      <w:pPr>
        <w:pStyle w:val="ListParagraph"/>
        <w:numPr>
          <w:ilvl w:val="0"/>
          <w:numId w:val="2"/>
        </w:numPr>
        <w:spacing w:after="110" w:line="276"/>
      </w:pPr>
      <w:r>
        <w:rPr>
          <w:b/>
          <w:bCs/>
          <w:color w:val="2E6BE6"/>
        </w:rPr>
        <w:t xml:space="preserve">OFF-BR-07 — Conflict Detection. </w:t>
      </w:r>
      <w:r>
        <w:t xml:space="preserve">The system shall detect conflicts arising when offline activity produces a state that is incompatible with the current centralized business state, particularly for inventory, reservations, payments, and other financially significant resources.</w:t>
      </w:r>
    </w:p>
    <w:p>
      <w:pPr>
        <w:pStyle w:val="ListParagraph"/>
        <w:numPr>
          <w:ilvl w:val="0"/>
          <w:numId w:val="2"/>
        </w:numPr>
        <w:spacing w:after="110" w:line="276"/>
      </w:pPr>
      <w:r>
        <w:rPr>
          <w:b/>
          <w:bCs/>
          <w:color w:val="2E6BE6"/>
        </w:rPr>
        <w:t xml:space="preserve">OFF-BR-08 — Conflict Preservation. </w:t>
      </w:r>
      <w:r>
        <w:t xml:space="preserve">Conflicting transactions shall not be silently discarded or overwritten. The original transactions shall remain traceable and the conflict shall be presented for appropriate resolution according to business policy.</w:t>
      </w:r>
    </w:p>
    <w:p>
      <w:pPr>
        <w:pStyle w:val="ListParagraph"/>
        <w:numPr>
          <w:ilvl w:val="0"/>
          <w:numId w:val="2"/>
        </w:numPr>
        <w:spacing w:after="110" w:line="276"/>
      </w:pPr>
      <w:r>
        <w:rPr>
          <w:b/>
          <w:bCs/>
          <w:color w:val="2E6BE6"/>
        </w:rPr>
        <w:t xml:space="preserve">OFF-BR-09 — Payment Restrictions. </w:t>
      </w:r>
      <w:r>
        <w:t xml:space="preserve">Payment methods requiring real-time external verification shall not be treated as confirmed while offline unless the relevant payment provider explicitly supports an authorized offline transaction mechanism.</w:t>
      </w:r>
    </w:p>
    <w:p>
      <w:pPr>
        <w:pStyle w:val="ListParagraph"/>
        <w:numPr>
          <w:ilvl w:val="0"/>
          <w:numId w:val="2"/>
        </w:numPr>
        <w:spacing w:after="110" w:line="276"/>
      </w:pPr>
      <w:r>
        <w:rPr>
          <w:b/>
          <w:bCs/>
          <w:color w:val="2E6BE6"/>
        </w:rPr>
        <w:t xml:space="preserve">OFF-BR-10 — Inventory Restrictions. </w:t>
      </w:r>
      <w:r>
        <w:t xml:space="preserve">Operations involving shared or centrally controlled inventory resources shall be subject to additional offline restrictions where stale inventory information could result in duplicate allocation, overselling, or incorrect stock state.</w:t>
      </w:r>
    </w:p>
    <w:p>
      <w:pPr>
        <w:pStyle w:val="ListParagraph"/>
        <w:numPr>
          <w:ilvl w:val="0"/>
          <w:numId w:val="2"/>
        </w:numPr>
        <w:spacing w:after="110" w:line="276"/>
      </w:pPr>
      <w:r>
        <w:rPr>
          <w:b/>
          <w:bCs/>
          <w:color w:val="2E6BE6"/>
        </w:rPr>
        <w:t xml:space="preserve">OFF-BR-11 — Data Freshness. </w:t>
      </w:r>
      <w:r>
        <w:t xml:space="preserve">Offline-capable interfaces shall indicate the current connectivity state and, where applicable, the timestamp of the most recent successful synchronization.</w:t>
      </w:r>
    </w:p>
    <w:p>
      <w:pPr>
        <w:pStyle w:val="ListParagraph"/>
        <w:numPr>
          <w:ilvl w:val="0"/>
          <w:numId w:val="2"/>
        </w:numPr>
        <w:spacing w:after="110" w:line="276"/>
      </w:pPr>
      <w:r>
        <w:rPr>
          <w:b/>
          <w:bCs/>
          <w:color w:val="2E6BE6"/>
        </w:rPr>
        <w:t xml:space="preserve">OFF-BR-12 — Reporting During Offline Operation. </w:t>
      </w:r>
      <w:r>
        <w:t xml:space="preserve">Reports and dashboards operating from locally cached data shall distinguish synchronized information from locally recorded but unsynchronized information.</w:t>
      </w:r>
    </w:p>
    <w:p>
      <w:pPr>
        <w:pStyle w:val="ListParagraph"/>
        <w:numPr>
          <w:ilvl w:val="0"/>
          <w:numId w:val="2"/>
        </w:numPr>
        <w:spacing w:after="110" w:line="276"/>
      </w:pPr>
      <w:r>
        <w:rPr>
          <w:b/>
          <w:bCs/>
          <w:color w:val="2E6BE6"/>
        </w:rPr>
        <w:t xml:space="preserve">OFF-BR-13 — Business Transaction Independence. </w:t>
      </w:r>
      <w:r>
        <w:t xml:space="preserve">Temporary loss of connectivity shall not invalidate an eligible transaction that has already been successfully committed locally.</w:t>
      </w:r>
    </w:p>
    <w:p>
      <w:r>
        <w:br w:type="page"/>
      </w:r>
    </w:p>
    <w:p>
      <w:pPr>
        <w:pStyle w:val="Heading1"/>
        <w:spacing w:after="200" w:before="400"/>
      </w:pPr>
      <w:r>
        <w:rPr>
          <w:b/>
          <w:bCs/>
        </w:rPr>
        <w:t xml:space="preserve">15. Data Protection &amp; Privacy — Business Logic</w:t>
      </w:r>
    </w:p>
    <w:p>
      <w:pPr>
        <w:spacing w:after="160" w:line="276"/>
      </w:pPr>
      <w:r>
        <w:t xml:space="preserve">Nigeria's Data Protection Act gives customers rights to access, correct, delete, and object to processing of their personal data — but erasure is not absolute where the business has another lawful basis, such as a legal or financial retention obligation. The governing principle is to delete the person's unnecessary personal data, never the business's history: a sale record can be de-identified, but it isn't deleted just because the customer who made it asked to be forgotten.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61" w:sz="4"/>
              <w:left w:val="single" w:color="0E7C61" w:sz="4"/>
              <w:bottom w:val="single" w:color="0E7C61" w:sz="4"/>
              <w:right w:val="single" w:color="0E7C61" w:sz="4"/>
            </w:tcBorders>
            <w:shd w:fill="EAF7F2" w:val="clear"/>
            <w:tcMar>
              <w:top w:type="dxa" w:w="160"/>
              <w:left w:type="dxa" w:w="220"/>
              <w:bottom w:type="dxa" w:w="160"/>
              <w:right w:type="dxa" w:w="220"/>
            </w:tcMar>
          </w:tcPr>
          <w:p>
            <w:pPr>
              <w:spacing w:after="40"/>
            </w:pPr>
            <w:r>
              <w:rPr>
                <w:rFonts w:ascii="Consolas" w:cs="Consolas" w:eastAsia="Consolas" w:hAnsi="Consolas"/>
                <w:color w:val="1B4332"/>
                <w:sz w:val="19"/>
                <w:szCs w:val="19"/>
              </w:rPr>
              <w:t xml:space="preserve">Customer Data</w:t>
            </w:r>
          </w:p>
          <w:p>
            <w:pPr>
              <w:spacing w:after="40"/>
            </w:pPr>
            <w:r>
              <w:rPr>
                <w:rFonts w:ascii="Consolas" w:cs="Consolas" w:eastAsia="Consolas" w:hAnsi="Consolas"/>
                <w:color w:val="1B4332"/>
                <w:sz w:val="19"/>
                <w:szCs w:val="19"/>
              </w:rPr>
              <w:t xml:space="preserve">  |-- Profile Data       -&gt; can be corrected/erased on request</w:t>
            </w:r>
          </w:p>
          <w:p>
            <w:pPr>
              <w:spacing w:after="40"/>
            </w:pPr>
            <w:r>
              <w:rPr>
                <w:rFonts w:ascii="Consolas" w:cs="Consolas" w:eastAsia="Consolas" w:hAnsi="Consolas"/>
                <w:color w:val="1B4332"/>
                <w:sz w:val="19"/>
                <w:szCs w:val="19"/>
              </w:rPr>
              <w:t xml:space="preserve">  |-- Transactional Data -&gt; retained per legal/business retention policy</w:t>
            </w:r>
          </w:p>
          <w:p>
            <w:pPr>
              <w:spacing w:after="40"/>
            </w:pPr>
            <w:r>
              <w:rPr>
                <w:rFonts w:ascii="Consolas" w:cs="Consolas" w:eastAsia="Consolas" w:hAnsi="Consolas"/>
                <w:color w:val="1B4332"/>
                <w:sz w:val="19"/>
                <w:szCs w:val="19"/>
              </w:rPr>
              <w:t xml:space="preserve">  |                         (personal identifiers anonymised; the record itself stays)</w:t>
            </w:r>
          </w:p>
          <w:p>
            <w:pPr>
              <w:spacing w:after="40"/>
            </w:pPr>
            <w:r>
              <w:rPr>
                <w:rFonts w:ascii="Consolas" w:cs="Consolas" w:eastAsia="Consolas" w:hAnsi="Consolas"/>
                <w:color w:val="1B4332"/>
                <w:sz w:val="19"/>
                <w:szCs w:val="19"/>
              </w:rPr>
              <w:t xml:space="preserve">  `-- Marketing Data     -&gt; opt-out honored independently of transactional retention</w:t>
            </w:r>
          </w:p>
        </w:tc>
      </w:tr>
    </w:tbl>
    <w:p>
      <w:pPr>
        <w:pStyle w:val="ListParagraph"/>
        <w:numPr>
          <w:ilvl w:val="0"/>
          <w:numId w:val="2"/>
        </w:numPr>
        <w:spacing w:after="110" w:line="276"/>
      </w:pPr>
      <w:r>
        <w:rPr>
          <w:b/>
          <w:bCs/>
          <w:color w:val="2E6BE6"/>
        </w:rPr>
        <w:t xml:space="preserve">DATA-BR-01 — Data Subject Requests. </w:t>
      </w:r>
      <w:r>
        <w:t xml:space="preserve">The system shall support controlled processing of customer requests relating to access, correction, deletion, or restriction of personal data, subject to applicable business and legal requirements.</w:t>
      </w:r>
    </w:p>
    <w:p>
      <w:pPr>
        <w:pStyle w:val="ListParagraph"/>
        <w:numPr>
          <w:ilvl w:val="0"/>
          <w:numId w:val="2"/>
        </w:numPr>
        <w:spacing w:after="110" w:line="276"/>
      </w:pPr>
      <w:r>
        <w:rPr>
          <w:b/>
          <w:bCs/>
          <w:color w:val="2E6BE6"/>
        </w:rPr>
        <w:t xml:space="preserve">DATA-BR-02 — Request Management. </w:t>
      </w:r>
      <w:r>
        <w:t xml:space="preserve">Data subject requests shall be recorded with their type, date, status, requester, processing decision, and relevant administrative actions.</w:t>
      </w:r>
    </w:p>
    <w:p>
      <w:pPr>
        <w:pStyle w:val="ListParagraph"/>
        <w:numPr>
          <w:ilvl w:val="0"/>
          <w:numId w:val="2"/>
        </w:numPr>
        <w:spacing w:after="110" w:line="276"/>
      </w:pPr>
      <w:r>
        <w:rPr>
          <w:b/>
          <w:bCs/>
          <w:color w:val="2E6BE6"/>
        </w:rPr>
        <w:t xml:space="preserve">DATA-BR-03 — Controlled Erasure. </w:t>
      </w:r>
      <w:r>
        <w:t xml:space="preserve">Approved data-erasure requests shall remove or anonymise eligible personal data while retaining information that the business is required or otherwise lawfully permitted to retain.</w:t>
      </w:r>
    </w:p>
    <w:p>
      <w:pPr>
        <w:pStyle w:val="ListParagraph"/>
        <w:numPr>
          <w:ilvl w:val="0"/>
          <w:numId w:val="2"/>
        </w:numPr>
        <w:spacing w:after="110" w:line="276"/>
      </w:pPr>
      <w:r>
        <w:rPr>
          <w:b/>
          <w:bCs/>
          <w:color w:val="2E6BE6"/>
        </w:rPr>
        <w:t xml:space="preserve">DATA-BR-04 — Historical Record Integrity. </w:t>
      </w:r>
      <w:r>
        <w:t xml:space="preserve">Personal-data deletion or anonymisation shall not silently alter or invalidate historical sales, payments, inventory, repairs, commissions, refunds, financial reports, or audit records that must remain intact.</w:t>
      </w:r>
    </w:p>
    <w:p>
      <w:pPr>
        <w:pStyle w:val="ListParagraph"/>
        <w:numPr>
          <w:ilvl w:val="0"/>
          <w:numId w:val="2"/>
        </w:numPr>
        <w:spacing w:after="110" w:line="276"/>
      </w:pPr>
      <w:r>
        <w:rPr>
          <w:b/>
          <w:bCs/>
          <w:color w:val="2E6BE6"/>
        </w:rPr>
        <w:t xml:space="preserve">DATA-BR-05 — Data Correction. </w:t>
      </w:r>
      <w:r>
        <w:t xml:space="preserve">The system shall support correction of inaccurate or outdated customer information, with additional verification or authorization applied to fields designated as sensitive or high-impact.</w:t>
      </w:r>
    </w:p>
    <w:p>
      <w:pPr>
        <w:pStyle w:val="ListParagraph"/>
        <w:numPr>
          <w:ilvl w:val="0"/>
          <w:numId w:val="2"/>
        </w:numPr>
        <w:spacing w:after="110" w:line="276"/>
      </w:pPr>
      <w:r>
        <w:rPr>
          <w:b/>
          <w:bCs/>
          <w:color w:val="2E6BE6"/>
        </w:rPr>
        <w:t xml:space="preserve">DATA-BR-06 — Retention. </w:t>
      </w:r>
      <w:r>
        <w:t xml:space="preserve">The system shall support defined retention policies for different categories of personal and business data. Retention periods shall be determined according to applicable legal, regulatory, contractual, and business requirements — not invented by the software.</w:t>
      </w:r>
    </w:p>
    <w:p>
      <w:pPr>
        <w:pStyle w:val="ListParagraph"/>
        <w:numPr>
          <w:ilvl w:val="0"/>
          <w:numId w:val="2"/>
        </w:numPr>
        <w:spacing w:after="110" w:line="276"/>
      </w:pPr>
      <w:r>
        <w:rPr>
          <w:b/>
          <w:bCs/>
          <w:color w:val="2E6BE6"/>
        </w:rPr>
        <w:t xml:space="preserve">DATA-BR-07 — Marketing Objection. </w:t>
      </w:r>
      <w:r>
        <w:t xml:space="preserve">Customers shall be able to withdraw from or object to direct marketing communications independently of the retention of transactional records.</w:t>
      </w:r>
    </w:p>
    <w:p>
      <w:pPr>
        <w:pStyle w:val="ListParagraph"/>
        <w:numPr>
          <w:ilvl w:val="0"/>
          <w:numId w:val="2"/>
        </w:numPr>
        <w:spacing w:after="110" w:line="276"/>
      </w:pPr>
      <w:r>
        <w:rPr>
          <w:b/>
          <w:bCs/>
          <w:color w:val="2E6BE6"/>
        </w:rPr>
        <w:t xml:space="preserve">DATA-BR-08 — Data Export. </w:t>
      </w:r>
      <w:r>
        <w:t xml:space="preserve">The system shall support authorized requests for copies of a customer's personal data in an appropriate electronic format, subject to applicable restrictions.</w:t>
      </w:r>
    </w:p>
    <w:p>
      <w:pPr>
        <w:pStyle w:val="ListParagraph"/>
        <w:numPr>
          <w:ilvl w:val="0"/>
          <w:numId w:val="2"/>
        </w:numPr>
        <w:spacing w:after="110" w:line="276"/>
      </w:pPr>
      <w:r>
        <w:rPr>
          <w:b/>
          <w:bCs/>
          <w:color w:val="2E6BE6"/>
        </w:rPr>
        <w:t xml:space="preserve">DATA-BR-09 — Privacy Auditability. </w:t>
      </w:r>
      <w:r>
        <w:t xml:space="preserve">Data access, correction, deletion, anonymisation, export, and related administrative actions shall be logged in the unified audit trail (Section 11) for accountability and audit purposes.</w:t>
      </w:r>
    </w:p>
    <w:p>
      <w:pPr>
        <w:spacing w:after="160" w:line="276"/>
      </w:pPr>
      <w:r>
        <w:rPr>
          <w:i/>
          <w:iCs/>
          <w:color w:val="555555"/>
          <w:sz w:val="20"/>
          <w:szCs w:val="20"/>
        </w:rPr>
        <w:t xml:space="preserve">This section is informational context for the business, not legal advice; the business should confirm its retention periods and erasure procedures with a qualified adviser under the Nigeria Data Protection Act.</w:t>
      </w:r>
    </w:p>
    <w:p>
      <w:r>
        <w:br w:type="page"/>
      </w:r>
    </w:p>
    <w:p>
      <w:pPr>
        <w:pStyle w:val="Heading1"/>
        <w:spacing w:after="200" w:before="400"/>
      </w:pPr>
      <w:r>
        <w:rPr>
          <w:b/>
          <w:bCs/>
        </w:rPr>
        <w:t xml:space="preserve">16. Consolidated Business Rule Register</w:t>
      </w:r>
    </w:p>
    <w:p>
      <w:pPr>
        <w:spacing w:after="160" w:line="276"/>
      </w:pPr>
      <w:r>
        <w:t xml:space="preserve">A single index of every rule resolved across this document, for traceability during design, development, and QA sign-off. Full rule text is in the referenced section.</w:t>
      </w:r>
    </w:p>
    <w:p>
      <w:pPr>
        <w:pStyle w:val="Heading2"/>
        <w:spacing w:after="150" w:before="300"/>
      </w:pPr>
      <w:r>
        <w:rPr>
          <w:b/>
          <w:bCs/>
        </w:rPr>
        <w:t xml:space="preserve">Repair ↔ Inventory &amp; Repair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INV/REP-BR-01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Selecting a part reserves it without reducing on-hand stock</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INV/REP-BR-02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Cannot reserve more than available quantity</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INV/REP-BR-03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Removing/cancelling releases the reservation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INV/REP-BR-04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Installing a part converts reservation to stock-out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REP/INV-BR-05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Unreservable part puts repair into Awaiting Parts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REP/INV-BR-06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Awaiting Parts triggers a shortage notification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Low-stock alerts evaluate Available, not On-hand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REP-BR-01</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Diagnosis required before parts/repair work</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REP-BR-02</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Structured per-component diagnostic recording</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REP-BR-03</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Inaccessible components recorded as Unable to Test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REP-BR-04</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Diagnosis resolves to Repairable/Unrepairable/Further Assessment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REP-BR-05</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Unrepairable blocks execution and parts reservation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REP-BR-06</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Parts reserved only after Repairable + authorization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REP-BR-07</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Unrepairable-with-payment triggers settlement, not tech decision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REP-BR-08</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Failed repair ≠ unrepairable; needs business resolution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REP-BR-09</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Ready for Collection assigns a collection deadline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REP-BR-10</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Missed deadline marks Overdue for Collection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REP-BR-11</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Configurable abandonment threshold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REP-BR-12</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Configurable storage-fee policy</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REP-BR-13</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Automatic storage-fee accrual calculation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REP-BR-14</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Fee/deadline visibility to staff and customer</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REP-BR-15</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Ready-for-collection &amp; reminder notifications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REP-BR-16</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Pre-abandonment notification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REP-BR-17</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Abandonment requires administrative resolution, not auto-disposal</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REP-BR-18</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Full collection/abandonment audit history</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REP-BR-19</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Configurable down-payment deadline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3.6</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REP-BR-20</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Missed deadline → Payment Overdue → Expired/Cancelled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3.6</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REP-BR-21</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Expired unpaid repair returns device via Collection Lifecycle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3.6</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REP-BR-22</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Completed-with-balance recorded, not auto-releasable</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3.7</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REP-BR-23</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Outstanding balance blocks release by default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3.7</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REP-BR-24</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Authorized override permitted and audited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3.7</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REP-BR-25</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Collection Lifecycle reused across all device-return scenarios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3.8</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REP-BR-26</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System distinguishes “Ready for Collection” vs “Ready for Return”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3.8</w:t>
            </w:r>
          </w:p>
        </w:tc>
      </w:tr>
    </w:tbl>
    <w:p>
      <w:pPr>
        <w:pStyle w:val="Heading2"/>
        <w:spacing w:after="150" w:before="300"/>
      </w:pPr>
      <w:r>
        <w:rPr>
          <w:b/>
          <w:bCs/>
        </w:rPr>
        <w:t xml:space="preserve">Sales / POS ↔ Inventory ↔ Payments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SALE/INV-BR-01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Checkout creation reserves inventory for a validity window</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4.3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SALE/INV-BR-02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Available = On-hand − Reserved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4.3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SALE/INV-BR-03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Unit-level reservation for serialized inventory</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4.3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SALE/INV-BR-04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Transactional concurrency prevents double-reservation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4.3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SALE/INV-BR-05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Payment confirmation converts reservation to sale</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4.3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SALE/INV-BR-06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Expiry releases reservation, keeps audit record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4.3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SALE/INV-BR-07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Checkout ↔ unit ↔ payment traceability maintained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4.3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SALE/PAY-BR-08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Late payment on expired reservation goes to exception process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4.3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PAY-BR-01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Bank-transfer transactions get a distinct Pending status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4.5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PAY-BR-02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Reservation held (not expired) while transfer confirmation pending</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4.5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PAY-BR-03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Disputed payment routed to human verification, not auto-resolved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4.5</w:t>
            </w:r>
          </w:p>
        </w:tc>
      </w:tr>
    </w:tbl>
    <w:p>
      <w:pPr>
        <w:pStyle w:val="Heading2"/>
        <w:spacing w:after="150" w:before="300"/>
      </w:pPr>
      <w:r>
        <w:rPr>
          <w:b/>
          <w:bCs/>
        </w:rPr>
        <w:t xml:space="preserve">Warranty, Returns, After-Sales &amp; Trade-In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Configurable warranty policy (coverage/exclusions/remedies)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Warranty linked to sale/repair/customer/unit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5.5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Eligibility verified before remedy approval</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Assessment required before remedy (unless auto-permitted)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5.5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Configured exclusions evaluated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Policy defines permitted remedies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5.6</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Warranty repair attributed to warranty, not ₦0 repair</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5.6</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Configurable coverage extent/limits calculated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5.6</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WAR-BR-09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Refund requires authorization request, not auto-execution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5.6</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WAR-BR-10</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Replacement tracked; defective unit returned to inventory</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5.6</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WAR-BR-11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 warranty supported on completed repairs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5.6</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WAR-BR-12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Configurable return/refund window; late requests denied by default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5.9</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TRADE-BR-01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Trade-in device assessed and recorded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5.7</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TRADE-BR-02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Approved value becomes transaction credit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5.7</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TRADE-BR-03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Balance = price − trade-in credit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5.7</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TRADE-BR-04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Trade-in recorded as inventory acquisition, not a discount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5.7</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TRADE-BR-05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Trade-in value requires separate approval from assessment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5.7</w:t>
            </w:r>
          </w:p>
        </w:tc>
      </w:tr>
    </w:tbl>
    <w:p>
      <w:r>
        <w:br w:type="page"/>
      </w:r>
    </w:p>
    <w:p>
      <w:pPr>
        <w:pStyle w:val="Heading2"/>
        <w:spacing w:after="150" w:before="300"/>
      </w:pPr>
      <w:r>
        <w:rPr>
          <w:b/>
          <w:bCs/>
        </w:rPr>
        <w:t xml:space="preserve">Commission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Commissionable amount = net of promotional discount by default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6.1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Commission earned progressively as payments are confirmed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6.2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Reversal/refund triggers a calculated commission adjustment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6.3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Reversals are linked ledger entries, never overwrite original</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6.3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Partial refund → proportional partial commission reversal</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6.3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Already-paid commission clawback follows settlement policy</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6.3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Commission adjustments require authorized review</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6.3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Commission may attribute to multiple staff on one repair</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6.4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COMM-BR-09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Multi-staff allocation per policy or manual authorization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6.4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COMM-BR-10</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Staff assignment/work history maintained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6.4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COMM-BR-11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Reassignment never silently changes earned commission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6.4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COMM-BR-12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Commission record snapshots rate/policy version at calculation time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6.4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COMM-BR-13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Rate/policy changes apply from effective date, not retroactive</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6.4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COMM-BR-14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Commission base after discount; other credits per policy</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6.4</w:t>
            </w:r>
          </w:p>
        </w:tc>
      </w:tr>
    </w:tbl>
    <w:p>
      <w:pPr>
        <w:pStyle w:val="Heading2"/>
        <w:spacing w:after="150" w:before="300"/>
      </w:pPr>
      <w:r>
        <w:rPr>
          <w:b/>
          <w:bCs/>
        </w:rPr>
        <w:t xml:space="preserve">Referral Program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Bonus eligibility based on first qualifying transaction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7.1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REF-BR-02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Qualifying transaction types configurable (sale/repair/both)</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7.1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Incomplete transactions never qualify by default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7.1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REF-BR-04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Bonus calculated and recorded on qualifying completion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7.1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Refund of qualifying transaction → bonus adjustment per policy</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7.1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REF-BR-06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One auditable referrer per referred customer</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7.1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Referral generates a Reward via the Marketing reward engine</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7.2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REF-BR-08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Self-referral prevented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7.4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REF-BR-09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Referral relationship changes restricted to authorized staff</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7.4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REF-BR-10</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Configurable referral/reward limits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7.4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REF-BR-11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Suspicious referral indicators flagged for review</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7.4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REF-BR-12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Authorized staff approve/reject flagged referrals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7.4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REF-BR-13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Reward traceable through its full lifecycle</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7.4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REF-BR-14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Bonus held pending return window; late refund denied, bonus kept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7.3</w:t>
            </w:r>
          </w:p>
        </w:tc>
      </w:tr>
    </w:tbl>
    <w:p>
      <w:pPr>
        <w:pStyle w:val="Heading2"/>
        <w:spacing w:after="150" w:before="300"/>
      </w:pPr>
      <w:r>
        <w:rPr>
          <w:b/>
          <w:bCs/>
        </w:rPr>
        <w:t xml:space="preserve">Marketing Campaigns &amp; Rewards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MKT-BR-01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Configurable reward types per campaign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8.1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MKT-BR-02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Configurable reward conditions (value, validity, limits)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8.1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MKT-BR-03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Store credit maintained as a traceable ledger</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8.1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MKT-BR-04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Optional store-credit-to-cash withdrawal, conditional/authorized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8.1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MKT-BR-05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Configurable discount vouchers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8.1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MKT-BR-06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Stacking configurable per campaign; non-stackable by default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8.2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MKT-BR-07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Deterministic discount/credit application order</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8.2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MKT-BR-08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Every price adjustment traceable to its component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8.2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MKT-BR-09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Stacking overrides recorded with user/reason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8.2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MKT-BR-10</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Segments defined by Marketing, not duplicated as stored data</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8.3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MKT-BR-11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Segment eligibility evaluated from the owning module's data</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8.3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MKT-BR-12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Eligibility evaluated dynamically at benefit time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8.3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MKT-BR-13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Eligibility snapshot recorded when a benefit is granted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8.3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MKT-BR-14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Campaigns may consume cross-module data, never own it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8.3</w:t>
            </w:r>
          </w:p>
        </w:tc>
      </w:tr>
    </w:tbl>
    <w:p>
      <w:r>
        <w:br w:type="page"/>
      </w:r>
    </w:p>
    <w:p>
      <w:pPr>
        <w:pStyle w:val="Heading2"/>
        <w:spacing w:after="150" w:before="300"/>
      </w:pPr>
      <w:r>
        <w:rPr>
          <w:b/>
          <w:bCs/>
        </w:rPr>
        <w:t xml:space="preserve">Inventory, Multi-Shop &amp; SKU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INV-BR-08</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SKU is unique business-wide, not per-shop</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9.1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INV-BR-09</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Central product catalog; shop-level stock/price records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9.1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INV-BR-10</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Current-shop is state; transfers are separately logged history</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9.1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INV-BR-11</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Transfer moves inventory under a SKU; never creates a new SKU</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9.2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INV-BR-12</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IMEI globally unique, persists through transfers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9.2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INV-BR-13</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Every transfer produces an auditable movement record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9.2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INV-BR-14</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Reserved/allocated inventory cannot be transferred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9.2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INV-BR-15</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Available stock (not On-hand) governs all allocation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9.3</w:t>
            </w:r>
          </w:p>
        </w:tc>
      </w:tr>
    </w:tbl>
    <w:p>
      <w:pPr>
        <w:pStyle w:val="Heading2"/>
        <w:spacing w:after="150" w:before="300"/>
      </w:pPr>
      <w:r>
        <w:rPr>
          <w:b/>
          <w:bCs/>
        </w:rPr>
        <w:t xml:space="preserve">RBAC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RBAC-BR-01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Staff may hold multiple roles simultaneously</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RBAC-BR-02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Effective permissions are the union across assigned roles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10.1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RBAC-BR-03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 permission granted → no access, by default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RBAC-BR-04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Authorized admins manage roles/permissions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10.1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RBAC-BR-05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Authorization enforced server-side, not only in the UI</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RBAC-BR-06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New roles/permissions addable without structural changes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10.1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RBAC-BR-07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Role/permission changes never rewrite historical context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RBAC-BR-08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Deactivation blocks future access, preserves history</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10.2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RBAC-BR-09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Role assignment history maintained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10.2</w:t>
            </w:r>
          </w:p>
        </w:tc>
      </w:tr>
    </w:tbl>
    <w:p>
      <w:pPr>
        <w:pStyle w:val="Heading2"/>
        <w:spacing w:after="150" w:before="300"/>
      </w:pPr>
      <w:r>
        <w:rPr>
          <w:b/>
          <w:bCs/>
        </w:rPr>
        <w:t xml:space="preserve">Unified Audit Trail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AUD-BR-01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One unified audit trail across all modules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AUD-BR-02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Events categorized by module/activity type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AUD-BR-03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Events record actor, action, entity, timestamp, context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AUD-BR-04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Significant changes retain before/after values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AUD-BR-05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Audit records are immutable; corrections are new events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AUD-BR-06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Critical operations auto-generate audit events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11</w:t>
            </w:r>
          </w:p>
        </w:tc>
      </w:tr>
    </w:tbl>
    <w:p>
      <w:r>
        <w:br w:type="page"/>
      </w:r>
    </w:p>
    <w:p>
      <w:pPr>
        <w:pStyle w:val="Heading2"/>
        <w:spacing w:after="150" w:before="300"/>
      </w:pPr>
      <w:r>
        <w:rPr>
          <w:b/>
          <w:bCs/>
        </w:rPr>
        <w:t xml:space="preserve">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Modules emit events; a Notification Engine handles delivery</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Delivery is asynchronous; never blocks the business transaction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Configurable multi-channel delivery (email/WhatsApp/SMS/in-app)</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Provider abstraction decouples modules from any one provider</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12.1</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Delivery attempts logged with channel/provider/status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12.1</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Configurable retry policy for recoverable failures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Failures classified (transient/permanent/recipient/provider)</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Provider failover on service failure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NOTIF-BR-09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Asynchronous delivery-status updates via provider callbacks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NOTIF-BR-10</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Every notification traceable from event to final status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NOTIF-BR-11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Duplicate delivery prevented on retry/reprocessing</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NOTIF-BR-12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Exhausted notifications marked failed, kept for review</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12.2</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NOTIF-BR-13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Notification failure never reverses the business transaction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12.2</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NOTIF-BR-14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Notifications classified: transactional/operational/security/marketing</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NOTIF-BR-15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Customers set channel preference for user-controllable types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NOTIF-BR-16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Mandatory notification types cannot be fully disabled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NOTIF-BR-17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Marketing communications independently opt-in/opt-out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NOTIF-BR-18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Transactional notifications persist on dashboard regardless of channel</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12.3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NOTIF-BR-19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Configurable reminder schedules for time-dependent notices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12.3</w:t>
            </w:r>
          </w:p>
        </w:tc>
      </w:tr>
    </w:tbl>
    <w:p>
      <w:pPr>
        <w:pStyle w:val="Heading2"/>
        <w:spacing w:after="150" w:before="300"/>
      </w:pPr>
      <w:r>
        <w:rPr>
          <w:b/>
          <w:bCs/>
        </w:rPr>
        <w:t xml:space="preserve">Expense Tracking &amp; Consolidated Financial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FIN-BR-01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One consolidated reporting layer across all financial sources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FIN-BR-02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Each module remains the authoritative source of its own data</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FIN-BR-03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Revenue, payments received, receivables, costs kept distinct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FIN-BR-04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Profitability calculated from revenue, COGS, commission, expenses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FIN-BR-05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Reporting available business-wide and per-shop</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FIN-BR-06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Shared expenses supported, with optional allocation to shops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13</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FIN-BR-07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Report figures traceable to underlying transactions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13</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FIN-BR-08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Config/price/rate changes never silently rewrite past reports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13</w:t>
            </w:r>
          </w:p>
        </w:tc>
      </w:tr>
    </w:tbl>
    <w:p>
      <w:r>
        <w:br w:type="page"/>
      </w:r>
    </w:p>
    <w:p>
      <w:pPr>
        <w:pStyle w:val="Heading2"/>
        <w:spacing w:after="150" w:before="300"/>
      </w:pPr>
      <w:r>
        <w:rPr>
          <w:b/>
          <w:bCs/>
        </w:rPr>
        <w:t xml:space="preserve">Offline &amp; Connectivity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Controlled offline operation for designated-safe processes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OFF-BR-02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Admins configure which operations/payments work offline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Offline transactions committed atomically before queuing</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OFF-BR-04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Persistent sync queue, auto-synced on reconnect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Idempotent sync prevents duplicate effects on retry</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OFF-BR-06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Explicit sync states (pending/syncing/synced/conflict)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Conflicts with server state detected on reconnect</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OFF-BR-08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Conflicting transactions preserved, never silently overwritten</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OFF-BR-09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Real-time-verified payment methods not confirmed while offline</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OFF-BR-10</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Shared/centrally-controlled inventory further restricted offline</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OFF-BR-11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UI shows connectivity state and last-sync timestamp</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OFF-BR-12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Reports distinguish synced vs. locally pending data</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14</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OFF-BR-13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Reconnection never invalidates an already-committed local transaction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14</w:t>
            </w:r>
          </w:p>
        </w:tc>
      </w:tr>
    </w:tbl>
    <w:p>
      <w:pPr>
        <w:pStyle w:val="Heading2"/>
        <w:spacing w:after="150" w:before="300"/>
      </w:pPr>
      <w:r>
        <w:rPr>
          <w:b/>
          <w:bCs/>
        </w:rPr>
        <w:t xml:space="preserve">Data Protection &amp; Privacy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ID</w:t>
            </w:r>
          </w:p>
        </w:tc>
        <w:tc>
          <w:tcPr>
            <w:tcW w:type="dxa" w:w="5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Summary</w:t>
            </w:r>
          </w:p>
        </w:tc>
        <w:tc>
          <w:tcPr>
            <w:tcW w:type="dxa" w:w="16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Section</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DATA-BR-01</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Controlled handling of access/correction/deletion requests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DATA-BR-02</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Requests recorded with type, status, decision, actions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DATA-BR-03</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Erasure removes/anonymises only what isn't lawfully required</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DATA-BR-04</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Erasure never invalidates required historical financial records</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DATA-BR-05</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Corrections supported, with extra checks on sensitive fields</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DATA-BR-06</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Retention periods follow legal/business policy, not invented</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DATA-BR-07</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Marketing opt-out independent of transactional retention</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15</w:t>
            </w:r>
          </w:p>
        </w:tc>
      </w:tr>
      <w:tr>
        <w:tc>
          <w:tcPr>
            <w:tcW w:type="dxa" w:w="19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DATA-BR-08</w:t>
            </w:r>
          </w:p>
        </w:tc>
        <w:tc>
          <w:tcPr>
            <w:tcW w:type="dxa" w:w="5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Authorized data export in a standard electronic format</w:t>
            </w:r>
          </w:p>
        </w:tc>
        <w:tc>
          <w:tcPr>
            <w:tcW w:type="dxa" w:w="16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15</w:t>
            </w:r>
          </w:p>
        </w:tc>
      </w:tr>
      <w:tr>
        <w:tc>
          <w:tcPr>
            <w:tcW w:type="dxa" w:w="19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DATA-BR-09</w:t>
            </w:r>
          </w:p>
        </w:tc>
        <w:tc>
          <w:tcPr>
            <w:tcW w:type="dxa" w:w="5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Privacy actions logged in the unified audit trail</w:t>
            </w:r>
          </w:p>
        </w:tc>
        <w:tc>
          <w:tcPr>
            <w:tcW w:type="dxa" w:w="16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15</w:t>
            </w:r>
          </w:p>
        </w:tc>
      </w:tr>
    </w:tbl>
    <w:p>
      <w:r>
        <w:br w:type="page"/>
      </w:r>
    </w:p>
    <w:p>
      <w:pPr>
        <w:pStyle w:val="Heading1"/>
        <w:spacing w:after="200" w:before="400"/>
      </w:pPr>
      <w:r>
        <w:rPr>
          <w:b/>
          <w:bCs/>
        </w:rPr>
        <w:t xml:space="preserve">17. Recommended Amendments to the BRD</w:t>
      </w:r>
    </w:p>
    <w:p>
      <w:pPr>
        <w:spacing w:after="160" w:line="276"/>
      </w:pPr>
      <w:r>
        <w:t xml:space="preserve">This analysis surfaced gaps in the BRD's original requirement statements. The following amendments are recommended so the BRD and this BLD stay consistent:</w:t>
      </w:r>
    </w:p>
    <w:p>
      <w:pPr>
        <w:pStyle w:val="ListParagraph"/>
        <w:numPr>
          <w:ilvl w:val="0"/>
          <w:numId w:val="2"/>
        </w:numPr>
        <w:spacing w:after="80" w:line="276"/>
      </w:pPr>
      <w:r>
        <w:t xml:space="preserve">REP-12 (repair status list) should be replaced by the branching lifecycle in Section 3.1, rather than a single linear sequence — it did not previously account for Unrepairable, Payment Overdue, or Failed outcomes.</w:t>
      </w:r>
    </w:p>
    <w:p>
      <w:pPr>
        <w:pStyle w:val="ListParagraph"/>
        <w:numPr>
          <w:ilvl w:val="0"/>
          <w:numId w:val="2"/>
        </w:numPr>
        <w:spacing w:after="80" w:line="276"/>
      </w:pPr>
      <w:r>
        <w:t xml:space="preserve">INV-14 (low-stock alerts) should be clarified to evaluate Available quantity (On-hand less Reserved), per INV-BR-07/INV-BR-15, not On-hand alone.</w:t>
      </w:r>
    </w:p>
    <w:p>
      <w:pPr>
        <w:pStyle w:val="ListParagraph"/>
        <w:numPr>
          <w:ilvl w:val="0"/>
          <w:numId w:val="2"/>
        </w:numPr>
        <w:spacing w:after="80" w:line="276"/>
      </w:pPr>
      <w:r>
        <w:t xml:space="preserve">SALE-02 (“set a warranty if necessary”) should reference the new Section 5 Warranty, Returns &amp; After-Sales Management module rather than remaining a standalone checkout field with no defined claim process.</w:t>
      </w:r>
    </w:p>
    <w:p>
      <w:pPr>
        <w:pStyle w:val="ListParagraph"/>
        <w:numPr>
          <w:ilvl w:val="0"/>
          <w:numId w:val="2"/>
        </w:numPr>
        <w:spacing w:after="80" w:line="276"/>
      </w:pPr>
      <w:r>
        <w:t xml:space="preserve">A new BRD section, “Warranty, Returns &amp; After-Sales Management,” should be added, covering the customer- and admin-facing screens implied by Section 5 (claim submission, assessment recording, remedy selection, refund/replacement authorization, the return/refund window) and by Section 5.7 (trade-in assessment and approval).</w:t>
      </w:r>
    </w:p>
    <w:p>
      <w:pPr>
        <w:pStyle w:val="ListParagraph"/>
        <w:numPr>
          <w:ilvl w:val="0"/>
          <w:numId w:val="2"/>
        </w:numPr>
        <w:spacing w:after="80" w:line="276"/>
      </w:pPr>
      <w:r>
        <w:t xml:space="preserve">SALE-03 (checkout creation) should be clarified to state that checkout reserves inventory rather than immediately decrementing stock, per Section 4.1, and a bank-transfer payment status/dispute flow (Section 4.5) should be added alongside it.</w:t>
      </w:r>
    </w:p>
    <w:p>
      <w:pPr>
        <w:pStyle w:val="ListParagraph"/>
        <w:numPr>
          <w:ilvl w:val="0"/>
          <w:numId w:val="2"/>
        </w:numPr>
        <w:spacing w:after="80" w:line="276"/>
      </w:pPr>
      <w:r>
        <w:t xml:space="preserve">COMM-01–COMM-05 (commission configuration) should reference the commissionable-amount, payment-based-recognition, and ledger/reversal rules in Section 6, since the original BRD only covered configuring a rate, not how or when it's earned or reversed.</w:t>
      </w:r>
    </w:p>
    <w:p>
      <w:pPr>
        <w:pStyle w:val="ListParagraph"/>
        <w:numPr>
          <w:ilvl w:val="0"/>
          <w:numId w:val="2"/>
        </w:numPr>
        <w:spacing w:after="80" w:line="276"/>
      </w:pPr>
      <w:r>
        <w:t xml:space="preserve">REF-01–REF-05 (referral) should reference the qualifying-transaction, reward-generation, and refund-window rules in Section 7, and should note that a referral bonus is a Reward generated through the Marketing reward engine (Section 8.1) rather than a payout the Referral module handles on its own.</w:t>
      </w:r>
    </w:p>
    <w:p>
      <w:pPr>
        <w:pStyle w:val="ListParagraph"/>
        <w:numPr>
          <w:ilvl w:val="0"/>
          <w:numId w:val="2"/>
        </w:numPr>
        <w:spacing w:after="80" w:line="276"/>
      </w:pPr>
      <w:r>
        <w:t xml:space="preserve">MKT-01–MKT-04 (marketing) should be expanded to cover the Store Credit / Voucher reward instruments, stacking rules, and segment-eligibility source-of-truth defined in Section 8.</w:t>
      </w:r>
    </w:p>
    <w:p>
      <w:pPr>
        <w:pStyle w:val="ListParagraph"/>
        <w:numPr>
          <w:ilvl w:val="0"/>
          <w:numId w:val="2"/>
        </w:numPr>
        <w:spacing w:after="80" w:line="276"/>
      </w:pPr>
      <w:r>
        <w:t xml:space="preserve">INV-01–INV-09 (product/inventory) should be revised to describe a shared business-level product catalog with shop-level stock and pricing (Section 9.1), rather than reading as if each shop manages an independent catalog.</w:t>
      </w:r>
    </w:p>
    <w:p>
      <w:pPr>
        <w:pStyle w:val="ListParagraph"/>
        <w:numPr>
          <w:ilvl w:val="0"/>
          <w:numId w:val="2"/>
        </w:numPr>
        <w:spacing w:after="80" w:line="276"/>
      </w:pPr>
      <w:r>
        <w:t xml:space="preserve">RBAC-01–RBAC-07 should reference the effective-permissions model (Section 10.1) and the historical-preservation requirement (Section 10.2, RBAC-BR-07/08/09).</w:t>
      </w:r>
    </w:p>
    <w:p>
      <w:pPr>
        <w:pStyle w:val="ListParagraph"/>
        <w:numPr>
          <w:ilvl w:val="0"/>
          <w:numId w:val="2"/>
        </w:numPr>
        <w:spacing w:after="80" w:line="276"/>
      </w:pPr>
      <w:r>
        <w:t xml:space="preserve">A new BRD Non-Functional Requirement should reference the unified Audit Trail (Section 11) explicitly, so RBAC-06's “administrative actions” log and the existing financial/stock audit requirement are described as one system, not two.</w:t>
      </w:r>
    </w:p>
    <w:p>
      <w:pPr>
        <w:pStyle w:val="ListParagraph"/>
        <w:numPr>
          <w:ilvl w:val="0"/>
          <w:numId w:val="2"/>
        </w:numPr>
        <w:spacing w:after="80" w:line="276"/>
      </w:pPr>
      <w:r>
        <w:t xml:space="preserve">NOTIF-01–NOTIF-04 should reference the event-driven delivery architecture, retry/fallback behavior, and the mandatory-vs-optional notification categories defined in Section 12.</w:t>
      </w:r>
    </w:p>
    <w:p>
      <w:pPr>
        <w:pStyle w:val="ListParagraph"/>
        <w:numPr>
          <w:ilvl w:val="0"/>
          <w:numId w:val="2"/>
        </w:numPr>
        <w:spacing w:after="80" w:line="276"/>
      </w:pPr>
      <w:r>
        <w:t xml:space="preserve">EXP-04 should be clarified to specify a single consolidated reporting module (Section 13) rather than leaving open whether reconciliation across sales, repairs, commission, and expenses is manual.</w:t>
      </w:r>
    </w:p>
    <w:p>
      <w:pPr>
        <w:pStyle w:val="ListParagraph"/>
        <w:numPr>
          <w:ilvl w:val="0"/>
          <w:numId w:val="2"/>
        </w:numPr>
        <w:spacing w:after="80" w:line="276"/>
      </w:pPr>
      <w:r>
        <w:t xml:space="preserve">A new BRD Non-Functional Requirement should describe the offline/connectivity behavior in Section 14, since the current NFRs are silent on what happens when a POS terminal or dashboard loses connectivity mid-transaction.</w:t>
      </w:r>
    </w:p>
    <w:p>
      <w:pPr>
        <w:pStyle w:val="ListParagraph"/>
        <w:numPr>
          <w:ilvl w:val="0"/>
          <w:numId w:val="2"/>
        </w:numPr>
        <w:spacing w:after="80" w:line="276"/>
      </w:pPr>
      <w:r>
        <w:t xml:space="preserve">A new BRD Non-Functional Requirement should describe data-subject request handling (access, correction, deletion, export) per Section 15, alongside the existing customer-PII compliance mention.</w:t>
      </w:r>
    </w:p>
    <w:p>
      <w:r>
        <w:br w:type="page"/>
      </w:r>
    </w:p>
    <w:p>
      <w:pPr>
        <w:pStyle w:val="Heading1"/>
        <w:spacing w:after="200" w:before="400"/>
      </w:pPr>
      <w:r>
        <w:rPr>
          <w:b/>
          <w:bCs/>
        </w:rPr>
        <w:t xml:space="preserve">18. Resolution Status Summary</w:t>
      </w:r>
    </w:p>
    <w:p>
      <w:pPr>
        <w:spacing w:after="160" w:line="276"/>
      </w:pPr>
      <w:r>
        <w:t xml:space="preserve">Version 1.0 of this document left every module-crossing question outside Repair/Inventory, Sales/POS, and Warranty/Returns/Trade-In as an open item. This version resolves all of them. The table below maps each original question group to where it was resolved; none remain outstanding from the original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50"/>
      </w:tblGrid>
      <w:tr>
        <w:trPr>
          <w:tblHeader/>
        </w:trPr>
        <w:tc>
          <w:tcPr>
            <w:tcW w:type="dxa" w:w="42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Question Group (from original analysis)</w:t>
            </w:r>
          </w:p>
        </w:tc>
        <w:tc>
          <w:tcPr>
            <w:tcW w:type="dxa" w:w="21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Status</w:t>
            </w:r>
          </w:p>
        </w:tc>
        <w:tc>
          <w:tcPr>
            <w:tcW w:type="dxa" w:w="30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Resolved In</w:t>
            </w:r>
          </w:p>
        </w:tc>
      </w:tr>
      <w:tr>
        <w:tc>
          <w:tcPr>
            <w:tcW w:type="dxa" w:w="4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 ↔ Inventory (parts reservation, low stock)</w:t>
            </w:r>
          </w:p>
        </w:tc>
        <w:tc>
          <w:tcPr>
            <w:tcW w:type="dxa" w:w="21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Section 3.3–3.4</w:t>
            </w:r>
          </w:p>
        </w:tc>
      </w:tr>
      <w:tr>
        <w:tc>
          <w:tcPr>
            <w:tcW w:type="dxa" w:w="4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Repair diagnosis, unrepairable, collection &amp; abandonment</w:t>
            </w:r>
          </w:p>
        </w:tc>
        <w:tc>
          <w:tcPr>
            <w:tcW w:type="dxa" w:w="21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Section 3.5–3.8</w:t>
            </w:r>
          </w:p>
        </w:tc>
      </w:tr>
      <w:tr>
        <w:tc>
          <w:tcPr>
            <w:tcW w:type="dxa" w:w="4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Sales/POS ↔ Inventory ↔ Payments (checkout reservation)</w:t>
            </w:r>
          </w:p>
        </w:tc>
        <w:tc>
          <w:tcPr>
            <w:tcW w:type="dxa" w:w="21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Section 4.1–4.3</w:t>
            </w:r>
          </w:p>
        </w:tc>
      </w:tr>
      <w:tr>
        <w:tc>
          <w:tcPr>
            <w:tcW w:type="dxa" w:w="4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Returns / refunds / exchange / warranty (previously missing)</w:t>
            </w:r>
          </w:p>
        </w:tc>
        <w:tc>
          <w:tcPr>
            <w:tcW w:type="dxa" w:w="21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Section 5</w:t>
            </w:r>
          </w:p>
        </w:tc>
      </w:tr>
      <w:tr>
        <w:tc>
          <w:tcPr>
            <w:tcW w:type="dxa" w:w="4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Bank-transfer confirmation status &amp; payment disputes</w:t>
            </w:r>
          </w:p>
        </w:tc>
        <w:tc>
          <w:tcPr>
            <w:tcW w:type="dxa" w:w="21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Section 4.5</w:t>
            </w:r>
          </w:p>
        </w:tc>
      </w:tr>
      <w:tr>
        <w:tc>
          <w:tcPr>
            <w:tcW w:type="dxa" w:w="4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Commission ↔ Sales/Repairs/Payments/Marketing</w:t>
            </w:r>
          </w:p>
        </w:tc>
        <w:tc>
          <w:tcPr>
            <w:tcW w:type="dxa" w:w="21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Section 6</w:t>
            </w:r>
          </w:p>
        </w:tc>
      </w:tr>
      <w:tr>
        <w:tc>
          <w:tcPr>
            <w:tcW w:type="dxa" w:w="4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Referral ↔ Sales ↔ Marketing</w:t>
            </w:r>
          </w:p>
        </w:tc>
        <w:tc>
          <w:tcPr>
            <w:tcW w:type="dxa" w:w="21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Section 7</w:t>
            </w:r>
          </w:p>
        </w:tc>
      </w:tr>
      <w:tr>
        <w:tc>
          <w:tcPr>
            <w:tcW w:type="dxa" w:w="4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Marketing ↔ Commission ↔ Referral (stacking, segments)</w:t>
            </w:r>
          </w:p>
        </w:tc>
        <w:tc>
          <w:tcPr>
            <w:tcW w:type="dxa" w:w="21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Section 8</w:t>
            </w:r>
          </w:p>
        </w:tc>
      </w:tr>
      <w:tr>
        <w:tc>
          <w:tcPr>
            <w:tcW w:type="dxa" w:w="4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Inventory ↔ Multi-Shop ↔ SKU</w:t>
            </w:r>
          </w:p>
        </w:tc>
        <w:tc>
          <w:tcPr>
            <w:tcW w:type="dxa" w:w="21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Section 9</w:t>
            </w:r>
          </w:p>
        </w:tc>
      </w:tr>
      <w:tr>
        <w:tc>
          <w:tcPr>
            <w:tcW w:type="dxa" w:w="4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RBAC ↔ Everything (multi-role, historical snapshots)</w:t>
            </w:r>
          </w:p>
        </w:tc>
        <w:tc>
          <w:tcPr>
            <w:tcW w:type="dxa" w:w="21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Section 10</w:t>
            </w:r>
          </w:p>
        </w:tc>
      </w:tr>
      <w:tr>
        <w:tc>
          <w:tcPr>
            <w:tcW w:type="dxa" w:w="4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RBAC-06 admin log vs. financial/stock audit log</w:t>
            </w:r>
          </w:p>
        </w:tc>
        <w:tc>
          <w:tcPr>
            <w:tcW w:type="dxa" w:w="21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Resolved (unified)</w:t>
            </w:r>
          </w:p>
        </w:tc>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Section 11</w:t>
            </w:r>
          </w:p>
        </w:tc>
      </w:tr>
      <w:tr>
        <w:tc>
          <w:tcPr>
            <w:tcW w:type="dxa" w:w="4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Notifications ↔ Everything (failure, retry, opt-out)</w:t>
            </w:r>
          </w:p>
        </w:tc>
        <w:tc>
          <w:tcPr>
            <w:tcW w:type="dxa" w:w="21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Section 12</w:t>
            </w:r>
          </w:p>
        </w:tc>
      </w:tr>
      <w:tr>
        <w:tc>
          <w:tcPr>
            <w:tcW w:type="dxa" w:w="4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Expense Tracking ↔ Reporting</w:t>
            </w:r>
          </w:p>
        </w:tc>
        <w:tc>
          <w:tcPr>
            <w:tcW w:type="dxa" w:w="21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Section 13</w:t>
            </w:r>
          </w:p>
        </w:tc>
      </w:tr>
      <w:tr>
        <w:tc>
          <w:tcPr>
            <w:tcW w:type="dxa" w:w="42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Offline/connectivity</w:t>
            </w:r>
          </w:p>
        </w:tc>
        <w:tc>
          <w:tcPr>
            <w:tcW w:type="dxa" w:w="21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Section 14</w:t>
            </w:r>
          </w:p>
        </w:tc>
      </w:tr>
      <w:tr>
        <w:tc>
          <w:tcPr>
            <w:tcW w:type="dxa" w:w="42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Customer data deletion/correction vs. legal retention</w:t>
            </w:r>
          </w:p>
        </w:tc>
        <w:tc>
          <w:tcPr>
            <w:tcW w:type="dxa" w:w="21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Resolved</w:t>
            </w:r>
          </w:p>
        </w:tc>
        <w:tc>
          <w:tcPr>
            <w:tcW w:type="dxa" w:w="30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Section 15</w:t>
            </w:r>
          </w:p>
        </w:tc>
      </w:tr>
    </w:tbl>
    <w:p>
      <w:pPr>
        <w:spacing w:before="200"/>
      </w:pPr>
    </w:p>
    <w:p>
      <w:pPr>
        <w:spacing w:after="160" w:line="276"/>
      </w:pPr>
      <w:r>
        <w:t xml:space="preserve">This does not mean every conceivable edge case has been anticipated — as with the original Repair, Sales, and Warranty sections, new questions will surface once the business begins actually configuring the system (an exact retry count, a specific return-window duration, a particular commission-protection default). Those are configuration decisions to make within the rules above, not business-logic gaps requiring another analysis pass.</w:t>
      </w:r>
    </w:p>
    <w:p>
      <w:r>
        <w:br w:type="page"/>
      </w:r>
    </w:p>
    <w:p>
      <w:pPr>
        <w:pStyle w:val="Heading1"/>
        <w:spacing w:after="200" w:before="400"/>
      </w:pPr>
      <w:r>
        <w:rPr>
          <w:b/>
          <w:bCs/>
        </w:rPr>
        <w:t xml:space="preserve">19.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Term</w:t>
            </w:r>
          </w:p>
        </w:tc>
        <w:tc>
          <w:tcPr>
            <w:tcW w:type="dxa" w:w="6850"/>
            <w:tcBorders>
              <w:top w:val="single" w:color="C9D2E0" w:sz="2"/>
              <w:left w:val="single" w:color="C9D2E0" w:sz="2"/>
              <w:bottom w:val="single" w:color="C9D2E0" w:sz="2"/>
              <w:right w:val="single" w:color="C9D2E0" w:sz="2"/>
            </w:tcBorders>
            <w:shd w:fill="1B2A4A" w:val="clear"/>
            <w:tcMar>
              <w:top w:type="dxa" w:w="100"/>
              <w:left w:type="dxa" w:w="120"/>
              <w:bottom w:type="dxa" w:w="100"/>
              <w:right w:type="dxa" w:w="120"/>
            </w:tcMar>
            <w:vAlign w:val="center"/>
          </w:tcPr>
          <w:p>
            <w:r>
              <w:rPr>
                <w:b/>
                <w:bCs/>
                <w:color w:val="FFFFFF"/>
                <w:sz w:val="19"/>
                <w:szCs w:val="19"/>
              </w:rPr>
              <w:t xml:space="preserve">Definition</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On-hand</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Quantity of a product/part physically present in the shop.</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Reserved</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Quantity physically present but committed to an open repair job or checkout.</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Available</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On-hand minus Reserved; the quantity that can be newly committed.</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Reservation Source</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The originating transaction (Repair or Checkout) that holds a reservation on stock.</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Serialized Inventory</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Inventory tracked by individual physical unit (e.g., an IMEI-tracked phone).</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Device Disposition</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Where a physical device currently sits: With Business, Ready for Return/Collection, or Collected.</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Collection Lifecycle</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The shared process governing how a device is returned to a customer, and what happens if it isn't collected in time.</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Abandonment Threshold</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The configured point at which an uncollected device is flagged as requiring administrative resolution.</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Warranty Policy</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 configured set of coverage duration, scope, exclusions, and permitted remedies attached to a product or repair.</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Warranty Claim</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 customer-initiated report that a fault may be covered by an active warranty, subject to eligibility assessment.</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Repair Warranty</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Warranty coverage attached to a completed repair itself, distinct from the product's own warranty.</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Return/Refund Window</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The configured period after purchase or collection within which a return or refund may be requested.</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Trade-in Credit</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The approved assessed value of a customer's traded-in device, applied as a credit toward a new purchase.</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Checkout Validity Period</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The configurable window within which a checkout must be paid before its inventory reservation expires.</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Payment Dispute</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 transaction state where a customer claims payment (typically bank transfer) was made but it has not yet been verified by staff.</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Commissionable Amount</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The transaction amount commission is actually calculated on, after applicable promotional discounts (by default).</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Commission Ledger</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The append-only record of a commission and every subsequent adjustment/reversal linked to it; nothing is overwritten.</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Reward</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The general concept covering any campaign benefit — referral bonus, loyalty benefit, promotion — issued as store credit, a voucher, or another configured instrument.</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Store Credit</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 traceable customer-value ledger representing value the business owes the customer within the system, usable against future purchases.</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Discount Voucher</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 conditional discount entitlement (value, validity, usage limits) that reduces a future transaction's price; does not represent money owed.</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Product Catalog</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The single business-level definition of a product/SKU's brand, model, category, and specs, shared across all shops.</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SKU</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 specific sellable product configuration (e.g., “iPhone 15 / 128GB / Black”), unique across the whole business, not per shop.</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Inventory Item</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 physical unit of a SKU — one IMEI for serialized stock, or a tracked quantity for non-serialized stock.</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Effective Permissions</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The union of all capabilities granted to a staff member across every role they currently hold.</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Unified Audit Trail</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The single, categorized, append-only log covering administrative, financial, inventory, and operational events across all modules.</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Notification Event</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The business occurrence (e.g., REPAIR_COMPLETED) that triggers the Notification Engine, decoupled from how or whether delivery ultimately succeeds.</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Idempotency</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 property ensuring a repeated request (e.g., a retried sync or notification) produces the same result once, rather than duplicating its effect.</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Consolidated Financial Reporting</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 single reporting layer aggregating sales, repair, inventory, commission, and expense data into one P&amp;L-style view, per shop and business-wide.</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Sync Outbox</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The local, persistent queue holding transactions recorded while offline, awaiting synchronization once connectivity returns.</w:t>
            </w:r>
          </w:p>
        </w:tc>
      </w:tr>
      <w:tr>
        <w:tc>
          <w:tcPr>
            <w:tcW w:type="dxa" w:w="250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Data Subject Request</w:t>
            </w:r>
          </w:p>
        </w:tc>
        <w:tc>
          <w:tcPr>
            <w:tcW w:type="dxa" w:w="6850"/>
            <w:tcBorders>
              <w:top w:val="single" w:color="C9D2E0" w:sz="2"/>
              <w:left w:val="single" w:color="C9D2E0" w:sz="2"/>
              <w:bottom w:val="single" w:color="C9D2E0" w:sz="2"/>
              <w:right w:val="single" w:color="C9D2E0" w:sz="2"/>
            </w:tcBorders>
            <w:shd w:fill="F5F7FB" w:val="clear"/>
            <w:tcMar>
              <w:top w:type="dxa" w:w="90"/>
              <w:left w:type="dxa" w:w="120"/>
              <w:bottom w:type="dxa" w:w="90"/>
              <w:right w:type="dxa" w:w="120"/>
            </w:tcMar>
            <w:vAlign w:val="center"/>
          </w:tcPr>
          <w:p>
            <w:r>
              <w:rPr>
                <w:sz w:val="18"/>
                <w:szCs w:val="18"/>
              </w:rPr>
              <w:t xml:space="preserve">A customer's formal request to access, correct, delete, or restrict processing of their personal data.</w:t>
            </w:r>
          </w:p>
        </w:tc>
      </w:tr>
      <w:tr>
        <w:tc>
          <w:tcPr>
            <w:tcW w:type="dxa" w:w="250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Anonymisation</w:t>
            </w:r>
          </w:p>
        </w:tc>
        <w:tc>
          <w:tcPr>
            <w:tcW w:type="dxa" w:w="6850"/>
            <w:tcBorders>
              <w:top w:val="single" w:color="C9D2E0" w:sz="2"/>
              <w:left w:val="single" w:color="C9D2E0" w:sz="2"/>
              <w:bottom w:val="single" w:color="C9D2E0" w:sz="2"/>
              <w:right w:val="single" w:color="C9D2E0" w:sz="2"/>
            </w:tcBorders>
            <w:shd w:fill="FFFFFF" w:val="clear"/>
            <w:tcMar>
              <w:top w:type="dxa" w:w="90"/>
              <w:left w:type="dxa" w:w="120"/>
              <w:bottom w:type="dxa" w:w="90"/>
              <w:right w:type="dxa" w:w="120"/>
            </w:tcMar>
            <w:vAlign w:val="center"/>
          </w:tcPr>
          <w:p>
            <w:r>
              <w:rPr>
                <w:sz w:val="18"/>
                <w:szCs w:val="18"/>
              </w:rPr>
              <w:t xml:space="preserve">Removing or obscuring personal identifiers from a record while retaining the underlying transaction for legally required retention.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3B2"/>
        <w:sz w:val="16"/>
        <w:szCs w:val="16"/>
      </w:rPr>
      <w:t xml:space="preserve">Page </w:t>
    </w:r>
    <w:r>
      <w:rPr>
        <w:color w:val="9AA3B2"/>
        <w:sz w:val="16"/>
        <w:szCs w:val="16"/>
      </w:rPr>
      <w:fldChar w:fldCharType="begin"/>
      <w:instrText xml:space="preserve">PAGE</w:instrText>
      <w:fldChar w:fldCharType="separate"/>
      <w:fldChar w:fldCharType="end"/>
    </w:r>
    <w:r>
      <w:rPr>
        <w:color w:val="9AA3B2"/>
        <w:sz w:val="16"/>
        <w:szCs w:val="16"/>
      </w:rPr>
      <w:t xml:space="preserve"> of </w:t>
    </w:r>
    <w:r>
      <w:rPr>
        <w:color w:val="9AA3B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3B2"/>
        <w:sz w:val="16"/>
        <w:szCs w:val="16"/>
      </w:rPr>
      <w:t xml:space="preserve">AfProsPos — Business Logic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E6" w:sz="6" w:space="4"/>
      </w:pBdr>
      <w:spacing w:after="180" w:before="360"/>
    </w:pPr>
    <w:rPr>
      <w:rFonts w:ascii="Calibri" w:cs="Calibri" w:eastAsia="Calibri" w:hAnsi="Calibri"/>
      <w:b/>
      <w:bCs/>
      <w:color w:val="1B2A4A"/>
      <w:sz w:val="29"/>
      <w:szCs w:val="29"/>
    </w:rPr>
  </w:style>
  <w:style w:type="paragraph" w:styleId="Heading2">
    <w:name w:val="Heading 2"/>
    <w:basedOn w:val="Normal"/>
    <w:next w:val="Normal"/>
    <w:qFormat/>
    <w:pPr>
      <w:spacing w:after="130" w:before="260"/>
    </w:pPr>
    <w:rPr>
      <w:rFonts w:ascii="Calibri" w:cs="Calibri" w:eastAsia="Calibri" w:hAnsi="Calibri"/>
      <w:b/>
      <w:bCs/>
      <w:color w:val="2E6BE6"/>
      <w:sz w:val="24"/>
      <w:szCs w:val="24"/>
    </w:rPr>
  </w:style>
  <w:style w:type="paragraph" w:styleId="Heading3">
    <w:name w:val="Heading 3"/>
    <w:basedOn w:val="Normal"/>
    <w:next w:val="Normal"/>
    <w:qFormat/>
    <w:pPr>
      <w:spacing w:after="90" w:before="180"/>
    </w:pPr>
    <w:rPr>
      <w:rFonts w:ascii="Calibri" w:cs="Calibri" w:eastAsia="Calibri" w:hAnsi="Calibri"/>
      <w:b/>
      <w:bCs/>
      <w:color w:val="1B2A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AfProsPos Business Logic Document</dc:title>
  <dc:creator>AfProsPos Business Analysis</dc:creator>
  <cp:lastModifiedBy>Un-named</cp:lastModifiedBy>
  <cp:revision>1</cp:revision>
  <dcterms:created xsi:type="dcterms:W3CDTF">2026-09-01T19:06:50.813Z</dcterms:created>
  <dcterms:modified xsi:type="dcterms:W3CDTF">2026-09-01T19:06:50.813Z</dcterms:modified>
</cp:coreProperties>
</file>

<file path=docProps/custom.xml><?xml version="1.0" encoding="utf-8"?>
<Properties xmlns="http://schemas.openxmlformats.org/officeDocument/2006/custom-properties" xmlns:vt="http://schemas.openxmlformats.org/officeDocument/2006/docPropsVTypes"/>
</file>