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3AB01">
      <w:pPr>
        <w:pStyle w:val="38"/>
        <w:keepNext/>
        <w:widowControl/>
        <w:spacing w:before="0" w:after="100" w:line="440" w:lineRule="atLeast"/>
        <w:ind w:left="0" w:right="0" w:firstLine="0" w:firstLineChars="0"/>
        <w:jc w:val="center"/>
        <w:rPr>
          <w:rFonts w:eastAsia="华文中宋"/>
          <w:sz w:val="32"/>
          <w:szCs w:val="32"/>
        </w:rPr>
      </w:pPr>
      <w:r>
        <w:rPr>
          <w:rFonts w:ascii="Times New Roman" w:hAnsi="Times New Roman" w:eastAsia="华文中宋"/>
          <w:b/>
          <w:color w:val="000000"/>
          <w:sz w:val="32"/>
          <w:szCs w:val="32"/>
        </w:rPr>
        <w:t>面向科学研究的大语言模型幻觉检测与治理</w:t>
      </w:r>
    </w:p>
    <w:p w14:paraId="1451FBE5">
      <w:pPr>
        <w:widowControl/>
        <w:spacing w:line="276" w:lineRule="auto"/>
        <w:jc w:val="center"/>
        <w:rPr>
          <w:rFonts w:hint="eastAsia" w:eastAsia="华文中宋"/>
          <w:szCs w:val="21"/>
        </w:rPr>
      </w:pPr>
      <w:r>
        <w:rPr>
          <w:rFonts w:eastAsia="华文中宋"/>
          <w:kern w:val="0"/>
          <w:szCs w:val="21"/>
        </w:rPr>
        <w:t>作者</w:t>
      </w:r>
      <w:r>
        <w:rPr>
          <w:rFonts w:eastAsia="华文中宋"/>
          <w:kern w:val="0"/>
          <w:szCs w:val="21"/>
          <w:vertAlign w:val="superscript"/>
        </w:rPr>
        <w:t>1</w:t>
      </w:r>
      <w:r>
        <w:rPr>
          <w:rFonts w:eastAsia="华文中宋"/>
          <w:szCs w:val="21"/>
        </w:rPr>
        <w:t>，</w:t>
      </w:r>
      <w:r>
        <w:rPr>
          <w:rFonts w:eastAsia="华文中宋"/>
          <w:kern w:val="0"/>
          <w:szCs w:val="21"/>
        </w:rPr>
        <w:t>作者</w:t>
      </w:r>
      <w:r>
        <w:rPr>
          <w:rFonts w:eastAsia="华文中宋"/>
          <w:kern w:val="0"/>
          <w:szCs w:val="21"/>
          <w:vertAlign w:val="superscript"/>
        </w:rPr>
        <w:t>2</w:t>
      </w:r>
      <w:r>
        <w:rPr>
          <w:rFonts w:hint="eastAsia" w:eastAsia="华文中宋"/>
          <w:kern w:val="0"/>
          <w:szCs w:val="21"/>
          <w:vertAlign w:val="superscript"/>
        </w:rPr>
        <w:t>*</w:t>
      </w:r>
    </w:p>
    <w:p w14:paraId="60DF898C">
      <w:pPr>
        <w:widowControl/>
        <w:spacing w:line="276" w:lineRule="auto"/>
        <w:jc w:val="center"/>
        <w:rPr>
          <w:rFonts w:eastAsia="华文中宋"/>
          <w:sz w:val="18"/>
          <w:szCs w:val="18"/>
        </w:rPr>
      </w:pPr>
      <w:r>
        <w:rPr>
          <w:rFonts w:eastAsia="华文中宋"/>
          <w:szCs w:val="21"/>
        </w:rPr>
        <w:t>(1.</w:t>
      </w:r>
      <w:r>
        <w:rPr>
          <w:rFonts w:eastAsia="华文中宋"/>
          <w:sz w:val="18"/>
          <w:szCs w:val="18"/>
        </w:rPr>
        <w:t>清华大学信息科学技术学院，北京 100084；2.数学工程与先进计算国家重点实验室，江苏 无锡 214215)</w:t>
      </w:r>
    </w:p>
    <w:p w14:paraId="26BB1A34">
      <w:pPr>
        <w:pStyle w:val="16"/>
        <w:keepNext/>
        <w:widowControl/>
        <w:spacing w:before="0" w:after="40" w:line="300" w:lineRule="exact"/>
        <w:ind w:left="0" w:right="0" w:firstLine="0" w:firstLineChars="0"/>
      </w:pPr>
      <w:r>
        <w:rPr>
          <w:rFonts w:ascii="Times New Roman" w:hAnsi="Times New Roman" w:eastAsia="华文中宋"/>
          <w:b/>
          <w:color w:val="000000"/>
          <w:sz w:val="18"/>
          <w:szCs w:val="18"/>
        </w:rPr>
        <w:t>摘  要：</w:t>
      </w:r>
      <w:r>
        <w:rPr>
          <w:rFonts w:ascii="Times New Roman" w:hAnsi="Times New Roman" w:eastAsia="华文中宋"/>
          <w:color w:val="000000"/>
          <w:sz w:val="18"/>
          <w:szCs w:val="18"/>
        </w:rPr>
        <w:t>大语言模型凭借自然语言理解、知识整合与推理生成能力，在人工智能驱动的科学研究（AI for Science，AI4S）中得到广泛应用，为提高科研效率、拓展研究思路和加速科学发现展现出广阔前景。随着其应用由信息处理向研究过程的自主执行拓展，生成内容与文献证据、实际实验或数据分析不一致的幻觉问题，成为影响科研系统可靠性的重要因素。现有研究已从事实核查、检索增强、执行审计和错误修复等方面提出多种方法，但各类方法的核验对象、证据条件及评价目标不同，局部检查通过仍不足以说明研究结论获得完整支持。本文对面向科学研究的大语言模型幻觉检测与治理进行综述。首先，围绕科学主张与证据的对应关系，区分文献事实、假设理由、执行声明和结果解释，明确失实内容、证据不足与待验证假设的边界。其次，从文献与领域知识、数据与运行产物、模型自身信号3类依据总结检测方法，比较训练干预、生成约束和依赖修复的作用机制及适用条件。再次，结合科学总结、自动科研写作与数据分析的典型案例，分析条件丢失、虚构结果和支持路径断裂的形成过程，并整理相关基准与指标的判定范围。最后，围绕开放假设探索、跨模态条件保持、错误传播、独立验证和核验成本讨论未来方向。</w:t>
      </w:r>
    </w:p>
    <w:p w14:paraId="1489D3A3">
      <w:pPr>
        <w:pStyle w:val="16"/>
        <w:keepNext/>
        <w:widowControl/>
        <w:spacing w:before="0" w:after="40" w:line="300" w:lineRule="exact"/>
        <w:ind w:left="0" w:right="0" w:firstLine="0" w:firstLineChars="0"/>
      </w:pPr>
      <w:r>
        <w:rPr>
          <w:rFonts w:ascii="Times New Roman" w:hAnsi="Times New Roman" w:eastAsia="华文中宋"/>
          <w:b/>
          <w:color w:val="000000"/>
          <w:sz w:val="18"/>
          <w:szCs w:val="18"/>
        </w:rPr>
        <w:t>关键词：</w:t>
      </w:r>
      <w:r>
        <w:rPr>
          <w:rFonts w:ascii="Times New Roman" w:hAnsi="Times New Roman" w:eastAsia="华文中宋"/>
          <w:color w:val="000000"/>
          <w:sz w:val="18"/>
          <w:szCs w:val="18"/>
        </w:rPr>
        <w:t>大语言模型；科学研究；幻觉检测；证据核验；科学智能体；幻觉治理</w:t>
      </w:r>
    </w:p>
    <w:p w14:paraId="5D386C45">
      <w:pPr>
        <w:pStyle w:val="16"/>
        <w:keepNext/>
        <w:widowControl/>
        <w:spacing w:before="0" w:after="40" w:line="300" w:lineRule="exact"/>
        <w:ind w:left="0" w:right="0" w:firstLine="0" w:firstLineChars="0"/>
      </w:pPr>
      <w:r>
        <w:rPr>
          <w:rFonts w:ascii="Times New Roman" w:hAnsi="Times New Roman" w:eastAsia="华文中宋"/>
          <w:b/>
          <w:color w:val="000000"/>
          <w:sz w:val="18"/>
          <w:szCs w:val="18"/>
        </w:rPr>
        <w:t>中图分类号：</w:t>
      </w:r>
      <w:r>
        <w:rPr>
          <w:rFonts w:ascii="Times New Roman" w:hAnsi="Times New Roman" w:eastAsia="华文中宋"/>
          <w:color w:val="000000"/>
          <w:sz w:val="18"/>
          <w:szCs w:val="18"/>
        </w:rPr>
        <w:t>【待补】　</w:t>
      </w:r>
      <w:r>
        <w:rPr>
          <w:rFonts w:ascii="Times New Roman" w:hAnsi="Times New Roman" w:eastAsia="华文中宋"/>
          <w:b/>
          <w:color w:val="000000"/>
          <w:sz w:val="18"/>
          <w:szCs w:val="18"/>
        </w:rPr>
        <w:t>文献标志码：</w:t>
      </w:r>
      <w:r>
        <w:rPr>
          <w:rFonts w:ascii="Times New Roman" w:hAnsi="Times New Roman" w:eastAsia="华文中宋"/>
          <w:color w:val="000000"/>
          <w:sz w:val="18"/>
          <w:szCs w:val="18"/>
        </w:rPr>
        <w:t>A　</w:t>
      </w:r>
      <w:r>
        <w:rPr>
          <w:rFonts w:ascii="Times New Roman" w:hAnsi="Times New Roman" w:eastAsia="华文中宋"/>
          <w:b/>
          <w:color w:val="000000"/>
          <w:sz w:val="18"/>
          <w:szCs w:val="18"/>
        </w:rPr>
        <w:t>DOI：</w:t>
      </w:r>
      <w:r>
        <w:rPr>
          <w:rFonts w:ascii="Times New Roman" w:hAnsi="Times New Roman" w:eastAsia="华文中宋"/>
          <w:color w:val="000000"/>
          <w:sz w:val="18"/>
          <w:szCs w:val="18"/>
        </w:rPr>
        <w:t>【编辑部编定】</w:t>
      </w:r>
    </w:p>
    <w:p w14:paraId="4585A6C8">
      <w:pPr>
        <w:pStyle w:val="37"/>
        <w:keepNext/>
        <w:widowControl/>
        <w:spacing w:before="160" w:after="100" w:line="400" w:lineRule="atLeast"/>
        <w:ind w:left="0" w:right="0" w:firstLine="0" w:firstLineChars="0"/>
        <w:jc w:val="center"/>
      </w:pPr>
      <w:r>
        <w:rPr>
          <w:rFonts w:ascii="Times New Roman" w:hAnsi="Times New Roman" w:eastAsia="华文中宋"/>
          <w:b/>
          <w:color w:val="000000"/>
          <w:sz w:val="32"/>
          <w:szCs w:val="32"/>
        </w:rPr>
        <w:t>Hallucination Detection and Mitigation in Large Language Models for Scientific Research</w:t>
      </w:r>
    </w:p>
    <w:p w14:paraId="686881D9">
      <w:pPr>
        <w:widowControl w:val="0"/>
        <w:spacing w:after="96" w:afterLines="40" w:line="300" w:lineRule="exact"/>
        <w:jc w:val="center"/>
        <w:rPr>
          <w:rFonts w:ascii="Times New Roman" w:hAnsi="Times New Roman" w:eastAsia="华文中宋" w:cs="Times New Roman"/>
          <w:kern w:val="2"/>
          <w:sz w:val="18"/>
          <w:szCs w:val="24"/>
          <w:lang w:val="en-US" w:eastAsia="zh-CN" w:bidi="ar-SA"/>
        </w:rPr>
      </w:pPr>
      <w:r>
        <w:rPr>
          <w:rFonts w:ascii="Times New Roman" w:hAnsi="Times New Roman" w:eastAsia="华文中宋" w:cs="Times New Roman"/>
          <w:kern w:val="2"/>
          <w:sz w:val="18"/>
          <w:szCs w:val="24"/>
          <w:lang w:val="en-US" w:eastAsia="zh-CN" w:bidi="ar-SA"/>
        </w:rPr>
        <w:t>（英文单位采用准确的官方名称，邮编后加China，注意中英文单位、省市、邮编相对应）</w:t>
      </w:r>
    </w:p>
    <w:p w14:paraId="5ABFD7D2">
      <w:pPr>
        <w:widowControl w:val="0"/>
        <w:spacing w:after="96" w:afterLines="40" w:line="300" w:lineRule="exact"/>
        <w:jc w:val="center"/>
        <w:rPr>
          <w:rFonts w:hint="eastAsia" w:ascii="Times New Roman" w:hAnsi="Times New Roman" w:eastAsia="华文中宋" w:cs="Times New Roman"/>
          <w:iCs/>
          <w:kern w:val="0"/>
          <w:sz w:val="18"/>
          <w:szCs w:val="21"/>
          <w:lang w:val="en-US" w:eastAsia="zh-CN" w:bidi="ar-SA"/>
        </w:rPr>
      </w:pPr>
      <w:r>
        <w:rPr>
          <w:rFonts w:ascii="Times New Roman" w:hAnsi="Times New Roman" w:eastAsia="华文中宋" w:cs="Times New Roman"/>
          <w:kern w:val="0"/>
          <w:sz w:val="18"/>
          <w:szCs w:val="21"/>
          <w:lang w:val="en-US" w:eastAsia="zh-CN" w:bidi="ar-SA"/>
        </w:rPr>
        <w:t>Author</w:t>
      </w:r>
      <w:r>
        <w:rPr>
          <w:rFonts w:ascii="Times New Roman" w:hAnsi="Times New Roman" w:eastAsia="华文中宋" w:cs="Times New Roman"/>
          <w:kern w:val="0"/>
          <w:sz w:val="18"/>
          <w:szCs w:val="21"/>
          <w:vertAlign w:val="superscript"/>
          <w:lang w:val="en-US" w:eastAsia="zh-CN" w:bidi="ar-SA"/>
        </w:rPr>
        <w:t>1</w:t>
      </w:r>
      <w:r>
        <w:rPr>
          <w:rFonts w:ascii="Times New Roman" w:hAnsi="Times New Roman" w:eastAsia="华文中宋" w:cs="Times New Roman"/>
          <w:iCs/>
          <w:kern w:val="0"/>
          <w:sz w:val="18"/>
          <w:szCs w:val="21"/>
          <w:lang w:val="en-US" w:eastAsia="zh-CN" w:bidi="ar-SA"/>
        </w:rPr>
        <w:t>,</w:t>
      </w:r>
      <w:r>
        <w:rPr>
          <w:rFonts w:ascii="Times New Roman" w:hAnsi="Times New Roman" w:eastAsia="华文中宋" w:cs="Times New Roman"/>
          <w:kern w:val="0"/>
          <w:sz w:val="18"/>
          <w:szCs w:val="21"/>
          <w:lang w:val="en-US" w:eastAsia="zh-CN" w:bidi="ar-SA"/>
        </w:rPr>
        <w:t xml:space="preserve"> Author</w:t>
      </w:r>
      <w:r>
        <w:rPr>
          <w:rFonts w:ascii="Times New Roman" w:hAnsi="Times New Roman" w:eastAsia="华文中宋" w:cs="Times New Roman"/>
          <w:iCs/>
          <w:kern w:val="0"/>
          <w:sz w:val="18"/>
          <w:szCs w:val="21"/>
          <w:vertAlign w:val="superscript"/>
          <w:lang w:val="en-US" w:eastAsia="zh-CN" w:bidi="ar-SA"/>
        </w:rPr>
        <w:t>2</w:t>
      </w:r>
      <w:r>
        <w:rPr>
          <w:rFonts w:hint="eastAsia" w:ascii="Times New Roman" w:hAnsi="Times New Roman" w:eastAsia="华文中宋" w:cs="Times New Roman"/>
          <w:iCs/>
          <w:kern w:val="0"/>
          <w:sz w:val="18"/>
          <w:szCs w:val="21"/>
          <w:vertAlign w:val="superscript"/>
          <w:lang w:val="en-US" w:eastAsia="zh-CN" w:bidi="ar-SA"/>
        </w:rPr>
        <w:t>*</w:t>
      </w:r>
    </w:p>
    <w:p w14:paraId="736DEDA0">
      <w:pPr>
        <w:pStyle w:val="16"/>
        <w:keepNext/>
        <w:widowControl/>
        <w:spacing w:before="0" w:after="40" w:line="300" w:lineRule="exact"/>
        <w:ind w:left="0" w:right="0" w:firstLine="0" w:firstLineChars="0"/>
      </w:pPr>
      <w:r>
        <w:rPr>
          <w:rFonts w:ascii="Times New Roman" w:hAnsi="Times New Roman" w:eastAsia="华文中宋"/>
          <w:b/>
          <w:color w:val="000000"/>
          <w:sz w:val="18"/>
          <w:szCs w:val="18"/>
        </w:rPr>
        <w:t>【Abstract】</w:t>
      </w:r>
      <w:r>
        <w:rPr>
          <w:rFonts w:ascii="Times New Roman" w:hAnsi="Times New Roman" w:eastAsia="华文中宋"/>
          <w:color w:val="000000"/>
          <w:sz w:val="18"/>
          <w:szCs w:val="18"/>
        </w:rPr>
        <w:t>Large language models are widely used in artificial intelligence for science (AI4S), supported by their capabilities in language understanding, knowledge integration, and reasoning. They offer considerable potential to improve research efficiency, broaden research perspectives, and accelerate discovery. As their applications expand from information processing to autonomous research execution, hallucinations that conflict with literature evidence, actual experiments, or data analyses become an important reliability concern. Existing studies address these problems through fact checking, retrieval augmentation, execution auditing, and error repair. However, their verification targets, evidence conditions, and evaluation objectives differ, and passing local checks does not establish complete support for a scientific conclusion. This paper reviews hallucination detection and mitigation for scientific research. First, it distinguishes literature facts, hypothesis rationales, execution statements, and result interpretations, and clarifies the boundaries between inaccurate content, insufficient evidence, and hypotheses awaiting validation. Second, it reviews detection methods based on literature and domain knowledge, data and execution artifacts, and model-derived signals. It compares training interventions, generation constraints, and dependency-based repair in terms of their mechanisms and conditions of use. Third, cases from scientific summarization, automated research writing, and data analysis illustrate omitted conditions, fabricated results, and broken support paths. Relevant benchmarks and metrics are examined according to what they can verify. Finally, the review discusses open hypothesis exploration, preservation of conditions across modalities, error propagation, independent verification, and verification costs.</w:t>
      </w:r>
    </w:p>
    <w:p w14:paraId="32491AA7">
      <w:pPr>
        <w:pStyle w:val="16"/>
        <w:keepNext w:val="0"/>
        <w:widowControl/>
        <w:spacing w:before="0" w:after="40" w:line="300" w:lineRule="exact"/>
        <w:ind w:left="0" w:right="0" w:firstLine="0" w:firstLineChars="0"/>
      </w:pPr>
      <w:r>
        <w:rPr>
          <w:rFonts w:ascii="Times New Roman" w:hAnsi="Times New Roman" w:eastAsia="华文中宋"/>
          <w:b/>
          <w:color w:val="000000"/>
          <w:sz w:val="18"/>
          <w:szCs w:val="18"/>
        </w:rPr>
        <w:t>【Key words】</w:t>
      </w:r>
      <w:r>
        <w:rPr>
          <w:rFonts w:ascii="Times New Roman" w:hAnsi="Times New Roman" w:eastAsia="华文中宋"/>
          <w:color w:val="000000"/>
          <w:sz w:val="18"/>
          <w:szCs w:val="18"/>
        </w:rPr>
        <w:t>large language models; scientific research; hallucination detection; evidence verification; scientific agents; hallucination mitigation</w:t>
      </w:r>
    </w:p>
    <w:p w14:paraId="115EF805">
      <w:pPr>
        <w:keepNext w:val="0"/>
        <w:widowControl/>
        <w:spacing w:before="0" w:after="0" w:line="20" w:lineRule="exact"/>
        <w:ind w:left="0" w:right="0" w:firstLine="0" w:firstLineChars="0"/>
        <w:sectPr>
          <w:headerReference r:id="rId4" w:type="first"/>
          <w:footerReference r:id="rId5" w:type="first"/>
          <w:headerReference r:id="rId3" w:type="default"/>
          <w:type w:val="continuous"/>
          <w:pgSz w:w="11906" w:h="16838"/>
          <w:pgMar w:top="1191" w:right="1020" w:bottom="1757" w:left="1134" w:header="850" w:footer="567" w:gutter="0"/>
          <w:cols w:space="420" w:num="1"/>
          <w:titlePg/>
          <w:docGrid w:linePitch="312" w:charSpace="-2601"/>
        </w:sectPr>
      </w:pPr>
    </w:p>
    <w:p w14:paraId="01C4306F">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0 引言</w:t>
      </w:r>
    </w:p>
    <w:p w14:paraId="3A1F75EB">
      <w:pPr>
        <w:pStyle w:val="20"/>
        <w:keepNext w:val="0"/>
        <w:widowControl/>
        <w:spacing w:before="0" w:after="0" w:line="340" w:lineRule="atLeast"/>
        <w:jc w:val="both"/>
        <w:rPr>
          <w:color w:val="000000"/>
        </w:rPr>
      </w:pPr>
      <w:r>
        <w:rPr>
          <w:rFonts w:hint="eastAsia" w:ascii="Times New Roman" w:hAnsi="Times New Roman" w:eastAsia="华文中宋"/>
          <w:color w:val="000000"/>
          <w:sz w:val="21"/>
          <w:szCs w:val="21"/>
        </w:rPr>
        <w:t>人工智能技术正逐步融入科学研究，为提升科研效率和加速科学发现提供新的技术途径。大语言模型（Large Language Model，LLM）在科学文献理解、研究构思和实验分析等环节展现出广泛的应用前景</w:t>
      </w:r>
      <w:r>
        <w:rPr>
          <w:rFonts w:ascii="Times New Roman" w:hAnsi="Times New Roman" w:eastAsia="华文中宋"/>
          <w:color w:val="000000"/>
          <w:sz w:val="21"/>
          <w:szCs w:val="21"/>
          <w:vertAlign w:val="superscript"/>
        </w:rPr>
        <w:t>[1]</w:t>
      </w:r>
      <w:r>
        <w:rPr>
          <w:rFonts w:hint="eastAsia" w:ascii="Times New Roman" w:hAnsi="Times New Roman" w:eastAsia="华文中宋"/>
          <w:color w:val="000000"/>
          <w:sz w:val="21"/>
          <w:szCs w:val="21"/>
        </w:rPr>
        <w:t>。随着领域知识、任务规划与工具调用能力的结合，相关系统进一步由单项科研辅助向多个研究环节的协同执行拓展</w:t>
      </w:r>
      <w:r>
        <w:rPr>
          <w:rFonts w:ascii="Times New Roman" w:hAnsi="Times New Roman" w:eastAsia="华文中宋"/>
          <w:color w:val="000000"/>
          <w:sz w:val="21"/>
          <w:szCs w:val="21"/>
          <w:vertAlign w:val="superscript"/>
        </w:rPr>
        <w:t>[</w:t>
      </w:r>
      <w:r>
        <w:rPr>
          <w:rFonts w:hint="eastAsia"/>
          <w:color w:val="000000"/>
          <w:sz w:val="21"/>
          <w:szCs w:val="21"/>
          <w:vertAlign w:val="superscript"/>
          <w:lang w:val="en-US" w:eastAsia="zh-CN"/>
        </w:rPr>
        <w:t>2</w:t>
      </w:r>
      <w:r>
        <w:rPr>
          <w:rFonts w:ascii="Times New Roman" w:hAnsi="Times New Roman" w:eastAsia="华文中宋"/>
          <w:color w:val="000000"/>
          <w:sz w:val="21"/>
          <w:szCs w:val="21"/>
          <w:vertAlign w:val="superscript"/>
        </w:rPr>
        <w:t>]</w:t>
      </w:r>
      <w:r>
        <w:rPr>
          <w:rFonts w:hint="eastAsia" w:ascii="Times New Roman" w:hAnsi="Times New Roman" w:eastAsia="华文中宋"/>
          <w:color w:val="000000"/>
          <w:sz w:val="21"/>
          <w:szCs w:val="21"/>
        </w:rPr>
        <w:t>。</w:t>
      </w:r>
      <w:r>
        <w:rPr>
          <w:rFonts w:ascii="Times New Roman" w:hAnsi="Times New Roman" w:eastAsia="华文中宋"/>
          <w:color w:val="000000"/>
          <w:sz w:val="21"/>
          <w:szCs w:val="21"/>
        </w:rPr>
        <w:t>ChemCrow将语言模型与化学工具结合，使自然语言推理能够利用专业计算和检索能力</w:t>
      </w:r>
      <w:r>
        <w:rPr>
          <w:rFonts w:ascii="Times New Roman" w:hAnsi="Times New Roman" w:eastAsia="华文中宋"/>
          <w:color w:val="000000"/>
          <w:sz w:val="21"/>
          <w:szCs w:val="21"/>
          <w:vertAlign w:val="superscript"/>
        </w:rPr>
        <w:t>[3]</w:t>
      </w:r>
      <w:r>
        <w:rPr>
          <w:rFonts w:ascii="Times New Roman" w:hAnsi="Times New Roman" w:eastAsia="华文中宋"/>
          <w:color w:val="000000"/>
          <w:sz w:val="21"/>
          <w:szCs w:val="21"/>
        </w:rPr>
        <w:t>；自主化学实验系统进一步连接文档、代码与实验设备</w:t>
      </w:r>
      <w:r>
        <w:rPr>
          <w:rFonts w:ascii="Times New Roman" w:hAnsi="Times New Roman" w:eastAsia="华文中宋"/>
          <w:color w:val="000000"/>
          <w:sz w:val="21"/>
          <w:szCs w:val="21"/>
          <w:vertAlign w:val="superscript"/>
        </w:rPr>
        <w:t>[4]</w:t>
      </w:r>
      <w:r>
        <w:rPr>
          <w:rFonts w:ascii="Times New Roman" w:hAnsi="Times New Roman" w:eastAsia="华文中宋"/>
          <w:color w:val="000000"/>
          <w:sz w:val="21"/>
          <w:szCs w:val="21"/>
        </w:rPr>
        <w:t>；The AI Scientist则探索了研究构思、程序实现、实验和论文生成之间的自动衔接</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。这些进展表明，大语言模型正在成为连接科学知识与研究工具的重要接口。</w:t>
      </w:r>
    </w:p>
    <w:p w14:paraId="4B1EDE07">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应用范围的拓展也提高了对生成内容可靠性的要求。通用研究将大语言模型幻觉与事实错误、来源不忠实等问题联系起来，并从数据、模型和应用等层面分析其成因及缓解方法</w:t>
      </w:r>
      <w:r>
        <w:rPr>
          <w:rFonts w:ascii="Times New Roman" w:hAnsi="Times New Roman" w:eastAsia="华文中宋"/>
          <w:color w:val="000000"/>
          <w:sz w:val="21"/>
          <w:szCs w:val="21"/>
          <w:vertAlign w:val="superscript"/>
        </w:rPr>
        <w:t>[6-7]</w:t>
      </w:r>
      <w:r>
        <w:rPr>
          <w:rFonts w:ascii="Times New Roman" w:hAnsi="Times New Roman" w:eastAsia="华文中宋"/>
          <w:color w:val="000000"/>
          <w:sz w:val="21"/>
          <w:szCs w:val="21"/>
        </w:rPr>
        <w:t>。在科研场景中，错误可以出现在不同的证据关系上。Peters等的科学总结研究发现，模型会省略限制研究结论适用范围的信息，使总结比原文表达更宽泛的结论</w:t>
      </w:r>
      <w:r>
        <w:rPr>
          <w:rFonts w:ascii="Times New Roman" w:hAnsi="Times New Roman" w:eastAsia="华文中宋"/>
          <w:color w:val="000000"/>
          <w:sz w:val="21"/>
          <w:szCs w:val="21"/>
          <w:vertAlign w:val="superscript"/>
        </w:rPr>
        <w:t>[8]</w:t>
      </w:r>
      <w:r>
        <w:rPr>
          <w:rFonts w:ascii="Times New Roman" w:hAnsi="Times New Roman" w:eastAsia="华文中宋"/>
          <w:color w:val="000000"/>
          <w:sz w:val="21"/>
          <w:szCs w:val="21"/>
        </w:rPr>
        <w:t>。The AI Scientist的作者报告，早期写作提示要求完整呈现消融研究时，系统曾在没有获得相应结果的情况下生成消融表，也曾错误陈述实验硬件</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。随着系统具备规划、记忆和连续执行能力，失实信息还可能作为中间状态参与后续决策，形成跨步骤传播</w:t>
      </w:r>
      <w:r>
        <w:rPr>
          <w:rFonts w:ascii="Times New Roman" w:hAnsi="Times New Roman" w:eastAsia="华文中宋"/>
          <w:color w:val="000000"/>
          <w:sz w:val="21"/>
          <w:szCs w:val="21"/>
          <w:vertAlign w:val="superscript"/>
        </w:rPr>
        <w:t>[9]</w:t>
      </w:r>
      <w:r>
        <w:rPr>
          <w:rFonts w:ascii="Times New Roman" w:hAnsi="Times New Roman" w:eastAsia="华文中宋"/>
          <w:color w:val="000000"/>
          <w:sz w:val="21"/>
          <w:szCs w:val="21"/>
        </w:rPr>
        <w:t>。因此，科研幻觉不仅影响回答内容，也影响研究过程与研究报告之间的对应关系。</w:t>
      </w:r>
    </w:p>
    <w:p w14:paraId="4AA5D4F7">
      <w:pPr>
        <w:pStyle w:val="20"/>
        <w:keepNext w:val="0"/>
        <w:widowControl/>
        <w:spacing w:before="0" w:after="0" w:line="340" w:lineRule="atLeast"/>
        <w:ind w:firstLine="422" w:firstLineChars="200"/>
        <w:jc w:val="both"/>
        <w:rPr>
          <w:rFonts w:ascii="Times New Roman" w:hAnsi="Times New Roman" w:eastAsia="华文中宋"/>
          <w:color w:val="000000"/>
          <w:sz w:val="21"/>
          <w:szCs w:val="21"/>
        </w:rPr>
      </w:pPr>
      <w:r>
        <w:rPr>
          <w:rFonts w:ascii="Times New Roman" w:hAnsi="Times New Roman" w:eastAsia="华文中宋"/>
          <w:color w:val="000000"/>
          <w:sz w:val="21"/>
          <w:szCs w:val="21"/>
        </w:rPr>
        <w:t>科学研究中的“不确定”与“不真实”需要分别处理。尚待检验的新假设是研究活动的合理产物，其提出并不要求已有文献证明最终结论；但作为理由引用的已知事实，应当能够得到相应证据支持。TruthHypo与KnowHD分别考察假设关系的预测及其理由的知识支撑，体现了对两类问题的区分</w:t>
      </w:r>
      <w:r>
        <w:rPr>
          <w:rFonts w:ascii="Times New Roman" w:hAnsi="Times New Roman" w:eastAsia="华文中宋"/>
          <w:color w:val="000000"/>
          <w:sz w:val="21"/>
          <w:szCs w:val="21"/>
          <w:vertAlign w:val="superscript"/>
        </w:rPr>
        <w:t>[10]</w:t>
      </w:r>
      <w:r>
        <w:rPr>
          <w:rFonts w:ascii="Times New Roman" w:hAnsi="Times New Roman" w:eastAsia="华文中宋"/>
          <w:color w:val="000000"/>
          <w:sz w:val="21"/>
          <w:szCs w:val="21"/>
        </w:rPr>
        <w:t>。同样，实验结果不支持预期假设、代码因资源限制而运行失败，都可以是如实报告的研究结果。Xcientist将仍被表述为已获支持、却与来源、实现或实验依据不一致的主张定义为主张漂移，并明确区分已确认的不一致与无法核查的记录</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。这意味着，科研幻觉治理既需要识别失实陈述，也需要保留证据不足和假设未决的状态。</w:t>
      </w:r>
    </w:p>
    <w:p w14:paraId="60C5568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现有综述已经形成了较为丰富的研究基础。通用幻觉综述系统讨论定义、评估与缓解方法</w:t>
      </w:r>
      <w:r>
        <w:rPr>
          <w:rFonts w:ascii="Times New Roman" w:hAnsi="Times New Roman" w:eastAsia="华文中宋"/>
          <w:color w:val="000000"/>
          <w:sz w:val="21"/>
          <w:szCs w:val="21"/>
          <w:vertAlign w:val="superscript"/>
        </w:rPr>
        <w:t>[6-7]</w:t>
      </w:r>
      <w:r>
        <w:rPr>
          <w:rFonts w:ascii="Times New Roman" w:hAnsi="Times New Roman" w:eastAsia="华文中宋"/>
          <w:color w:val="000000"/>
          <w:sz w:val="21"/>
          <w:szCs w:val="21"/>
        </w:rPr>
        <w:t>，智能体幻觉综述将分析范围扩展到推理、工具使用和记忆等过程</w:t>
      </w:r>
      <w:r>
        <w:rPr>
          <w:rFonts w:ascii="Times New Roman" w:hAnsi="Times New Roman" w:eastAsia="华文中宋"/>
          <w:color w:val="000000"/>
          <w:sz w:val="21"/>
          <w:szCs w:val="21"/>
          <w:vertAlign w:val="superscript"/>
        </w:rPr>
        <w:t>[9]</w:t>
      </w:r>
      <w:r>
        <w:rPr>
          <w:rFonts w:ascii="Times New Roman" w:hAnsi="Times New Roman" w:eastAsia="华文中宋"/>
          <w:color w:val="000000"/>
          <w:sz w:val="21"/>
          <w:szCs w:val="21"/>
        </w:rPr>
        <w:t>，科学事实核查综述关注专业主张、科学语料和证据判断</w:t>
      </w:r>
      <w:r>
        <w:rPr>
          <w:rFonts w:ascii="Times New Roman" w:hAnsi="Times New Roman" w:eastAsia="华文中宋"/>
          <w:color w:val="000000"/>
          <w:sz w:val="21"/>
          <w:szCs w:val="21"/>
          <w:vertAlign w:val="superscript"/>
        </w:rPr>
        <w:t>[12]</w:t>
      </w:r>
      <w:r>
        <w:rPr>
          <w:rFonts w:ascii="Times New Roman" w:hAnsi="Times New Roman" w:eastAsia="华文中宋"/>
          <w:color w:val="000000"/>
          <w:sz w:val="21"/>
          <w:szCs w:val="21"/>
        </w:rPr>
        <w:t>，自主科研系统综述则揭示了从运行成功到研究结论成立之间的验证缺口</w:t>
      </w:r>
      <w:r>
        <w:rPr>
          <w:rFonts w:ascii="Times New Roman" w:hAnsi="Times New Roman" w:eastAsia="华文中宋"/>
          <w:color w:val="000000"/>
          <w:sz w:val="21"/>
          <w:szCs w:val="21"/>
          <w:vertAlign w:val="superscript"/>
        </w:rPr>
        <w:t>[13]</w:t>
      </w:r>
      <w:r>
        <w:rPr>
          <w:rFonts w:ascii="Times New Roman" w:hAnsi="Times New Roman" w:eastAsia="华文中宋"/>
          <w:color w:val="000000"/>
          <w:sz w:val="21"/>
          <w:szCs w:val="21"/>
        </w:rPr>
        <w:t>。人工智能可信性研究进一步强调，系统评价需要同时考察数据、模型与结果的证据</w:t>
      </w:r>
      <w:r>
        <w:rPr>
          <w:rFonts w:ascii="Times New Roman" w:hAnsi="Times New Roman" w:eastAsia="华文中宋"/>
          <w:color w:val="000000"/>
          <w:sz w:val="21"/>
          <w:szCs w:val="21"/>
          <w:vertAlign w:val="superscript"/>
        </w:rPr>
        <w:t>[14]</w:t>
      </w:r>
      <w:r>
        <w:rPr>
          <w:rFonts w:ascii="Times New Roman" w:hAnsi="Times New Roman" w:eastAsia="华文中宋"/>
          <w:color w:val="000000"/>
          <w:sz w:val="21"/>
          <w:szCs w:val="21"/>
        </w:rPr>
        <w:t>。这些视角各有侧重，尚需结合科研活动说明：同一项主张应当向什么证据核查，检测发现的问题能够触发何种修复，以及评价指标究竟证明了事实准确、实施忠实还是科学结论有效。</w:t>
      </w:r>
    </w:p>
    <w:p w14:paraId="6E94C51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本文围绕上述问题，对面向科学研究的大语言模型幻觉检测与治理进行综述。主要贡献体现在3个方面：一是围绕科学主张与其证据的对应关系，区分文献事实、假设理由、执行声明和结果解释，明确失实内容、证据不足及开放假设的判定边界；二是比较文献核验、研究产物审计和模型信号检测的机制，并分析训练干预、生成约束与错误修复如何衔接，揭示局部核验通过仍可能留下的支持缺口；三是结合科学总结、自动科研写作与数据分析案例，将方法比较落实到具体错误和证据位置，进一步分析基准的评价对象、适用范围及未来研究问题。</w:t>
      </w:r>
    </w:p>
    <w:p w14:paraId="7C2A821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第1节界定科研幻觉的对象与成因；第2节结合文献总结和数据分析案例讨论检测与核验；第3节结合报告生成和依赖恢复说明预防、约束与修复；第4节比较评价基准及指标；第5节讨论研究挑战与未来方向；第6节总结全文。</w:t>
      </w:r>
    </w:p>
    <w:p w14:paraId="38FC5988">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1 科研幻觉的判定对象与成因</w:t>
      </w:r>
    </w:p>
    <w:p w14:paraId="29870858">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1.1 事实性、忠实性与科学不确定性</w:t>
      </w:r>
    </w:p>
    <w:p w14:paraId="486549B6">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事实性与忠实性是理解大语言模型幻觉的两个基本维度。事实性关注内容是否符合可以确认的事实，忠实性关注输出与给定材料、指令或上下文之间是否一致</w:t>
      </w:r>
      <w:r>
        <w:rPr>
          <w:rFonts w:ascii="Times New Roman" w:hAnsi="Times New Roman" w:eastAsia="华文中宋"/>
          <w:color w:val="000000"/>
          <w:sz w:val="21"/>
          <w:szCs w:val="21"/>
          <w:vertAlign w:val="superscript"/>
        </w:rPr>
        <w:t>[6]</w:t>
      </w:r>
      <w:r>
        <w:rPr>
          <w:rFonts w:ascii="Times New Roman" w:hAnsi="Times New Roman" w:eastAsia="华文中宋"/>
          <w:color w:val="000000"/>
          <w:sz w:val="21"/>
          <w:szCs w:val="21"/>
        </w:rPr>
        <w:t>。两者在科研场景中既相关又有区别。例如，模型可以忠实复述一篇论文的结论，而该论文的结论后来受到新证据质疑；模型也可能表达一个一般意义上正确的知识，却将其错误归因于当前引用的论文。前者需要判断来源的时效性与研究有效性，后者需要核查具体引文的支持关系。科学事实核查因此将证据检索与支持关系判定作为相互连接的环节</w:t>
      </w:r>
      <w:r>
        <w:rPr>
          <w:rFonts w:ascii="Times New Roman" w:hAnsi="Times New Roman" w:eastAsia="华文中宋"/>
          <w:color w:val="000000"/>
          <w:sz w:val="21"/>
          <w:szCs w:val="21"/>
          <w:vertAlign w:val="superscript"/>
        </w:rPr>
        <w:t>[12]</w:t>
      </w:r>
      <w:r>
        <w:rPr>
          <w:rFonts w:ascii="Times New Roman" w:hAnsi="Times New Roman" w:eastAsia="华文中宋"/>
          <w:color w:val="000000"/>
          <w:sz w:val="21"/>
          <w:szCs w:val="21"/>
        </w:rPr>
        <w:t>。</w:t>
      </w:r>
    </w:p>
    <w:p w14:paraId="4C94F30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判定科研输出时，还应识别陈述承担的认识作用。“某文献报告了关联”“由此推测可能存在作用机制”和“实验已经证实该机制”具有不同的证据要求。本文将它们分别视为已有研究的转述、待检验的推断和关于研究结果的断言。假设生成研究可以检查推断依据是否受已有知识支持</w:t>
      </w:r>
      <w:r>
        <w:rPr>
          <w:rFonts w:ascii="Times New Roman" w:hAnsi="Times New Roman" w:eastAsia="华文中宋"/>
          <w:color w:val="000000"/>
          <w:sz w:val="21"/>
          <w:szCs w:val="21"/>
          <w:vertAlign w:val="superscript"/>
        </w:rPr>
        <w:t>[10,15]</w:t>
      </w:r>
      <w:r>
        <w:rPr>
          <w:rFonts w:ascii="Times New Roman" w:hAnsi="Times New Roman" w:eastAsia="华文中宋"/>
          <w:color w:val="000000"/>
          <w:sz w:val="21"/>
          <w:szCs w:val="21"/>
        </w:rPr>
        <w:t>，实验审计则检查后两类陈述是否与实际完成的研究相符</w:t>
      </w:r>
      <w:r>
        <w:rPr>
          <w:rFonts w:ascii="Times New Roman" w:hAnsi="Times New Roman" w:eastAsia="华文中宋"/>
          <w:color w:val="000000"/>
          <w:sz w:val="21"/>
          <w:szCs w:val="21"/>
          <w:vertAlign w:val="superscript"/>
        </w:rPr>
        <w:t>[11,16]</w:t>
      </w:r>
      <w:r>
        <w:rPr>
          <w:rFonts w:ascii="Times New Roman" w:hAnsi="Times New Roman" w:eastAsia="华文中宋"/>
          <w:color w:val="000000"/>
          <w:sz w:val="21"/>
          <w:szCs w:val="21"/>
        </w:rPr>
        <w:t>。其中，原始研究并未提供某项证据，与已有证据明确反驳某项陈述，属于两种不同状态。</w:t>
      </w:r>
    </w:p>
    <w:p w14:paraId="317E52B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科学主张核验通常需要保留“支持、反驳、证据不足”的区分。SciFact以科学摘要及其证据句判断主张，允许同一主张相对于不同文献具有不同的支持关系</w:t>
      </w:r>
      <w:r>
        <w:rPr>
          <w:rFonts w:ascii="Times New Roman" w:hAnsi="Times New Roman" w:eastAsia="华文中宋"/>
          <w:color w:val="000000"/>
          <w:sz w:val="21"/>
          <w:szCs w:val="21"/>
          <w:vertAlign w:val="superscript"/>
        </w:rPr>
        <w:t>[17]</w:t>
      </w:r>
      <w:r>
        <w:rPr>
          <w:rFonts w:ascii="Times New Roman" w:hAnsi="Times New Roman" w:eastAsia="华文中宋"/>
          <w:color w:val="000000"/>
          <w:sz w:val="21"/>
          <w:szCs w:val="21"/>
        </w:rPr>
        <w:t>。这一区分对开放科学问题尤其重要：检索未命中可能来自语料覆盖不足、表达差异或知识尚未形成，不能一律解释为主张错误。相反，即使存在真实来源，也需要确认该来源是否支持陈述中的对象、关系、范围和确定程度。引用真实性只是内容核验的入口。</w:t>
      </w:r>
    </w:p>
    <w:p w14:paraId="6F5EA76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研幻觉的边界也不宜扩大为所有科研失败。程序报错属于执行状态，实验阴性结果属于观测结果，模型生成的解释则是对这些状态和结果的陈述。只有当陈述虚构了完成情况、歪曲了观测，或将缺乏依据的解释表述为已有事实时，才进入本文重点讨论的幻觉问题。实验实施忠实性研究还包含协议违背和未完成比较等问题</w:t>
      </w:r>
      <w:r>
        <w:rPr>
          <w:rFonts w:ascii="Times New Roman" w:hAnsi="Times New Roman" w:eastAsia="华文中宋"/>
          <w:color w:val="000000"/>
          <w:sz w:val="21"/>
          <w:szCs w:val="21"/>
          <w:vertAlign w:val="superscript"/>
        </w:rPr>
        <w:t>[16]</w:t>
      </w:r>
      <w:r>
        <w:rPr>
          <w:rFonts w:ascii="Times New Roman" w:hAnsi="Times New Roman" w:eastAsia="华文中宋"/>
          <w:color w:val="000000"/>
          <w:sz w:val="21"/>
          <w:szCs w:val="21"/>
        </w:rPr>
        <w:t>；它们与幻觉有关，但应依据报告内容是否失实分别判定。这样的边界能够避免把科学探索中的正常失败当作应被消除的模型行为。</w:t>
      </w:r>
    </w:p>
    <w:p w14:paraId="6539806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图1以The AI Scientist记录的指标解释错误说明这一边界。Moons实验中越小越好的相对熵（KL散度）由0.090变为0.093，却被表述为“3.3%的改进”</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。两个数值都有记录，错误出在比较方向。与记录相符的事实陈述、与指标定义矛盾的解释、明确标注的待验证假设及证据不足，应分别判断。</w:t>
      </w:r>
    </w:p>
    <w:p w14:paraId="4B47D9AF">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355930FD">
      <w:pPr>
        <w:keepNext/>
        <w:keepLines/>
        <w:widowControl/>
        <w:spacing w:before="80" w:after="0" w:line="20" w:lineRule="atLeast"/>
        <w:ind w:left="0" w:right="0" w:firstLine="0" w:firstLineChars="0"/>
        <w:jc w:val="center"/>
        <w:rPr>
          <w:rFonts w:hint="eastAsia" w:eastAsia="宋体"/>
          <w:lang w:eastAsia="zh-CN"/>
        </w:rPr>
      </w:pPr>
      <w:r>
        <w:rPr>
          <w:rFonts w:hint="eastAsia" w:eastAsia="宋体"/>
          <w:lang w:eastAsia="zh-CN"/>
        </w:rPr>
        <w:drawing>
          <wp:inline distT="0" distB="0" distL="114300" distR="114300">
            <wp:extent cx="6181725" cy="2317750"/>
            <wp:effectExtent l="0" t="0" r="3175" b="8255"/>
            <wp:docPr id="8" name="图片 8" descr="06ec580f03b96380f36b81d74b4f4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6ec580f03b96380f36b81d74b4f462d"/>
                    <pic:cNvPicPr>
                      <a:picLocks noChangeAspect="1"/>
                    </pic:cNvPicPr>
                  </pic:nvPicPr>
                  <pic:blipFill>
                    <a:blip r:embed="rId7"/>
                    <a:stretch>
                      <a:fillRect/>
                    </a:stretch>
                  </pic:blipFill>
                  <pic:spPr>
                    <a:xfrm>
                      <a:off x="0" y="0"/>
                      <a:ext cx="6181725" cy="2318147"/>
                    </a:xfrm>
                    <a:prstGeom prst="rect">
                      <a:avLst/>
                    </a:prstGeom>
                  </pic:spPr>
                </pic:pic>
              </a:graphicData>
            </a:graphic>
          </wp:inline>
        </w:drawing>
      </w:r>
    </w:p>
    <w:p w14:paraId="1465F4D9">
      <w:pPr>
        <w:pStyle w:val="34"/>
        <w:keepNext/>
        <w:keepLines/>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图1 同一实验记录下的幻觉判定</w:t>
      </w:r>
    </w:p>
    <w:p w14:paraId="72A10BBC">
      <w:pPr>
        <w:pStyle w:val="34"/>
        <w:keepNext/>
        <w:keepLines/>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Fig.1 Judging hallucination against the same experiment record</w:t>
      </w:r>
    </w:p>
    <w:p w14:paraId="09FD6DBF">
      <w:pPr>
        <w:pStyle w:val="16"/>
        <w:keepNext w:val="0"/>
        <w:keepLines/>
        <w:widowControl/>
        <w:spacing w:before="0" w:after="80" w:line="220" w:lineRule="atLeast"/>
        <w:ind w:left="0" w:right="0" w:firstLine="0" w:firstLineChars="0"/>
        <w:jc w:val="both"/>
      </w:pPr>
      <w:r>
        <w:rPr>
          <w:rFonts w:ascii="Times New Roman" w:hAnsi="Times New Roman" w:eastAsia="华文中宋"/>
          <w:color w:val="000000"/>
          <w:sz w:val="16"/>
          <w:szCs w:val="16"/>
        </w:rPr>
        <w:t>注：数值及指标方向错误依据The AI Scientist的作者记录与Moons实验报告</w:t>
      </w:r>
      <w:r>
        <w:rPr>
          <w:rFonts w:ascii="Times New Roman" w:hAnsi="Times New Roman" w:eastAsia="华文中宋"/>
          <w:color w:val="000000"/>
          <w:sz w:val="16"/>
          <w:szCs w:val="16"/>
          <w:vertAlign w:val="superscript"/>
        </w:rPr>
        <w:t>[5]</w:t>
      </w:r>
      <w:r>
        <w:rPr>
          <w:rFonts w:ascii="Times New Roman" w:hAnsi="Times New Roman" w:eastAsia="华文中宋"/>
          <w:color w:val="000000"/>
          <w:sz w:val="16"/>
          <w:szCs w:val="16"/>
        </w:rPr>
        <w:t>；其他对照措辞为本文的说明性构造。证据不足不等于命题已经被证伪。</w:t>
      </w:r>
    </w:p>
    <w:p w14:paraId="156947A6">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3D0D0783">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1.2 从研究活动确定核验对象</w:t>
      </w:r>
    </w:p>
    <w:p w14:paraId="00137FE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不同研究活动产生不同类型的可核查对象。文献综合产生引文、事实陈述和跨论文比较；研究构思产生假设及其理由；实验分析产生协议、代码、数据、运行结果与图表；成果写作产生对上述材料的概括。AI4Research等研究据科研过程组织应用任务</w:t>
      </w:r>
      <w:r>
        <w:rPr>
          <w:rFonts w:ascii="Times New Roman" w:hAnsi="Times New Roman" w:eastAsia="华文中宋"/>
          <w:color w:val="000000"/>
          <w:sz w:val="21"/>
          <w:szCs w:val="21"/>
          <w:vertAlign w:val="superscript"/>
        </w:rPr>
        <w:t>[1]</w:t>
      </w:r>
      <w:r>
        <w:rPr>
          <w:rFonts w:ascii="Times New Roman" w:hAnsi="Times New Roman" w:eastAsia="华文中宋"/>
          <w:color w:val="000000"/>
          <w:sz w:val="21"/>
          <w:szCs w:val="21"/>
        </w:rPr>
        <w:t>，自主科研综述进一步讨论任务之间的衔接</w:t>
      </w:r>
      <w:r>
        <w:rPr>
          <w:rFonts w:ascii="Times New Roman" w:hAnsi="Times New Roman" w:eastAsia="华文中宋"/>
          <w:color w:val="000000"/>
          <w:sz w:val="21"/>
          <w:szCs w:val="21"/>
          <w:vertAlign w:val="superscript"/>
        </w:rPr>
        <w:t>[18]</w:t>
      </w:r>
      <w:r>
        <w:rPr>
          <w:rFonts w:ascii="Times New Roman" w:hAnsi="Times New Roman" w:eastAsia="华文中宋"/>
          <w:color w:val="000000"/>
          <w:sz w:val="21"/>
          <w:szCs w:val="21"/>
        </w:rPr>
        <w:t>。对幻觉治理而言，研究环节提供应用背景，而具体主张及其依据决定使用何种检测器。</w:t>
      </w:r>
    </w:p>
    <w:p w14:paraId="3FA3FF8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本文据此将核验依据归纳为文献与领域知识、数据与运行产物、模型自身信号3类。前两类分别提供关于已有研究和当前执行的外部证据；后一类通过生成差异或置信信号估计风险。待验证假设应保留为独立状态：其理由可以先接受事实核验，最终关系仍需实验或其他科学验证。模型信号则辅助确定核验优先级，不直接承担科学真值判定。</w:t>
      </w:r>
    </w:p>
    <w:p w14:paraId="4A874337">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同一结果可能涉及多项核验。例如，报告声称“采用方法甲，在数据集乙上优于基线丙”，至少包含方法身份、数据身份、比较是否完成和结果方向4项可核查内容。找到了方法甲的论文，只能解决背景来源的一部分问题；观察到程序正常退出，也不足以证明基线丙已经运行。Xcientist区分来源到构思、构思到实现、实验到主张的支持关系</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，SciRigor进一步检查同一次运行中的数据、计算、图表与主张是否形成完整路径</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。二者共同说明，研究产物之间的关系本身也是核验对象。</w:t>
      </w:r>
    </w:p>
    <w:p w14:paraId="0DF17AE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表1比较相关研究视角及本文关注的问题。该划分用于明确分析层次：通用方法提供基础机制，科研任务决定可用证据，过程审计连接中间产物，最终由评价设计决定某项改进能够支持何种可靠性结论。</w:t>
      </w:r>
    </w:p>
    <w:p w14:paraId="1C47BC4D">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498A15FA">
      <w:pPr>
        <w:pStyle w:val="23"/>
        <w:keepNext/>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表1 相关综述的分析视角与科研场景中的补充问题</w:t>
      </w:r>
    </w:p>
    <w:p w14:paraId="1440BC20">
      <w:pPr>
        <w:pStyle w:val="23"/>
        <w:keepNext/>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Table 1 Perspectives of related surveys and additional questions in scientific research</w:t>
      </w:r>
    </w:p>
    <w:tbl>
      <w:tblPr>
        <w:tblStyle w:val="7"/>
        <w:tblW w:w="9751"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55" w:type="dxa"/>
          <w:left w:w="70" w:type="dxa"/>
          <w:bottom w:w="55" w:type="dxa"/>
          <w:right w:w="70" w:type="dxa"/>
        </w:tblCellMar>
      </w:tblPr>
      <w:tblGrid>
        <w:gridCol w:w="1474"/>
        <w:gridCol w:w="3061"/>
        <w:gridCol w:w="2608"/>
        <w:gridCol w:w="2608"/>
      </w:tblGrid>
      <w:tr w14:paraId="178142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tblHeader/>
          <w:jc w:val="center"/>
        </w:trPr>
        <w:tc>
          <w:tcPr>
            <w:tcW w:w="1474" w:type="dxa"/>
            <w:tcBorders>
              <w:bottom w:val="single" w:color="000000" w:sz="4" w:space="0"/>
            </w:tcBorders>
            <w:vAlign w:val="center"/>
          </w:tcPr>
          <w:p w14:paraId="2B1D94FA">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研究视角</w:t>
            </w:r>
          </w:p>
        </w:tc>
        <w:tc>
          <w:tcPr>
            <w:tcW w:w="3061" w:type="dxa"/>
            <w:tcBorders>
              <w:bottom w:val="single" w:color="000000" w:sz="4" w:space="0"/>
            </w:tcBorders>
            <w:vAlign w:val="center"/>
          </w:tcPr>
          <w:p w14:paraId="0F690068">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代表文献</w:t>
            </w:r>
          </w:p>
        </w:tc>
        <w:tc>
          <w:tcPr>
            <w:tcW w:w="2608" w:type="dxa"/>
            <w:tcBorders>
              <w:bottom w:val="single" w:color="000000" w:sz="4" w:space="0"/>
            </w:tcBorders>
            <w:vAlign w:val="center"/>
          </w:tcPr>
          <w:p w14:paraId="624ABF2D">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已有分析重点</w:t>
            </w:r>
          </w:p>
        </w:tc>
        <w:tc>
          <w:tcPr>
            <w:tcW w:w="2608" w:type="dxa"/>
            <w:tcBorders>
              <w:bottom w:val="single" w:color="000000" w:sz="4" w:space="0"/>
            </w:tcBorders>
            <w:vAlign w:val="center"/>
          </w:tcPr>
          <w:p w14:paraId="7C88CA28">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本文进一步关注的问题</w:t>
            </w:r>
          </w:p>
        </w:tc>
      </w:tr>
      <w:tr w14:paraId="056E09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0E05691C">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通用幻觉</w:t>
            </w:r>
          </w:p>
        </w:tc>
        <w:tc>
          <w:tcPr>
            <w:tcW w:w="3061" w:type="dxa"/>
            <w:vAlign w:val="center"/>
          </w:tcPr>
          <w:p w14:paraId="54E50F8A">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幻觉原理与分类综述</w:t>
            </w:r>
            <w:r>
              <w:rPr>
                <w:rFonts w:ascii="Times New Roman" w:hAnsi="Times New Roman" w:eastAsia="华文中宋"/>
                <w:b w:val="0"/>
                <w:color w:val="000000"/>
                <w:sz w:val="18"/>
                <w:szCs w:val="18"/>
                <w:vertAlign w:val="superscript"/>
              </w:rPr>
              <w:t>[6]</w:t>
            </w:r>
            <w:r>
              <w:rPr>
                <w:rFonts w:ascii="Times New Roman" w:hAnsi="Times New Roman" w:eastAsia="华文中宋"/>
                <w:b w:val="0"/>
                <w:color w:val="000000"/>
                <w:sz w:val="18"/>
                <w:szCs w:val="18"/>
              </w:rPr>
              <w:t>、中文幻觉综述</w:t>
            </w:r>
            <w:r>
              <w:rPr>
                <w:rFonts w:ascii="Times New Roman" w:hAnsi="Times New Roman" w:eastAsia="华文中宋"/>
                <w:b w:val="0"/>
                <w:color w:val="000000"/>
                <w:sz w:val="18"/>
                <w:szCs w:val="18"/>
                <w:vertAlign w:val="superscript"/>
              </w:rPr>
              <w:t>[7]</w:t>
            </w:r>
          </w:p>
        </w:tc>
        <w:tc>
          <w:tcPr>
            <w:tcW w:w="2608" w:type="dxa"/>
            <w:vAlign w:val="center"/>
          </w:tcPr>
          <w:p w14:paraId="389D86D5">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事实性与忠实性；评估和缓解方法</w:t>
            </w:r>
          </w:p>
        </w:tc>
        <w:tc>
          <w:tcPr>
            <w:tcW w:w="2608" w:type="dxa"/>
            <w:vAlign w:val="center"/>
          </w:tcPr>
          <w:p w14:paraId="3066D8AC">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已知事实与未知假设使用什么不同标准</w:t>
            </w:r>
          </w:p>
        </w:tc>
      </w:tr>
      <w:tr w14:paraId="5045AB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59603E57">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智能体幻觉</w:t>
            </w:r>
          </w:p>
        </w:tc>
        <w:tc>
          <w:tcPr>
            <w:tcW w:w="3061" w:type="dxa"/>
            <w:vAlign w:val="center"/>
          </w:tcPr>
          <w:p w14:paraId="153D528B">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智能体幻觉综述</w:t>
            </w:r>
            <w:r>
              <w:rPr>
                <w:rFonts w:ascii="Times New Roman" w:hAnsi="Times New Roman" w:eastAsia="华文中宋"/>
                <w:b w:val="0"/>
                <w:color w:val="000000"/>
                <w:sz w:val="18"/>
                <w:szCs w:val="18"/>
                <w:vertAlign w:val="superscript"/>
              </w:rPr>
              <w:t>[9]</w:t>
            </w:r>
          </w:p>
        </w:tc>
        <w:tc>
          <w:tcPr>
            <w:tcW w:w="2608" w:type="dxa"/>
            <w:vAlign w:val="center"/>
          </w:tcPr>
          <w:p w14:paraId="10112B9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推理、执行与记忆中的错误</w:t>
            </w:r>
          </w:p>
        </w:tc>
        <w:tc>
          <w:tcPr>
            <w:tcW w:w="2608" w:type="dxa"/>
            <w:vAlign w:val="center"/>
          </w:tcPr>
          <w:p w14:paraId="7710DD25">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哪些状态受旧错误影响，修复应到什么范围</w:t>
            </w:r>
          </w:p>
        </w:tc>
      </w:tr>
      <w:tr w14:paraId="36EFB4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4A74D238">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科学事实核查</w:t>
            </w:r>
          </w:p>
        </w:tc>
        <w:tc>
          <w:tcPr>
            <w:tcW w:w="3061" w:type="dxa"/>
            <w:vAlign w:val="center"/>
          </w:tcPr>
          <w:p w14:paraId="41D73211">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科学事实核查综述</w:t>
            </w:r>
            <w:r>
              <w:rPr>
                <w:rFonts w:ascii="Times New Roman" w:hAnsi="Times New Roman" w:eastAsia="华文中宋"/>
                <w:b w:val="0"/>
                <w:color w:val="000000"/>
                <w:sz w:val="18"/>
                <w:szCs w:val="18"/>
                <w:vertAlign w:val="superscript"/>
              </w:rPr>
              <w:t>[12]</w:t>
            </w:r>
          </w:p>
        </w:tc>
        <w:tc>
          <w:tcPr>
            <w:tcW w:w="2608" w:type="dxa"/>
            <w:vAlign w:val="center"/>
          </w:tcPr>
          <w:p w14:paraId="6E2DB9C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专业语料、主张与证据</w:t>
            </w:r>
          </w:p>
        </w:tc>
        <w:tc>
          <w:tcPr>
            <w:tcW w:w="2608" w:type="dxa"/>
            <w:vAlign w:val="center"/>
          </w:tcPr>
          <w:p w14:paraId="2938C8C3">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文献支持如何保留对象、条件和结果范围</w:t>
            </w:r>
          </w:p>
        </w:tc>
      </w:tr>
      <w:tr w14:paraId="55DB3C5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5603F44C">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自主科研与审计</w:t>
            </w:r>
          </w:p>
        </w:tc>
        <w:tc>
          <w:tcPr>
            <w:tcW w:w="3061" w:type="dxa"/>
            <w:vAlign w:val="center"/>
          </w:tcPr>
          <w:p w14:paraId="38B656A2">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科学智能体综述</w:t>
            </w:r>
            <w:r>
              <w:rPr>
                <w:rFonts w:ascii="Times New Roman" w:hAnsi="Times New Roman" w:eastAsia="华文中宋"/>
                <w:b w:val="0"/>
                <w:color w:val="000000"/>
                <w:sz w:val="18"/>
                <w:szCs w:val="18"/>
                <w:vertAlign w:val="superscript"/>
              </w:rPr>
              <w:t>[2]</w:t>
            </w:r>
            <w:r>
              <w:rPr>
                <w:rFonts w:ascii="Times New Roman" w:hAnsi="Times New Roman" w:eastAsia="华文中宋"/>
                <w:b w:val="0"/>
                <w:color w:val="000000"/>
                <w:sz w:val="18"/>
                <w:szCs w:val="18"/>
              </w:rPr>
              <w:t>、验证缺口综述</w:t>
            </w:r>
            <w:r>
              <w:rPr>
                <w:rFonts w:ascii="Times New Roman" w:hAnsi="Times New Roman" w:eastAsia="华文中宋"/>
                <w:b w:val="0"/>
                <w:color w:val="000000"/>
                <w:sz w:val="18"/>
                <w:szCs w:val="18"/>
                <w:vertAlign w:val="superscript"/>
              </w:rPr>
              <w:t>[13]</w:t>
            </w:r>
          </w:p>
        </w:tc>
        <w:tc>
          <w:tcPr>
            <w:tcW w:w="2608" w:type="dxa"/>
            <w:vAlign w:val="center"/>
          </w:tcPr>
          <w:p w14:paraId="13639A46">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科研系统能力及研究产物的验证</w:t>
            </w:r>
          </w:p>
        </w:tc>
        <w:tc>
          <w:tcPr>
            <w:tcW w:w="2608" w:type="dxa"/>
            <w:vAlign w:val="center"/>
          </w:tcPr>
          <w:p w14:paraId="308F5333">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运行、实施、结果解释能否逐项对应</w:t>
            </w:r>
          </w:p>
        </w:tc>
      </w:tr>
      <w:tr w14:paraId="773298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29556DFD">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系统可信性</w:t>
            </w:r>
          </w:p>
        </w:tc>
        <w:tc>
          <w:tcPr>
            <w:tcW w:w="3061" w:type="dxa"/>
            <w:vAlign w:val="center"/>
          </w:tcPr>
          <w:p w14:paraId="3FF0FC2F">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人工智能可信度量综述</w:t>
            </w:r>
            <w:r>
              <w:rPr>
                <w:rFonts w:ascii="Times New Roman" w:hAnsi="Times New Roman" w:eastAsia="华文中宋"/>
                <w:b w:val="0"/>
                <w:color w:val="000000"/>
                <w:sz w:val="18"/>
                <w:szCs w:val="18"/>
                <w:vertAlign w:val="superscript"/>
              </w:rPr>
              <w:t>[14]</w:t>
            </w:r>
          </w:p>
        </w:tc>
        <w:tc>
          <w:tcPr>
            <w:tcW w:w="2608" w:type="dxa"/>
            <w:vAlign w:val="center"/>
          </w:tcPr>
          <w:p w14:paraId="0F1A6413">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数据、模型和结果的多维证据</w:t>
            </w:r>
          </w:p>
        </w:tc>
        <w:tc>
          <w:tcPr>
            <w:tcW w:w="2608" w:type="dxa"/>
            <w:vAlign w:val="center"/>
          </w:tcPr>
          <w:p w14:paraId="3167795B">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幻觉检测成绩能否说明整体科研可靠性</w:t>
            </w:r>
          </w:p>
        </w:tc>
      </w:tr>
    </w:tbl>
    <w:p w14:paraId="7E9B9C1B">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49792196">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1.3 科研幻觉的主要形成机制</w:t>
      </w:r>
    </w:p>
    <w:p w14:paraId="5D761A3C">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1.3.1 知识覆盖不足与证据使用偏差</w:t>
      </w:r>
    </w:p>
    <w:p w14:paraId="3F63393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知识缺失是生成失实内容的重要条件，但仅增加输入材料并不能保证正确使用证据。通用幻觉研究从训练数据与学习过程分析了知识缺口及生成偏差</w:t>
      </w:r>
      <w:r>
        <w:rPr>
          <w:rFonts w:ascii="Times New Roman" w:hAnsi="Times New Roman" w:eastAsia="华文中宋"/>
          <w:color w:val="000000"/>
          <w:sz w:val="21"/>
          <w:szCs w:val="21"/>
          <w:vertAlign w:val="superscript"/>
        </w:rPr>
        <w:t>[6,20]</w:t>
      </w:r>
      <w:r>
        <w:rPr>
          <w:rFonts w:ascii="Times New Roman" w:hAnsi="Times New Roman" w:eastAsia="华文中宋"/>
          <w:color w:val="000000"/>
          <w:sz w:val="21"/>
          <w:szCs w:val="21"/>
        </w:rPr>
        <w:t>；参数记忆与检索知识的比较表明，长尾事实会改变两类知识来源的相对作用</w:t>
      </w:r>
      <w:r>
        <w:rPr>
          <w:rFonts w:ascii="Times New Roman" w:hAnsi="Times New Roman" w:eastAsia="华文中宋"/>
          <w:color w:val="000000"/>
          <w:sz w:val="21"/>
          <w:szCs w:val="21"/>
          <w:vertAlign w:val="superscript"/>
        </w:rPr>
        <w:t>[21]</w:t>
      </w:r>
      <w:r>
        <w:rPr>
          <w:rFonts w:ascii="Times New Roman" w:hAnsi="Times New Roman" w:eastAsia="华文中宋"/>
          <w:color w:val="000000"/>
          <w:sz w:val="21"/>
          <w:szCs w:val="21"/>
        </w:rPr>
        <w:t>。对于科研应用，专业术语、最新发现与细粒度实验条件增加了证据检索的需求。与此同时，模型的内部知识可能与当前来源发生冲突，相关研究通过反事实实体替换考察模型是否遵循输入材料</w:t>
      </w:r>
      <w:r>
        <w:rPr>
          <w:rFonts w:ascii="Times New Roman" w:hAnsi="Times New Roman" w:eastAsia="华文中宋"/>
          <w:color w:val="000000"/>
          <w:sz w:val="21"/>
          <w:szCs w:val="21"/>
          <w:vertAlign w:val="superscript"/>
        </w:rPr>
        <w:t>[22]</w:t>
      </w:r>
      <w:r>
        <w:rPr>
          <w:rFonts w:ascii="Times New Roman" w:hAnsi="Times New Roman" w:eastAsia="华文中宋"/>
          <w:color w:val="000000"/>
          <w:sz w:val="21"/>
          <w:szCs w:val="21"/>
        </w:rPr>
        <w:t>。这一问题提示，获取证据和使用证据应分别检查。</w:t>
      </w:r>
    </w:p>
    <w:p w14:paraId="6A4E354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外部材料也可能是不相关或不完整的。Yoran等研究了检索增强模型对无关上下文的鲁棒性</w:t>
      </w:r>
      <w:r>
        <w:rPr>
          <w:rFonts w:ascii="Times New Roman" w:hAnsi="Times New Roman" w:eastAsia="华文中宋"/>
          <w:color w:val="000000"/>
          <w:sz w:val="21"/>
          <w:szCs w:val="21"/>
          <w:vertAlign w:val="superscript"/>
        </w:rPr>
        <w:t>[23]</w:t>
      </w:r>
      <w:r>
        <w:rPr>
          <w:rFonts w:ascii="Times New Roman" w:hAnsi="Times New Roman" w:eastAsia="华文中宋"/>
          <w:color w:val="000000"/>
          <w:sz w:val="21"/>
          <w:szCs w:val="21"/>
        </w:rPr>
        <w:t>；长上下文研究发现，模型对相关信息的利用受到其在输入中位置的影响</w:t>
      </w:r>
      <w:r>
        <w:rPr>
          <w:rFonts w:ascii="Times New Roman" w:hAnsi="Times New Roman" w:eastAsia="华文中宋"/>
          <w:color w:val="000000"/>
          <w:sz w:val="21"/>
          <w:szCs w:val="21"/>
          <w:vertAlign w:val="superscript"/>
        </w:rPr>
        <w:t>[24]</w:t>
      </w:r>
      <w:r>
        <w:rPr>
          <w:rFonts w:ascii="Times New Roman" w:hAnsi="Times New Roman" w:eastAsia="华文中宋"/>
          <w:color w:val="000000"/>
          <w:sz w:val="21"/>
          <w:szCs w:val="21"/>
        </w:rPr>
        <w:t>。这些结果不能直接转换为某个科研系统的幻觉率，但说明了把更多论文放入上下文所依赖的条件：关键段落需要被检索到、保留下来，并在生成时实际发挥作用。若只统计检索数量，则无法判断这几个环节是否完成。</w:t>
      </w:r>
    </w:p>
    <w:p w14:paraId="52012E66">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1.3.2 科学条件与关系在压缩中丢失</w:t>
      </w:r>
    </w:p>
    <w:p w14:paraId="09D28FE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学陈述的意义不仅由实体名称和数值构成，还由人群或材料范围、处理条件、时间、比较对象和不确定性共同限定。科学总结的过度概括研究将原文到总结的变化细分为从有量化限定的表达转向泛指表达、从过去时研究结果转向现在时一般陈述，以及从描述结果转向行动建议</w:t>
      </w:r>
      <w:r>
        <w:rPr>
          <w:rFonts w:ascii="Times New Roman" w:hAnsi="Times New Roman" w:eastAsia="华文中宋"/>
          <w:color w:val="000000"/>
          <w:sz w:val="21"/>
          <w:szCs w:val="21"/>
          <w:vertAlign w:val="superscript"/>
        </w:rPr>
        <w:t>[8]</w:t>
      </w:r>
      <w:r>
        <w:rPr>
          <w:rFonts w:ascii="Times New Roman" w:hAnsi="Times New Roman" w:eastAsia="华文中宋"/>
          <w:color w:val="000000"/>
          <w:sz w:val="21"/>
          <w:szCs w:val="21"/>
        </w:rPr>
        <w:t>。中文表述未必具有与英语时态一一对应的形式，但其共同问题是结论适用范围是否被扩大。因而，不能仅以词语是否出现来判断总结是否忠实。</w:t>
      </w:r>
    </w:p>
    <w:p w14:paraId="55558EC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测量信息抽取体现了这一问题的结构性。MeasHalu将错误涉及的量值、单位以及量值与实体、属性之间的关系作为干预对象</w:t>
      </w:r>
      <w:r>
        <w:rPr>
          <w:rFonts w:ascii="Times New Roman" w:hAnsi="Times New Roman" w:eastAsia="华文中宋"/>
          <w:color w:val="000000"/>
          <w:sz w:val="21"/>
          <w:szCs w:val="21"/>
          <w:vertAlign w:val="superscript"/>
        </w:rPr>
        <w:t>[25]</w:t>
      </w:r>
      <w:r>
        <w:rPr>
          <w:rFonts w:ascii="Times New Roman" w:hAnsi="Times New Roman" w:eastAsia="华文中宋"/>
          <w:color w:val="000000"/>
          <w:sz w:val="21"/>
          <w:szCs w:val="21"/>
        </w:rPr>
        <w:t>。如果数值读取正确，却被赋给另一种材料或另一项实验，最终陈述仍然失实。对于图表中的结果，还需要同时识别表头、坐标、图例和图注。AtomicTableLLM与MuSciClaims分别将科学表格推理和多模态证据纳入核验</w:t>
      </w:r>
      <w:r>
        <w:rPr>
          <w:rFonts w:ascii="Times New Roman" w:hAnsi="Times New Roman" w:eastAsia="华文中宋"/>
          <w:color w:val="000000"/>
          <w:sz w:val="21"/>
          <w:szCs w:val="21"/>
          <w:vertAlign w:val="superscript"/>
        </w:rPr>
        <w:t>[26-27]</w:t>
      </w:r>
      <w:r>
        <w:rPr>
          <w:rFonts w:ascii="Times New Roman" w:hAnsi="Times New Roman" w:eastAsia="华文中宋"/>
          <w:color w:val="000000"/>
          <w:sz w:val="21"/>
          <w:szCs w:val="21"/>
        </w:rPr>
        <w:t>。这些工作说明，科研证据需要以保留关系和条件的方式表示，单独保存一段摘要或一组数字并不充分。</w:t>
      </w:r>
    </w:p>
    <w:p w14:paraId="62199434">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1.3.3 执行过程与研究声明发生分离</w:t>
      </w:r>
    </w:p>
    <w:p w14:paraId="1008DAF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能够执行的程序可能偏离研究方案。ABE-Ralph在复现任务中记录了省略基线、改变训练协议和报告未完成比较等现象，并以结构化实验约束检查方法与实现的对应关系</w:t>
      </w:r>
      <w:r>
        <w:rPr>
          <w:rFonts w:ascii="Times New Roman" w:hAnsi="Times New Roman" w:eastAsia="华文中宋"/>
          <w:color w:val="000000"/>
          <w:sz w:val="21"/>
          <w:szCs w:val="21"/>
          <w:vertAlign w:val="superscript"/>
        </w:rPr>
        <w:t>[16]</w:t>
      </w:r>
      <w:r>
        <w:rPr>
          <w:rFonts w:ascii="Times New Roman" w:hAnsi="Times New Roman" w:eastAsia="华文中宋"/>
          <w:color w:val="000000"/>
          <w:sz w:val="21"/>
          <w:szCs w:val="21"/>
        </w:rPr>
        <w:t>。这里存在两个判断层次：改变协议本身是否被允许，以及报告是否如实反映改变。研究者可以因资源条件调整实验，但调整后的结果只能支撑相应条件下的主张，不能自动沿用原方案的结论。</w:t>
      </w:r>
    </w:p>
    <w:p w14:paraId="7B65379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研究报告还可能与实际产物分离。The AI Scientist中虚构消融表的例子表明，写作要求可以与现有实验记录发生冲突</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；SciRigor则指出，结论与模型自己的数值结果一致，仍可能同时偏离源分析</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。前者表现为缺少产物却生成了结果，后者表现为错误产物和错误解释相互一致。因此，报告检查需要追溯数值来源，并在必要时继续向前检查数据处理和计算过程。</w:t>
      </w:r>
    </w:p>
    <w:p w14:paraId="1D933DA9">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1.3.4 记忆复用与验证依赖</w:t>
      </w:r>
    </w:p>
    <w:p w14:paraId="38EB5A4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持续运行的智能体会将先前输出保存为记忆，再用于规划和回答。智能体幻觉研究将记忆与交互中的错误传播纳入分析</w:t>
      </w:r>
      <w:r>
        <w:rPr>
          <w:rFonts w:ascii="Times New Roman" w:hAnsi="Times New Roman" w:eastAsia="华文中宋"/>
          <w:color w:val="000000"/>
          <w:sz w:val="21"/>
          <w:szCs w:val="21"/>
          <w:vertAlign w:val="superscript"/>
        </w:rPr>
        <w:t>[9]</w:t>
      </w:r>
      <w:r>
        <w:rPr>
          <w:rFonts w:ascii="Times New Roman" w:hAnsi="Times New Roman" w:eastAsia="华文中宋"/>
          <w:color w:val="000000"/>
          <w:sz w:val="21"/>
          <w:szCs w:val="21"/>
        </w:rPr>
        <w:t>；类型化来源研究进一步指出，信息被保存或重新检索，并不会因此获得事实依据，其受控验证针对的是来源角色与断言权限的保持</w:t>
      </w:r>
      <w:r>
        <w:rPr>
          <w:rFonts w:ascii="Times New Roman" w:hAnsi="Times New Roman" w:eastAsia="华文中宋"/>
          <w:color w:val="000000"/>
          <w:sz w:val="21"/>
          <w:szCs w:val="21"/>
          <w:vertAlign w:val="superscript"/>
        </w:rPr>
        <w:t>[28]</w:t>
      </w:r>
      <w:r>
        <w:rPr>
          <w:rFonts w:ascii="Times New Roman" w:hAnsi="Times New Roman" w:eastAsia="华文中宋"/>
          <w:color w:val="000000"/>
          <w:sz w:val="21"/>
          <w:szCs w:val="21"/>
        </w:rPr>
        <w:t>。若推测在压缩后丢失“尚未验证”的属性，后续生成可能把它当作已知前提。纠正最终报告因此不一定能够清除持续状态中的错误。</w:t>
      </w:r>
    </w:p>
    <w:p w14:paraId="375B22EC">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验证器也可能共享生成器的盲点。无外部反馈的自我纠错研究揭示了模型反复检查自身答案的局限</w:t>
      </w:r>
      <w:r>
        <w:rPr>
          <w:rFonts w:ascii="Times New Roman" w:hAnsi="Times New Roman" w:eastAsia="华文中宋"/>
          <w:color w:val="000000"/>
          <w:sz w:val="21"/>
          <w:szCs w:val="21"/>
          <w:vertAlign w:val="superscript"/>
        </w:rPr>
        <w:t>[29]</w:t>
      </w:r>
      <w:r>
        <w:rPr>
          <w:rFonts w:ascii="Times New Roman" w:hAnsi="Times New Roman" w:eastAsia="华文中宋"/>
          <w:color w:val="000000"/>
          <w:sz w:val="21"/>
          <w:szCs w:val="21"/>
        </w:rPr>
        <w:t>；自编验证研究则在策略与测试共同更新的设置下，观察到自测成绩和隐藏评价之间的分离</w:t>
      </w:r>
      <w:r>
        <w:rPr>
          <w:rFonts w:ascii="Times New Roman" w:hAnsi="Times New Roman" w:eastAsia="华文中宋"/>
          <w:color w:val="000000"/>
          <w:sz w:val="21"/>
          <w:szCs w:val="21"/>
          <w:vertAlign w:val="superscript"/>
        </w:rPr>
        <w:t>[30]</w:t>
      </w:r>
      <w:r>
        <w:rPr>
          <w:rFonts w:ascii="Times New Roman" w:hAnsi="Times New Roman" w:eastAsia="华文中宋"/>
          <w:color w:val="000000"/>
          <w:sz w:val="21"/>
          <w:szCs w:val="21"/>
        </w:rPr>
        <w:t>。据此，科研系统中的“多次检查”需要进一步区分：检查是否获得了新的证据，是否采用独立判据，以及检查失败能否阻止错误继续传播。检查次数本身不能替代这些条件。</w:t>
      </w:r>
    </w:p>
    <w:p w14:paraId="0AAEAEE0">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2 幻觉检测与证据核验方法</w:t>
      </w:r>
    </w:p>
    <w:p w14:paraId="0A94609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检测方法的差别首先来自可访问的证据，而非使用了何种语言模型。面对一条带引用的科研结论，检索系统可以确认来源身份，文本核验器可以判断原文支持程度，执行审计器则需要数据与运行记录才能检查结果来源。主张核验综述将证据获取、选择和判断组织为连续流程</w:t>
      </w:r>
      <w:r>
        <w:rPr>
          <w:rFonts w:ascii="Times New Roman" w:hAnsi="Times New Roman" w:eastAsia="华文中宋"/>
          <w:color w:val="000000"/>
          <w:sz w:val="21"/>
          <w:szCs w:val="21"/>
          <w:vertAlign w:val="superscript"/>
        </w:rPr>
        <w:t>[31-32]</w:t>
      </w:r>
      <w:r>
        <w:rPr>
          <w:rFonts w:ascii="Times New Roman" w:hAnsi="Times New Roman" w:eastAsia="华文中宋"/>
          <w:color w:val="000000"/>
          <w:sz w:val="21"/>
          <w:szCs w:val="21"/>
        </w:rPr>
        <w:t>。在科研系统中，这一流程还需按证据类型延伸到图表和研究产物。</w:t>
      </w:r>
    </w:p>
    <w:p w14:paraId="440361E4">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2.1 引文身份与文献内容核验</w:t>
      </w:r>
    </w:p>
    <w:p w14:paraId="47FA6752">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2.1.1 引文身份核验</w:t>
      </w:r>
    </w:p>
    <w:p w14:paraId="7C5C0ECC">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引文身份核验关注参考文献是否对应真实研究，以及题名、作者、年份和标识符是否一致。CiteCheck采用“候选检索—结构化比较—错误分级”的方式，将待核查条目与外部学术来源匹配，并区分准确、轻微错误和严重错误3种情况</w:t>
      </w:r>
      <w:r>
        <w:rPr>
          <w:rFonts w:ascii="Times New Roman" w:hAnsi="Times New Roman" w:eastAsia="华文中宋"/>
          <w:color w:val="000000"/>
          <w:sz w:val="21"/>
          <w:szCs w:val="21"/>
          <w:vertAlign w:val="superscript"/>
        </w:rPr>
        <w:t>[33]</w:t>
      </w:r>
      <w:r>
        <w:rPr>
          <w:rFonts w:ascii="Times New Roman" w:hAnsi="Times New Roman" w:eastAsia="华文中宋"/>
          <w:color w:val="000000"/>
          <w:sz w:val="21"/>
          <w:szCs w:val="21"/>
        </w:rPr>
        <w:t>。与单纯检查引文格式相比，该方法引入了可回查的外部记录，能够识别格式完整但来源虚构的条目，也能够发现真实论文的元数据被错误拼接的情况。</w:t>
      </w:r>
    </w:p>
    <w:p w14:paraId="2B839BE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一任务的关键在于文献身份消歧。题名相似、预印本与正式版本并存、作者列表截断等因素，都可能影响字段匹配。因此，来源核验需要记录匹配对象及具体差异，不能仅给出“查到相关论文”的结论。CiteCheck在包含受控损坏的物理学引文基准上评价其分级能力</w:t>
      </w:r>
      <w:r>
        <w:rPr>
          <w:rFonts w:ascii="Times New Roman" w:hAnsi="Times New Roman" w:eastAsia="华文中宋"/>
          <w:color w:val="000000"/>
          <w:sz w:val="21"/>
          <w:szCs w:val="21"/>
          <w:vertAlign w:val="superscript"/>
        </w:rPr>
        <w:t>[33]</w:t>
      </w:r>
      <w:r>
        <w:rPr>
          <w:rFonts w:ascii="Times New Roman" w:hAnsi="Times New Roman" w:eastAsia="华文中宋"/>
          <w:color w:val="000000"/>
          <w:sz w:val="21"/>
          <w:szCs w:val="21"/>
        </w:rPr>
        <w:t>，其成绩首先说明该来源与扰动设置下的识别效果。对于未收录文献、数据库不可访问或多版本信息冲突，检索失败应保留为未决状态，不能直接判成来源不存在。</w:t>
      </w:r>
    </w:p>
    <w:p w14:paraId="5AE3407A">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引文真实也不意味着内容引用正确。例如，真实论文可能没有研究当前声称的对象，或只报告了相关性而未证明因果关系。CiteCheck与DeepSciVerify分别对应身份和内容两个层面的核验</w:t>
      </w:r>
      <w:r>
        <w:rPr>
          <w:rFonts w:ascii="Times New Roman" w:hAnsi="Times New Roman" w:eastAsia="华文中宋"/>
          <w:color w:val="000000"/>
          <w:sz w:val="21"/>
          <w:szCs w:val="21"/>
          <w:vertAlign w:val="superscript"/>
        </w:rPr>
        <w:t>[33-34]</w:t>
      </w:r>
      <w:r>
        <w:rPr>
          <w:rFonts w:ascii="Times New Roman" w:hAnsi="Times New Roman" w:eastAsia="华文中宋"/>
          <w:color w:val="000000"/>
          <w:sz w:val="21"/>
          <w:szCs w:val="21"/>
        </w:rPr>
        <w:t>，二者具有顺序依赖，但判断结果不能互相替代。科研写作系统若只输出一份可检索的参考文献表，仍可能留下主张与来源不匹配的问题。</w:t>
      </w:r>
    </w:p>
    <w:p w14:paraId="3F55B842">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2.1.2 主张与来源支持关系</w:t>
      </w:r>
    </w:p>
    <w:p w14:paraId="6AD36C7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内容核验的基本单元是能够接受证据判断的主张。SciFact将引用句改写为原子科学主张，并标注支持或反驳该主张的摘要及证据句</w:t>
      </w:r>
      <w:r>
        <w:rPr>
          <w:rFonts w:ascii="Times New Roman" w:hAnsi="Times New Roman" w:eastAsia="华文中宋"/>
          <w:color w:val="000000"/>
          <w:sz w:val="21"/>
          <w:szCs w:val="21"/>
          <w:vertAlign w:val="superscript"/>
        </w:rPr>
        <w:t>[17]</w:t>
      </w:r>
      <w:r>
        <w:rPr>
          <w:rFonts w:ascii="Times New Roman" w:hAnsi="Times New Roman" w:eastAsia="华文中宋"/>
          <w:color w:val="000000"/>
          <w:sz w:val="21"/>
          <w:szCs w:val="21"/>
        </w:rPr>
        <w:t>。原子化减少了复合句中不同事实互相掩盖的情况。例如，“方法甲提高准确率并降低训练成本”包含两个评价目标，来源可能只支持其中一个；若整体给出“支持”，便会掩盖另一部分证据缺失。原子化的价值因而在于暴露可分别判断的支持关系，而不只是缩短句子。</w:t>
      </w:r>
    </w:p>
    <w:p w14:paraId="167CB85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摘要能够提供低成本的初始证据，却未必包含实验条件、消融结果或限制。DeepSciVerify先依据摘要分类，对证据不足的情况再检索全文片段，形成按需增加证据的两阶段流程</w:t>
      </w:r>
      <w:r>
        <w:rPr>
          <w:rFonts w:ascii="Times New Roman" w:hAnsi="Times New Roman" w:eastAsia="华文中宋"/>
          <w:color w:val="000000"/>
          <w:sz w:val="21"/>
          <w:szCs w:val="21"/>
          <w:vertAlign w:val="superscript"/>
        </w:rPr>
        <w:t>[34]</w:t>
      </w:r>
      <w:r>
        <w:rPr>
          <w:rFonts w:ascii="Times New Roman" w:hAnsi="Times New Roman" w:eastAsia="华文中宋"/>
          <w:color w:val="000000"/>
          <w:sz w:val="21"/>
          <w:szCs w:val="21"/>
        </w:rPr>
        <w:t>。论文在SCITANCE基准上报告，67%的实例无需全文检索即可完成判断，整体Micro-F1达到86.7。该结果说明，在这一数据集与模型配置下，选择性全文核查可以兼顾准确性和检索开销；它并不意味着所有科研陈述都适合只读摘要，也不能证明提前结束的判断在其他领域同样可靠。</w:t>
      </w:r>
    </w:p>
    <w:p w14:paraId="45A5053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种分级核查存在一个重要依赖：是否进入全文阶段，由第一阶段的判断决定。如果摘要阶段错误地给出“支持”，系统便不会获得可能纠正判断的正文证据。由此，评价不仅需要报告最终分类成绩，也需要分析提前结束的错误，以及全文升级究竟解决了哪类证据缺口。这一分析是根据DeepSciVerify的路由机制得出的评价要求，其目的在于识别节省开销所付出的错误代价。</w:t>
      </w:r>
    </w:p>
    <w:p w14:paraId="5FC3AAB7">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来源支持也不是简单的语义相似。科学事实核查需要处理专业概念、数值增减和统计表达</w:t>
      </w:r>
      <w:r>
        <w:rPr>
          <w:rFonts w:ascii="Times New Roman" w:hAnsi="Times New Roman" w:eastAsia="华文中宋"/>
          <w:color w:val="000000"/>
          <w:sz w:val="21"/>
          <w:szCs w:val="21"/>
          <w:vertAlign w:val="superscript"/>
        </w:rPr>
        <w:t>[12,17]</w:t>
      </w:r>
      <w:r>
        <w:rPr>
          <w:rFonts w:ascii="Times New Roman" w:hAnsi="Times New Roman" w:eastAsia="华文中宋"/>
          <w:color w:val="000000"/>
          <w:sz w:val="21"/>
          <w:szCs w:val="21"/>
        </w:rPr>
        <w:t>。对于同一主题的两篇论文，若样本、处理条件或评价指标不同，结论方向不一致未必构成直接反驳。相应地，核验输出最好同时保留主张、证据片段和判定所依据的条件，使研究者能够检查模型是否对齐了同一问题。这也是内容核验从“找相关文献”走向“判断具体主张”的实质变化。</w:t>
      </w:r>
    </w:p>
    <w:p w14:paraId="03B9BE6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Peters等比较10种大语言模型生成的4 900份科学文本总结与原文，考察结论范围是否被扩大</w:t>
      </w:r>
      <w:r>
        <w:rPr>
          <w:rFonts w:ascii="Times New Roman" w:hAnsi="Times New Roman" w:eastAsia="华文中宋"/>
          <w:color w:val="000000"/>
          <w:sz w:val="21"/>
          <w:szCs w:val="21"/>
          <w:vertAlign w:val="superscript"/>
        </w:rPr>
        <w:t>[8]</w:t>
      </w:r>
      <w:r>
        <w:rPr>
          <w:rFonts w:ascii="Times New Roman" w:hAnsi="Times New Roman" w:eastAsia="华文中宋"/>
          <w:color w:val="000000"/>
          <w:sz w:val="21"/>
          <w:szCs w:val="21"/>
        </w:rPr>
        <w:t>。其中一例涉及因骨关节炎接受髋或膝关节置换的患者，原文比较阿司匹林与依诺肝素在90 d内的症状性静脉血栓栓塞发生情况；模型总结保留了药物与结果方向，却省略90 d的限定。图2(a)对照这一变化，图2(b)展示DeepSciVerify的证据升级流程</w:t>
      </w:r>
      <w:r>
        <w:rPr>
          <w:rFonts w:ascii="Times New Roman" w:hAnsi="Times New Roman" w:eastAsia="华文中宋"/>
          <w:color w:val="000000"/>
          <w:sz w:val="21"/>
          <w:szCs w:val="21"/>
          <w:vertAlign w:val="superscript"/>
        </w:rPr>
        <w:t>[34]</w:t>
      </w:r>
      <w:r>
        <w:rPr>
          <w:rFonts w:ascii="Times New Roman" w:hAnsi="Times New Roman" w:eastAsia="华文中宋"/>
          <w:color w:val="000000"/>
          <w:sz w:val="21"/>
          <w:szCs w:val="21"/>
        </w:rPr>
        <w:t>。两者分别说明需要核查的条件与获取更多证据的机制。</w:t>
      </w:r>
    </w:p>
    <w:p w14:paraId="2440F864">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55A235B3">
      <w:pPr>
        <w:keepNext/>
        <w:keepLines/>
        <w:widowControl/>
        <w:spacing w:before="80" w:after="0" w:line="20" w:lineRule="atLeast"/>
        <w:ind w:left="0" w:right="0" w:firstLine="0" w:firstLineChars="0"/>
        <w:jc w:val="center"/>
        <w:rPr>
          <w:rFonts w:hint="eastAsia" w:eastAsia="宋体"/>
          <w:lang w:eastAsia="zh-CN"/>
        </w:rPr>
      </w:pPr>
      <w:r>
        <w:rPr>
          <w:rFonts w:hint="eastAsia" w:eastAsia="宋体"/>
          <w:lang w:eastAsia="zh-CN"/>
        </w:rPr>
        <w:drawing>
          <wp:inline distT="0" distB="0" distL="114300" distR="114300">
            <wp:extent cx="6192520" cy="3509010"/>
            <wp:effectExtent l="0" t="0" r="5080" b="5080"/>
            <wp:docPr id="9" name="图片 9" descr="图2-条件遗漏的定位与分级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2-条件遗漏的定位与分级核验"/>
                    <pic:cNvPicPr>
                      <a:picLocks noChangeAspect="1"/>
                    </pic:cNvPicPr>
                  </pic:nvPicPr>
                  <pic:blipFill>
                    <a:blip r:embed="rId8"/>
                    <a:stretch>
                      <a:fillRect/>
                    </a:stretch>
                  </pic:blipFill>
                  <pic:spPr>
                    <a:xfrm>
                      <a:off x="0" y="0"/>
                      <a:ext cx="6192520" cy="3509095"/>
                    </a:xfrm>
                    <a:prstGeom prst="rect">
                      <a:avLst/>
                    </a:prstGeom>
                  </pic:spPr>
                </pic:pic>
              </a:graphicData>
            </a:graphic>
          </wp:inline>
        </w:drawing>
      </w:r>
    </w:p>
    <w:p w14:paraId="63DBBC3E">
      <w:pPr>
        <w:pStyle w:val="34"/>
        <w:keepNext/>
        <w:keepLines/>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图2 条件遗漏的定位与分级核验</w:t>
      </w:r>
    </w:p>
    <w:p w14:paraId="65903DCA">
      <w:pPr>
        <w:pStyle w:val="34"/>
        <w:keepNext/>
        <w:keepLines/>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Fig.2 Localizing omitted conditions and escalating evidence</w:t>
      </w:r>
    </w:p>
    <w:p w14:paraId="31C75189">
      <w:pPr>
        <w:pStyle w:val="16"/>
        <w:keepNext w:val="0"/>
        <w:keepLines/>
        <w:widowControl/>
        <w:spacing w:before="0" w:after="80" w:line="220" w:lineRule="atLeast"/>
        <w:ind w:left="0" w:right="0" w:firstLine="0" w:firstLineChars="0"/>
        <w:jc w:val="both"/>
      </w:pPr>
      <w:r>
        <w:rPr>
          <w:rFonts w:ascii="Times New Roman" w:hAnsi="Times New Roman" w:eastAsia="华文中宋"/>
          <w:color w:val="000000"/>
          <w:sz w:val="16"/>
          <w:szCs w:val="16"/>
        </w:rPr>
        <w:t>注：(a)依据Peters等表3第26号文本中文概括</w:t>
      </w:r>
      <w:r>
        <w:rPr>
          <w:rFonts w:ascii="Times New Roman" w:hAnsi="Times New Roman" w:eastAsia="华文中宋"/>
          <w:color w:val="000000"/>
          <w:sz w:val="16"/>
          <w:szCs w:val="16"/>
          <w:vertAlign w:val="superscript"/>
        </w:rPr>
        <w:t>[8]</w:t>
      </w:r>
      <w:r>
        <w:rPr>
          <w:rFonts w:ascii="Times New Roman" w:hAnsi="Times New Roman" w:eastAsia="华文中宋"/>
          <w:color w:val="000000"/>
          <w:sz w:val="16"/>
          <w:szCs w:val="16"/>
        </w:rPr>
        <w:t>，字段核对为本文标注；(b)依据DeepSciVerify的两阶段流程绘制</w:t>
      </w:r>
      <w:r>
        <w:rPr>
          <w:rFonts w:ascii="Times New Roman" w:hAnsi="Times New Roman" w:eastAsia="华文中宋"/>
          <w:color w:val="000000"/>
          <w:sz w:val="16"/>
          <w:szCs w:val="16"/>
          <w:vertAlign w:val="superscript"/>
        </w:rPr>
        <w:t>[34]</w:t>
      </w:r>
      <w:r>
        <w:rPr>
          <w:rFonts w:ascii="Times New Roman" w:hAnsi="Times New Roman" w:eastAsia="华文中宋"/>
          <w:color w:val="000000"/>
          <w:sz w:val="16"/>
          <w:szCs w:val="16"/>
        </w:rPr>
        <w:t>。两部分来自不同研究，不是该检测器对这一总结的实测运行。</w:t>
      </w:r>
    </w:p>
    <w:p w14:paraId="5128B5B1">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3FBF0B1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一总结没有虚构药物或来源，但将特定随访范围内的观察写成了更一般的表述。只匹配研究对象、药物和结果方向，便可能遗漏错误。同一研究还记录了由相关关系转为因果表达、由研究描述转为行动建议的变化</w:t>
      </w:r>
      <w:r>
        <w:rPr>
          <w:rFonts w:ascii="Times New Roman" w:hAnsi="Times New Roman" w:eastAsia="华文中宋"/>
          <w:color w:val="000000"/>
          <w:sz w:val="21"/>
          <w:szCs w:val="21"/>
          <w:vertAlign w:val="superscript"/>
        </w:rPr>
        <w:t>[8]</w:t>
      </w:r>
      <w:r>
        <w:rPr>
          <w:rFonts w:ascii="Times New Roman" w:hAnsi="Times New Roman" w:eastAsia="华文中宋"/>
          <w:color w:val="000000"/>
          <w:sz w:val="21"/>
          <w:szCs w:val="21"/>
        </w:rPr>
        <w:t>。因此，核验应比较对象、时间、关系类型和确定程度，并指出支持发生变化的位置。</w:t>
      </w:r>
    </w:p>
    <w:p w14:paraId="118136D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条件遗漏首先表明当前来源不足以支持现有表述，并不直接证明宽泛结论在所有其他研究中均为假。对这类问题，可以依据原文补回限定，也可以增加真正支持较宽范围的证据；两种处理都需要重新检查主张与来源的对应关系。</w:t>
      </w:r>
    </w:p>
    <w:p w14:paraId="54187BFD">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2.2 图表、测量与领域知识核验</w:t>
      </w:r>
    </w:p>
    <w:p w14:paraId="1BECD739">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2.2.1 图表核验中的解析与推理</w:t>
      </w:r>
    </w:p>
    <w:p w14:paraId="6BCAFDF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学图表将证据编码为行列、坐标、曲线和图例，检测器首先需要把自然语言中的对象与这些位置正确对应。AtomicTableLLM将科学表格核验分解为概念匹配、数值抽取与数值计算等原子能力，并通过训练和步骤衔接调用这些能力</w:t>
      </w:r>
      <w:r>
        <w:rPr>
          <w:rFonts w:ascii="Times New Roman" w:hAnsi="Times New Roman" w:eastAsia="华文中宋"/>
          <w:color w:val="000000"/>
          <w:sz w:val="21"/>
          <w:szCs w:val="21"/>
          <w:vertAlign w:val="superscript"/>
        </w:rPr>
        <w:t>[26]</w:t>
      </w:r>
      <w:r>
        <w:rPr>
          <w:rFonts w:ascii="Times New Roman" w:hAnsi="Times New Roman" w:eastAsia="华文中宋"/>
          <w:color w:val="000000"/>
          <w:sz w:val="21"/>
          <w:szCs w:val="21"/>
        </w:rPr>
        <w:t>。例如，判断“某方法在所有数据集上均优于基线”，需要识别方法与数据集所在行列，读取各项数值，再依据指标的优化方向逐项比较。“所有”这一量词本身就要求完整检查相应集合。</w:t>
      </w:r>
    </w:p>
    <w:p w14:paraId="3C3B1CA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MuSciClaims将主张与科学图像、图注及上下文联系起来，分析模型对图中证据的定位和跨模态整合能力</w:t>
      </w:r>
      <w:r>
        <w:rPr>
          <w:rFonts w:ascii="Times New Roman" w:hAnsi="Times New Roman" w:eastAsia="华文中宋"/>
          <w:color w:val="000000"/>
          <w:sz w:val="21"/>
          <w:szCs w:val="21"/>
          <w:vertAlign w:val="superscript"/>
        </w:rPr>
        <w:t>[27]</w:t>
      </w:r>
      <w:r>
        <w:rPr>
          <w:rFonts w:ascii="Times New Roman" w:hAnsi="Times New Roman" w:eastAsia="华文中宋"/>
          <w:color w:val="000000"/>
          <w:sz w:val="21"/>
          <w:szCs w:val="21"/>
        </w:rPr>
        <w:t>。与表格核验相比，图像核验还面临视觉编码解释问题：曲线位置代表的数值、误差带表达的不确定性和不同分图对应的实验条件，都可能影响结论。模型即使能够正确读出某个点，也不一定能判断“差异显著”或“趋势一致”等更高层主张。解析错误与推理错误因此应分开定位。</w:t>
      </w:r>
    </w:p>
    <w:p w14:paraId="37A200A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两类方法主要判断主张是否受到已有图表支持。若图表本身由错误代码生成，或者来自另一轮实验，图表内的局部一致性仍然可以通过检查。SciRigor将可视化放回数据到主张的支持路径，检查图中数值及其计算来源</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，补充了仅依赖成品图表的核验。由此形成两种不同任务：读懂既有图表，以及确认该图表是否由目标数据与正确分析产生。</w:t>
      </w:r>
    </w:p>
    <w:p w14:paraId="7FC4DB8B">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2.2.2 量值与专业关系的核查</w:t>
      </w:r>
    </w:p>
    <w:p w14:paraId="1913779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科研量值通常附属于特定对象、属性和条件。MeasHalu分析了数值与单位失实、关系对齐脆弱等测量幻觉，并通过具有结构约束的监督与强化学习缓解相关错误</w:t>
      </w:r>
      <w:r>
        <w:rPr>
          <w:rFonts w:ascii="Times New Roman" w:hAnsi="Times New Roman" w:eastAsia="华文中宋"/>
          <w:color w:val="000000"/>
          <w:sz w:val="21"/>
          <w:szCs w:val="21"/>
          <w:vertAlign w:val="superscript"/>
        </w:rPr>
        <w:t>[25]</w:t>
      </w:r>
      <w:r>
        <w:rPr>
          <w:rFonts w:ascii="Times New Roman" w:hAnsi="Times New Roman" w:eastAsia="华文中宋"/>
          <w:color w:val="000000"/>
          <w:sz w:val="21"/>
          <w:szCs w:val="21"/>
        </w:rPr>
        <w:t>。这一研究说明，测量抽取的正确性需要同时检查“读到了什么”和“它属于什么”。把正确的数值赋给错误样本，或将区间边界当成点估计，均不能由数值出现与否的检查发现。</w:t>
      </w:r>
    </w:p>
    <w:p w14:paraId="4468D62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领域知识提供了另一种约束。HalluMat将内部核查、多源检索与矛盾关系分析结合，用于材料科学内容的检测</w:t>
      </w:r>
      <w:r>
        <w:rPr>
          <w:rFonts w:ascii="Times New Roman" w:hAnsi="Times New Roman" w:eastAsia="华文中宋"/>
          <w:color w:val="000000"/>
          <w:sz w:val="21"/>
          <w:szCs w:val="21"/>
          <w:vertAlign w:val="superscript"/>
        </w:rPr>
        <w:t>[35]</w:t>
      </w:r>
      <w:r>
        <w:rPr>
          <w:rFonts w:ascii="Times New Roman" w:hAnsi="Times New Roman" w:eastAsia="华文中宋"/>
          <w:color w:val="000000"/>
          <w:sz w:val="21"/>
          <w:szCs w:val="21"/>
        </w:rPr>
        <w:t>。领域知识能够限制明显不合理的属性或关系，但其覆盖范围决定了可判定的问题集合。知识库中的缺失不等于物理上不可能，多篇检索材料也可能来自同一上游来源。对于这样的证据，核验需要分析其来源独立性与覆盖条件，而不能仅依赖命中数量。</w:t>
      </w:r>
    </w:p>
    <w:p w14:paraId="0A68FEA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图表、量值和领域知识核验的共同难点是中间表示是否忠实。一旦原始对象在抽取时被合并、单位被省略或条件被删除，后续核验即使在内部表示上完全正确，也无法恢复被丢失的信息。因此，本综述认为，这类方法的评价应将原文到结构化证据的转换与后续判定分开，分别考察对象映射、条件保持和支持关系。其依据是上述方法所包含的解析与推理环节</w:t>
      </w:r>
      <w:r>
        <w:rPr>
          <w:rFonts w:ascii="Times New Roman" w:hAnsi="Times New Roman" w:eastAsia="华文中宋"/>
          <w:color w:val="000000"/>
          <w:sz w:val="21"/>
          <w:szCs w:val="21"/>
          <w:vertAlign w:val="superscript"/>
        </w:rPr>
        <w:t>[25-27]</w:t>
      </w:r>
      <w:r>
        <w:rPr>
          <w:rFonts w:ascii="Times New Roman" w:hAnsi="Times New Roman" w:eastAsia="华文中宋"/>
          <w:color w:val="000000"/>
          <w:sz w:val="21"/>
          <w:szCs w:val="21"/>
        </w:rPr>
        <w:t>。</w:t>
      </w:r>
    </w:p>
    <w:p w14:paraId="45FB3653">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2.3 假设理由与科学知识边界</w:t>
      </w:r>
    </w:p>
    <w:p w14:paraId="4453412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学假设生成中的核验对象需要分成已有前提、中间推断和最终新关系。KnowHD将假设及其推理链拆分为原子主张，使用时间限定的文献、知识图谱或二者的组合判断知识支撑；配套的TruthHypo通过时间划分构建关系预测任务</w:t>
      </w:r>
      <w:r>
        <w:rPr>
          <w:rFonts w:ascii="Times New Roman" w:hAnsi="Times New Roman" w:eastAsia="华文中宋"/>
          <w:color w:val="000000"/>
          <w:sz w:val="21"/>
          <w:szCs w:val="21"/>
          <w:vertAlign w:val="superscript"/>
        </w:rPr>
        <w:t>[10]</w:t>
      </w:r>
      <w:r>
        <w:rPr>
          <w:rFonts w:ascii="Times New Roman" w:hAnsi="Times New Roman" w:eastAsia="华文中宋"/>
          <w:color w:val="000000"/>
          <w:sz w:val="21"/>
          <w:szCs w:val="21"/>
        </w:rPr>
        <w:t>。该设计使“假设的理由有多少得到支持”与“最终关系是否匹配测试标签”能够分别评价。</w:t>
      </w:r>
    </w:p>
    <w:p w14:paraId="08F8855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这种区分并不自动解决未知知识的判定。TruthHypo中的关系标签和时间边界由数据构建过程确定，反映的是可被该资源观测到的知识；KnowHD的支持判断也依赖检索内容及语言模型判别</w:t>
      </w:r>
      <w:r>
        <w:rPr>
          <w:rFonts w:ascii="Times New Roman" w:hAnsi="Times New Roman" w:eastAsia="华文中宋"/>
          <w:color w:val="000000"/>
          <w:sz w:val="21"/>
          <w:szCs w:val="21"/>
          <w:vertAlign w:val="superscript"/>
        </w:rPr>
        <w:t>[10]</w:t>
      </w:r>
      <w:r>
        <w:rPr>
          <w:rFonts w:ascii="Times New Roman" w:hAnsi="Times New Roman" w:eastAsia="华文中宋"/>
          <w:color w:val="000000"/>
          <w:sz w:val="21"/>
          <w:szCs w:val="21"/>
        </w:rPr>
        <w:t>。对开放假设而言，高知识支撑度意味着理由较少偏离已有材料，却不等于最终预测已经得到实验验证。反之，一项尚未收录的新关系，也不应仅因知识库无对应边而被断定为错误。</w:t>
      </w:r>
    </w:p>
    <w:p w14:paraId="5EE7DEAB">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HypoKG通过保留端点实体、提供完整知识路径以及扰动路径等不同条件，考察模型是否实际利用中间机理证据</w:t>
      </w:r>
      <w:r>
        <w:rPr>
          <w:rFonts w:ascii="Times New Roman" w:hAnsi="Times New Roman" w:eastAsia="华文中宋"/>
          <w:color w:val="000000"/>
          <w:sz w:val="21"/>
          <w:szCs w:val="21"/>
          <w:vertAlign w:val="superscript"/>
        </w:rPr>
        <w:t>[36]</w:t>
      </w:r>
      <w:r>
        <w:rPr>
          <w:rFonts w:ascii="Times New Roman" w:hAnsi="Times New Roman" w:eastAsia="华文中宋"/>
          <w:color w:val="000000"/>
          <w:sz w:val="21"/>
          <w:szCs w:val="21"/>
        </w:rPr>
        <w:t>。其结果呈现出综合评分与证据使用之间的差异：仅给出端点的生成可能获得较高总分，而完整路径对机理陈述与证据的相称程度具有特定作用。这比仅比较有无检索更能揭示知识增强的作用位置，也说明流畅、合理或新颖的假设评分不能替代逐步依据核查。</w:t>
      </w:r>
    </w:p>
    <w:p w14:paraId="30A4B708">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2.4 实施、产物与行为轨迹审计</w:t>
      </w:r>
    </w:p>
    <w:p w14:paraId="7D8BD815">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2.4.1 从协议到实际实现</w:t>
      </w:r>
    </w:p>
    <w:p w14:paraId="1E75C49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实施审计关注实验是否按照报告中的方法和条件开展。ABE-Ralph将论文主张、必要组件、数据集、基线、指标和资源限制表示为结构化约束，并以数值、语义逻辑和代码结构等检查比较实际实现</w:t>
      </w:r>
      <w:r>
        <w:rPr>
          <w:rFonts w:ascii="Times New Roman" w:hAnsi="Times New Roman" w:eastAsia="华文中宋"/>
          <w:color w:val="000000"/>
          <w:sz w:val="21"/>
          <w:szCs w:val="21"/>
          <w:vertAlign w:val="superscript"/>
        </w:rPr>
        <w:t>[16]</w:t>
      </w:r>
      <w:r>
        <w:rPr>
          <w:rFonts w:ascii="Times New Roman" w:hAnsi="Times New Roman" w:eastAsia="华文中宋"/>
          <w:color w:val="000000"/>
          <w:sz w:val="21"/>
          <w:szCs w:val="21"/>
        </w:rPr>
        <w:t>。其核心价值在于显式规定哪些条件构成复现目标，从而发现“程序能够运行，但运行的是另一项实验”的情况。</w:t>
      </w:r>
    </w:p>
    <w:p w14:paraId="08281FBB">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数值检查与结构检查解决的问题不同。数值接近原论文结果，可能来自不符合要求的替代实现；代码中出现了某个模块名称，也不说明该模块实际参与计算。由此，约束的落实需要结合运行记录和具体比较。ABE-Ralph的案例涉及基线未完成、预训练条件改变等问题</w:t>
      </w:r>
      <w:r>
        <w:rPr>
          <w:rFonts w:ascii="Times New Roman" w:hAnsi="Times New Roman" w:eastAsia="华文中宋"/>
          <w:color w:val="000000"/>
          <w:sz w:val="21"/>
          <w:szCs w:val="21"/>
          <w:vertAlign w:val="superscript"/>
        </w:rPr>
        <w:t>[16]</w:t>
      </w:r>
      <w:r>
        <w:rPr>
          <w:rFonts w:ascii="Times New Roman" w:hAnsi="Times New Roman" w:eastAsia="华文中宋"/>
          <w:color w:val="000000"/>
          <w:sz w:val="21"/>
          <w:szCs w:val="21"/>
        </w:rPr>
        <w:t>，支持将协议一致性与退出状态分开评价。但以参考结果或组件为锚点的复现审计，并不等同于对开放新方法进行科学有效性证明；合理的新设计需要相应更新其验证条件。</w:t>
      </w:r>
    </w:p>
    <w:p w14:paraId="10B741E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实验身份还包括运行环境。The AI Scientist的作者记录，生成论文曾声称使用V100，实际使用的却是H100，并在没有检查时猜测软件版本</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。此类错误需要回查环境记录；图1中的指标方向错误则需要检查指标定义与比较计算。二者都表现为报告失实，但可用证据和检测动作不同，不能仅依据文字相似度统一判断。</w:t>
      </w:r>
    </w:p>
    <w:p w14:paraId="4027234D">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2.4.2 从研究产物追溯到主张</w:t>
      </w:r>
    </w:p>
    <w:p w14:paraId="49594D16">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Xcientist把来源片段、设计组件、实现要求和实验记录联系起来，通过不同支持关系追踪主张漂移</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与只检查报告数值不同，该方法还考察被测试的设计是否就是报告归因的设计。例如，替换整个模型所得的结果，不能直接作为“在原模型上加入某插件有效”的证据。这里缺少的是设计身份和比较关系，而非一条格式正确的实验记录。</w:t>
      </w:r>
    </w:p>
    <w:p w14:paraId="13E36D1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SciRigor将同一次运行的分析代码、结构化结果、图表与原子主张组织为证据图，分别评价产物是否符合科学目标、相邻产物之间是否相互支持，以及完整路径是否成立</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这一方法能够暴露局部一致却整体失实的情况：错误计算可以被准确地绘图和复述，而完整路径仍然在更早的位置失效。论文同时允许有来源依据的等价分析路径，避免把与参考实现不同但有效的分析机械判错。</w:t>
      </w:r>
    </w:p>
    <w:p w14:paraId="1B10D66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图3进一步用SciRigor的诊断情形说明故障定位</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。输入是研究者已经处理的回归结果表，点估计及置信区间上下界均为对数尺度，需转换为相对20 ℃基线的百分比变化。原文午间高峰、高于40 ℃温度区间的参考分析为工作量增加18.0%，95%置信区间为12.6%～23.6%。这些结果属于特定分析条件下的关联，不构成新增因果识别。</w:t>
      </w:r>
    </w:p>
    <w:p w14:paraId="23AF5FA6">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1A2DA453">
      <w:pPr>
        <w:keepNext/>
        <w:keepLines/>
        <w:widowControl/>
        <w:spacing w:before="80" w:after="0" w:line="20" w:lineRule="atLeast"/>
        <w:ind w:left="0" w:right="0" w:firstLine="0" w:firstLineChars="0"/>
        <w:jc w:val="center"/>
      </w:pPr>
      <w:r>
        <w:drawing>
          <wp:inline distT="0" distB="0" distL="114300" distR="114300">
            <wp:extent cx="6191885" cy="3095625"/>
            <wp:effectExtent l="0" t="0" r="5715" b="11430"/>
            <wp:docPr id="3" name="图3-从代码与产物定位尺度错误" descr="依据SciRigor引言与附录F.2的诊断情形绘制[19]，不是具名模型的实测运行。数字对应图示午间高峰、温度区间及基线；代码为转换规则的伪代码，错误区间的位置由四舍五入结果反算，仅示意尺度错位，并非原始回归系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3-从代码与产物定位尺度错误" descr="依据SciRigor引言与附录F.2的诊断情形绘制[19]，不是具名模型的实测运行。数字对应图示午间高峰、温度区间及基线；代码为转换规则的伪代码，错误区间的位置由四舍五入结果反算，仅示意尺度错位，并非原始回归系数。"/>
                    <pic:cNvPicPr>
                      <a:picLocks noChangeAspect="1"/>
                    </pic:cNvPicPr>
                  </pic:nvPicPr>
                  <pic:blipFill>
                    <a:blip r:embed="rId9"/>
                    <a:stretch>
                      <a:fillRect/>
                    </a:stretch>
                  </pic:blipFill>
                  <pic:spPr>
                    <a:xfrm>
                      <a:off x="0" y="0"/>
                      <a:ext cx="6192000" cy="3096000"/>
                    </a:xfrm>
                    <a:prstGeom prst="rect">
                      <a:avLst/>
                    </a:prstGeom>
                  </pic:spPr>
                </pic:pic>
              </a:graphicData>
            </a:graphic>
          </wp:inline>
        </w:drawing>
      </w:r>
    </w:p>
    <w:p w14:paraId="60448C52">
      <w:pPr>
        <w:pStyle w:val="34"/>
        <w:keepNext/>
        <w:keepLines/>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图3 从代码与产物定位尺度错误</w:t>
      </w:r>
    </w:p>
    <w:p w14:paraId="2935F57D">
      <w:pPr>
        <w:pStyle w:val="34"/>
        <w:keepNext/>
        <w:keepLines/>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Fig.3 Localizing a scale error through code and analysis artifacts</w:t>
      </w:r>
    </w:p>
    <w:p w14:paraId="72FFBD87">
      <w:pPr>
        <w:pStyle w:val="16"/>
        <w:keepNext w:val="0"/>
        <w:keepLines/>
        <w:widowControl/>
        <w:spacing w:before="0" w:after="80" w:line="220" w:lineRule="atLeast"/>
        <w:ind w:left="0" w:right="0" w:firstLine="0" w:firstLineChars="0"/>
        <w:jc w:val="both"/>
      </w:pPr>
      <w:r>
        <w:rPr>
          <w:rFonts w:ascii="Times New Roman" w:hAnsi="Times New Roman" w:eastAsia="华文中宋"/>
          <w:color w:val="000000"/>
          <w:sz w:val="16"/>
          <w:szCs w:val="16"/>
        </w:rPr>
        <w:t>注：依据SciRigor引言与附录F.2的诊断情形绘制</w:t>
      </w:r>
      <w:r>
        <w:rPr>
          <w:rFonts w:ascii="Times New Roman" w:hAnsi="Times New Roman" w:eastAsia="华文中宋"/>
          <w:color w:val="000000"/>
          <w:sz w:val="16"/>
          <w:szCs w:val="16"/>
          <w:vertAlign w:val="superscript"/>
        </w:rPr>
        <w:t>[19]</w:t>
      </w:r>
      <w:r>
        <w:rPr>
          <w:rFonts w:ascii="Times New Roman" w:hAnsi="Times New Roman" w:eastAsia="华文中宋"/>
          <w:color w:val="000000"/>
          <w:sz w:val="16"/>
          <w:szCs w:val="16"/>
        </w:rPr>
        <w:t>，不是具名模型的实测运行。数字对应图示午间高峰、温度区间及基线；代码为转换规则的伪代码，错误区间的位置由四舍五入结果反算，仅示意尺度错位，并非原始回归系数。</w:t>
      </w:r>
    </w:p>
    <w:p w14:paraId="66210194">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2481B67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当智能体只转换点估计而保留原区间时，结构化结果和图中的不确定性仍处于错误尺度；最终报告却可能复述与参考答案相似的正确句子</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。因此，单独比较报告句子会遗漏故障，而仅检查图与错误结果的一致性也不充分。核验需要独立复算点估计及区间边界，定位最早失效的转换，再检查后续图表和主张。</w:t>
      </w:r>
    </w:p>
    <w:p w14:paraId="4B8F436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相应修复应恢复完整转换，重新生成图表，并使报告使用经过核验的产物。这里的处理顺序由故障位置确定，其实际效果仍需通过重跑验收。这一区分也说明，产物本身正确、产物之间一致与完整支持路径成立，是不能相互替代的判断。</w:t>
      </w:r>
    </w:p>
    <w:p w14:paraId="5A7D0BC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审计输出还应区分“确认不一致”与“现有记录无法判断”。Xcientist的审计主张漂移率合并计算这两类情况，并另外报告各自数量</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。因此，某系统该指标较低，可能部分来自记录更完整，而不能一概解释为已证实错误更少。对科研治理而言，可审计性本身有价值，但它与事实正确性仍是两个需要分别报告的维度。</w:t>
      </w:r>
    </w:p>
    <w:p w14:paraId="19A1AD89">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2.4.3 轨迹结构与错误位置</w:t>
      </w:r>
    </w:p>
    <w:p w14:paraId="6057899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轨迹核验将检查位置前移到中间推理与行</w:t>
      </w:r>
      <w:bookmarkStart w:id="0" w:name="_GoBack"/>
      <w:bookmarkEnd w:id="0"/>
      <w:r>
        <w:rPr>
          <w:rFonts w:ascii="Times New Roman" w:hAnsi="Times New Roman" w:eastAsia="华文中宋"/>
          <w:color w:val="000000"/>
          <w:sz w:val="21"/>
          <w:szCs w:val="21"/>
        </w:rPr>
        <w:t>为。VeryTrace将推理轨迹转换为可编译的结构表示，结合结构化核验检查步骤及其依赖</w:t>
      </w:r>
      <w:r>
        <w:rPr>
          <w:rFonts w:ascii="Times New Roman" w:hAnsi="Times New Roman" w:eastAsia="华文中宋"/>
          <w:color w:val="000000"/>
          <w:sz w:val="21"/>
          <w:szCs w:val="21"/>
          <w:vertAlign w:val="superscript"/>
        </w:rPr>
        <w:t>[37]</w:t>
      </w:r>
      <w:r>
        <w:rPr>
          <w:rFonts w:ascii="Times New Roman" w:hAnsi="Times New Roman" w:eastAsia="华文中宋"/>
          <w:color w:val="000000"/>
          <w:sz w:val="21"/>
          <w:szCs w:val="21"/>
        </w:rPr>
        <w:t>。这种方法便于定位局部不成立的推导，但有效性取决于自然语言到结构表示的转换能否保留原意。检查器证明的是转换后对象满足何种约束，不能省略对转换过程的核查。</w:t>
      </w:r>
    </w:p>
    <w:p w14:paraId="66D0844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证据支撑的行为图（Evidence-Grounded Behavior Graph，EBG）则从操作记录中组织具有来源链接的行为及其关系，帮助监督器理解智能体实际做了什么；AgentMonBench主要以软件工程任务评价这一能力</w:t>
      </w:r>
      <w:r>
        <w:rPr>
          <w:rFonts w:ascii="Times New Roman" w:hAnsi="Times New Roman" w:eastAsia="华文中宋"/>
          <w:color w:val="000000"/>
          <w:sz w:val="21"/>
          <w:szCs w:val="21"/>
          <w:vertAlign w:val="superscript"/>
        </w:rPr>
        <w:t>[38]</w:t>
      </w:r>
      <w:r>
        <w:rPr>
          <w:rFonts w:ascii="Times New Roman" w:hAnsi="Times New Roman" w:eastAsia="华文中宋"/>
          <w:color w:val="000000"/>
          <w:sz w:val="21"/>
          <w:szCs w:val="21"/>
        </w:rPr>
        <w:t>。它与推理轨迹核验的差别在于，前者重建可观测行动，后者检查推导结构。将二者用于科研系统时，还需将行为节点对应到实验对象、数据版本和研究产物，才能支持关于实验实施的判断。</w:t>
      </w:r>
    </w:p>
    <w:p w14:paraId="37532FC7">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2.5 模型信号与检测路线的比较</w:t>
      </w:r>
    </w:p>
    <w:p w14:paraId="3F431FBC">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缺乏外部证据时，模型自身信号能够用于风险筛选。SelfCheckGPT通过多次采样，比较生成内容在语义或问答等层面的一致性，在不访问外部数据库的情况下估计句子级幻觉风险</w:t>
      </w:r>
      <w:r>
        <w:rPr>
          <w:rFonts w:ascii="Times New Roman" w:hAnsi="Times New Roman" w:eastAsia="华文中宋"/>
          <w:color w:val="000000"/>
          <w:sz w:val="21"/>
          <w:szCs w:val="21"/>
          <w:vertAlign w:val="superscript"/>
        </w:rPr>
        <w:t>[39]</w:t>
      </w:r>
      <w:r>
        <w:rPr>
          <w:rFonts w:ascii="Times New Roman" w:hAnsi="Times New Roman" w:eastAsia="华文中宋"/>
          <w:color w:val="000000"/>
          <w:sz w:val="21"/>
          <w:szCs w:val="21"/>
        </w:rPr>
        <w:t>。其依据是：模型对相同问题产生的互相矛盾的信息，可以暴露知识不稳定。方法适用于黑盒接口，但需要额外生成与比较开销。</w:t>
      </w:r>
    </w:p>
    <w:p w14:paraId="21F65E3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一致性提供的是间接信号。若多个样本重复同一错误，它们仍可能高度一致；若问题允许多种待检验解释，样本差异也可能源于合理的探索空间。前者涉及外部正确性与内部一致性的区别，后者涉及科学假设的开放性。结合SelfCheckGPT的采样机制</w:t>
      </w:r>
      <w:r>
        <w:rPr>
          <w:rFonts w:ascii="Times New Roman" w:hAnsi="Times New Roman" w:eastAsia="华文中宋"/>
          <w:color w:val="000000"/>
          <w:sz w:val="21"/>
          <w:szCs w:val="21"/>
          <w:vertAlign w:val="superscript"/>
        </w:rPr>
        <w:t>[39]</w:t>
      </w:r>
      <w:r>
        <w:rPr>
          <w:rFonts w:ascii="Times New Roman" w:hAnsi="Times New Roman" w:eastAsia="华文中宋"/>
          <w:color w:val="000000"/>
          <w:sz w:val="21"/>
          <w:szCs w:val="21"/>
        </w:rPr>
        <w:t>和假设依据评价的任务定义</w:t>
      </w:r>
      <w:r>
        <w:rPr>
          <w:rFonts w:ascii="Times New Roman" w:hAnsi="Times New Roman" w:eastAsia="华文中宋"/>
          <w:color w:val="000000"/>
          <w:sz w:val="21"/>
          <w:szCs w:val="21"/>
          <w:vertAlign w:val="superscript"/>
        </w:rPr>
        <w:t>[10]</w:t>
      </w:r>
      <w:r>
        <w:rPr>
          <w:rFonts w:ascii="Times New Roman" w:hAnsi="Times New Roman" w:eastAsia="华文中宋"/>
          <w:color w:val="000000"/>
          <w:sz w:val="21"/>
          <w:szCs w:val="21"/>
        </w:rPr>
        <w:t>，模型信号更适合决定何处需要补充检索、计算或人工核查，而不是独立宣布某个新科学关系成立或不成立。</w:t>
      </w:r>
    </w:p>
    <w:p w14:paraId="6B6FEE8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表2比较不同检测路线。文献核验适于检查已有研究的转述，产物审计适于检查当前研究的执行与解释，模型信号适于在证据获取之前进行筛选。它们不是相互替代的等级，而是对应不同可观测信息的工具。</w:t>
      </w:r>
    </w:p>
    <w:p w14:paraId="32965FC0">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0C638497">
      <w:pPr>
        <w:pStyle w:val="23"/>
        <w:keepNext/>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表2 科研幻觉检测方法的判定依据与适用范围</w:t>
      </w:r>
    </w:p>
    <w:p w14:paraId="5422A6CB">
      <w:pPr>
        <w:pStyle w:val="23"/>
        <w:keepNext/>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Table 2 Evidence and scope of hallucination detection methods in scientific research</w:t>
      </w:r>
    </w:p>
    <w:tbl>
      <w:tblPr>
        <w:tblStyle w:val="7"/>
        <w:tblW w:w="9751"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55" w:type="dxa"/>
          <w:left w:w="70" w:type="dxa"/>
          <w:bottom w:w="55" w:type="dxa"/>
          <w:right w:w="70" w:type="dxa"/>
        </w:tblCellMar>
      </w:tblPr>
      <w:tblGrid>
        <w:gridCol w:w="1304"/>
        <w:gridCol w:w="2778"/>
        <w:gridCol w:w="1757"/>
        <w:gridCol w:w="1984"/>
        <w:gridCol w:w="1928"/>
      </w:tblGrid>
      <w:tr w14:paraId="575626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tblHeader/>
          <w:jc w:val="center"/>
        </w:trPr>
        <w:tc>
          <w:tcPr>
            <w:tcW w:w="1304" w:type="dxa"/>
            <w:tcBorders>
              <w:bottom w:val="single" w:color="000000" w:sz="4" w:space="0"/>
            </w:tcBorders>
            <w:vAlign w:val="center"/>
          </w:tcPr>
          <w:p w14:paraId="5D059E27">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检测路线</w:t>
            </w:r>
          </w:p>
        </w:tc>
        <w:tc>
          <w:tcPr>
            <w:tcW w:w="2778" w:type="dxa"/>
            <w:tcBorders>
              <w:bottom w:val="single" w:color="000000" w:sz="4" w:space="0"/>
            </w:tcBorders>
            <w:vAlign w:val="center"/>
          </w:tcPr>
          <w:p w14:paraId="157A3530">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代表方法</w:t>
            </w:r>
          </w:p>
        </w:tc>
        <w:tc>
          <w:tcPr>
            <w:tcW w:w="1757" w:type="dxa"/>
            <w:tcBorders>
              <w:bottom w:val="single" w:color="000000" w:sz="4" w:space="0"/>
            </w:tcBorders>
            <w:vAlign w:val="center"/>
          </w:tcPr>
          <w:p w14:paraId="2D689E0E">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主要证据</w:t>
            </w:r>
          </w:p>
        </w:tc>
        <w:tc>
          <w:tcPr>
            <w:tcW w:w="1984" w:type="dxa"/>
            <w:tcBorders>
              <w:bottom w:val="single" w:color="000000" w:sz="4" w:space="0"/>
            </w:tcBorders>
            <w:vAlign w:val="center"/>
          </w:tcPr>
          <w:p w14:paraId="7CF143AA">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可直接核查的问题</w:t>
            </w:r>
          </w:p>
        </w:tc>
        <w:tc>
          <w:tcPr>
            <w:tcW w:w="1928" w:type="dxa"/>
            <w:tcBorders>
              <w:bottom w:val="single" w:color="000000" w:sz="4" w:space="0"/>
            </w:tcBorders>
            <w:vAlign w:val="center"/>
          </w:tcPr>
          <w:p w14:paraId="45ACC5E6">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不能由此直接推出的结论</w:t>
            </w:r>
          </w:p>
        </w:tc>
      </w:tr>
      <w:tr w14:paraId="69CA42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304" w:type="dxa"/>
            <w:vAlign w:val="center"/>
          </w:tcPr>
          <w:p w14:paraId="133B34A5">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引文身份</w:t>
            </w:r>
          </w:p>
        </w:tc>
        <w:tc>
          <w:tcPr>
            <w:tcW w:w="2778" w:type="dxa"/>
            <w:vAlign w:val="center"/>
          </w:tcPr>
          <w:p w14:paraId="3F567F8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CiteCheck（引文元数据核查）</w:t>
            </w:r>
            <w:r>
              <w:rPr>
                <w:rFonts w:ascii="Times New Roman" w:hAnsi="Times New Roman" w:eastAsia="华文中宋"/>
                <w:b w:val="0"/>
                <w:color w:val="000000"/>
                <w:sz w:val="18"/>
                <w:szCs w:val="18"/>
                <w:vertAlign w:val="superscript"/>
              </w:rPr>
              <w:t>[33]</w:t>
            </w:r>
          </w:p>
        </w:tc>
        <w:tc>
          <w:tcPr>
            <w:tcW w:w="1757" w:type="dxa"/>
            <w:vAlign w:val="center"/>
          </w:tcPr>
          <w:p w14:paraId="6F2EE6D1">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外部学术记录与候选条目</w:t>
            </w:r>
          </w:p>
        </w:tc>
        <w:tc>
          <w:tcPr>
            <w:tcW w:w="1984" w:type="dxa"/>
            <w:vAlign w:val="center"/>
          </w:tcPr>
          <w:p w14:paraId="0F3AAFBB">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来源对应关系、元数据错配</w:t>
            </w:r>
          </w:p>
        </w:tc>
        <w:tc>
          <w:tcPr>
            <w:tcW w:w="1928" w:type="dxa"/>
            <w:vAlign w:val="center"/>
          </w:tcPr>
          <w:p w14:paraId="799167C9">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来源支持当前陈述</w:t>
            </w:r>
          </w:p>
        </w:tc>
      </w:tr>
      <w:tr w14:paraId="42139E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304" w:type="dxa"/>
            <w:vAlign w:val="center"/>
          </w:tcPr>
          <w:p w14:paraId="6065C9EC">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文献支持</w:t>
            </w:r>
          </w:p>
        </w:tc>
        <w:tc>
          <w:tcPr>
            <w:tcW w:w="2778" w:type="dxa"/>
            <w:vAlign w:val="center"/>
          </w:tcPr>
          <w:p w14:paraId="4558C481">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SciFact（科学主张核验）</w:t>
            </w:r>
            <w:r>
              <w:rPr>
                <w:rFonts w:ascii="Times New Roman" w:hAnsi="Times New Roman" w:eastAsia="华文中宋"/>
                <w:b w:val="0"/>
                <w:color w:val="000000"/>
                <w:sz w:val="18"/>
                <w:szCs w:val="18"/>
                <w:vertAlign w:val="superscript"/>
              </w:rPr>
              <w:t>[17]</w:t>
            </w:r>
            <w:r>
              <w:rPr>
                <w:rFonts w:ascii="Times New Roman" w:hAnsi="Times New Roman" w:eastAsia="华文中宋"/>
                <w:b w:val="0"/>
                <w:color w:val="000000"/>
                <w:sz w:val="18"/>
                <w:szCs w:val="18"/>
              </w:rPr>
              <w:t>、DeepSciVerify（分级证据核验）</w:t>
            </w:r>
            <w:r>
              <w:rPr>
                <w:rFonts w:ascii="Times New Roman" w:hAnsi="Times New Roman" w:eastAsia="华文中宋"/>
                <w:b w:val="0"/>
                <w:color w:val="000000"/>
                <w:sz w:val="18"/>
                <w:szCs w:val="18"/>
                <w:vertAlign w:val="superscript"/>
              </w:rPr>
              <w:t>[34]</w:t>
            </w:r>
          </w:p>
        </w:tc>
        <w:tc>
          <w:tcPr>
            <w:tcW w:w="1757" w:type="dxa"/>
            <w:vAlign w:val="center"/>
          </w:tcPr>
          <w:p w14:paraId="5186C8AB">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摘要、全文与证据片段</w:t>
            </w:r>
          </w:p>
        </w:tc>
        <w:tc>
          <w:tcPr>
            <w:tcW w:w="1984" w:type="dxa"/>
            <w:vAlign w:val="center"/>
          </w:tcPr>
          <w:p w14:paraId="17DB979B">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主张受到支持、反驳或证据不足</w:t>
            </w:r>
          </w:p>
        </w:tc>
        <w:tc>
          <w:tcPr>
            <w:tcW w:w="1928" w:type="dxa"/>
            <w:vAlign w:val="center"/>
          </w:tcPr>
          <w:p w14:paraId="1C2A1BDC">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原始研究必然正确、假设已获验证</w:t>
            </w:r>
          </w:p>
        </w:tc>
      </w:tr>
      <w:tr w14:paraId="1F0404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304" w:type="dxa"/>
            <w:vAlign w:val="center"/>
          </w:tcPr>
          <w:p w14:paraId="5CB078BF">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图表及领域事实</w:t>
            </w:r>
          </w:p>
        </w:tc>
        <w:tc>
          <w:tcPr>
            <w:tcW w:w="2778" w:type="dxa"/>
            <w:vAlign w:val="center"/>
          </w:tcPr>
          <w:p w14:paraId="3CD5435A">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AtomicTableLLM（表格原子推理）</w:t>
            </w:r>
            <w:r>
              <w:rPr>
                <w:rFonts w:ascii="Times New Roman" w:hAnsi="Times New Roman" w:eastAsia="华文中宋"/>
                <w:b w:val="0"/>
                <w:color w:val="000000"/>
                <w:sz w:val="18"/>
                <w:szCs w:val="18"/>
                <w:vertAlign w:val="superscript"/>
              </w:rPr>
              <w:t>[26]</w:t>
            </w:r>
            <w:r>
              <w:rPr>
                <w:rFonts w:ascii="Times New Roman" w:hAnsi="Times New Roman" w:eastAsia="华文中宋"/>
                <w:b w:val="0"/>
                <w:color w:val="000000"/>
                <w:sz w:val="18"/>
                <w:szCs w:val="18"/>
              </w:rPr>
              <w:t>、MuSciClaims（多模态科学核验）</w:t>
            </w:r>
            <w:r>
              <w:rPr>
                <w:rFonts w:ascii="Times New Roman" w:hAnsi="Times New Roman" w:eastAsia="华文中宋"/>
                <w:b w:val="0"/>
                <w:color w:val="000000"/>
                <w:sz w:val="18"/>
                <w:szCs w:val="18"/>
                <w:vertAlign w:val="superscript"/>
              </w:rPr>
              <w:t>[27]</w:t>
            </w:r>
          </w:p>
        </w:tc>
        <w:tc>
          <w:tcPr>
            <w:tcW w:w="1757" w:type="dxa"/>
            <w:vAlign w:val="center"/>
          </w:tcPr>
          <w:p w14:paraId="3C018E19">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图表、图注与上下文</w:t>
            </w:r>
          </w:p>
        </w:tc>
        <w:tc>
          <w:tcPr>
            <w:tcW w:w="1984" w:type="dxa"/>
            <w:vAlign w:val="center"/>
          </w:tcPr>
          <w:p w14:paraId="0AF28AD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对象映射、量值及关系是否受支持</w:t>
            </w:r>
          </w:p>
        </w:tc>
        <w:tc>
          <w:tcPr>
            <w:tcW w:w="1928" w:type="dxa"/>
            <w:vAlign w:val="center"/>
          </w:tcPr>
          <w:p w14:paraId="42A0B1C2">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图表来源与计算过程无误</w:t>
            </w:r>
          </w:p>
        </w:tc>
      </w:tr>
      <w:tr w14:paraId="7F8D9B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304" w:type="dxa"/>
            <w:vAlign w:val="center"/>
          </w:tcPr>
          <w:p w14:paraId="673BA8B6">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假设理由</w:t>
            </w:r>
          </w:p>
        </w:tc>
        <w:tc>
          <w:tcPr>
            <w:tcW w:w="2778" w:type="dxa"/>
            <w:vAlign w:val="center"/>
          </w:tcPr>
          <w:p w14:paraId="38041414">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KnowHD（假设知识支撑检测）</w:t>
            </w:r>
            <w:r>
              <w:rPr>
                <w:rFonts w:ascii="Times New Roman" w:hAnsi="Times New Roman" w:eastAsia="华文中宋"/>
                <w:b w:val="0"/>
                <w:color w:val="000000"/>
                <w:sz w:val="18"/>
                <w:szCs w:val="18"/>
                <w:vertAlign w:val="superscript"/>
              </w:rPr>
              <w:t>[10]</w:t>
            </w:r>
          </w:p>
        </w:tc>
        <w:tc>
          <w:tcPr>
            <w:tcW w:w="1757" w:type="dxa"/>
            <w:vAlign w:val="center"/>
          </w:tcPr>
          <w:p w14:paraId="44FF8391">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有时间边界的知识与文献</w:t>
            </w:r>
          </w:p>
        </w:tc>
        <w:tc>
          <w:tcPr>
            <w:tcW w:w="1984" w:type="dxa"/>
            <w:vAlign w:val="center"/>
          </w:tcPr>
          <w:p w14:paraId="4EA22BC2">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中间事实和理由的知识依据</w:t>
            </w:r>
          </w:p>
        </w:tc>
        <w:tc>
          <w:tcPr>
            <w:tcW w:w="1928" w:type="dxa"/>
            <w:vAlign w:val="center"/>
          </w:tcPr>
          <w:p w14:paraId="3ADC185B">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最终新关系已经成立</w:t>
            </w:r>
          </w:p>
        </w:tc>
      </w:tr>
      <w:tr w14:paraId="6F3FE1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304" w:type="dxa"/>
            <w:vAlign w:val="center"/>
          </w:tcPr>
          <w:p w14:paraId="709B9E64">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实施与产物审计</w:t>
            </w:r>
          </w:p>
        </w:tc>
        <w:tc>
          <w:tcPr>
            <w:tcW w:w="2778" w:type="dxa"/>
            <w:vAlign w:val="center"/>
          </w:tcPr>
          <w:p w14:paraId="365CB7E5">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ABE-Ralph（实施忠实性审计）</w:t>
            </w:r>
            <w:r>
              <w:rPr>
                <w:rFonts w:ascii="Times New Roman" w:hAnsi="Times New Roman" w:eastAsia="华文中宋"/>
                <w:b w:val="0"/>
                <w:color w:val="000000"/>
                <w:sz w:val="18"/>
                <w:szCs w:val="18"/>
                <w:vertAlign w:val="superscript"/>
              </w:rPr>
              <w:t>[16]</w:t>
            </w:r>
            <w:r>
              <w:rPr>
                <w:rFonts w:ascii="Times New Roman" w:hAnsi="Times New Roman" w:eastAsia="华文中宋"/>
                <w:b w:val="0"/>
                <w:color w:val="000000"/>
                <w:sz w:val="18"/>
                <w:szCs w:val="18"/>
              </w:rPr>
              <w:t>、Xcientist（主张支持审计）</w:t>
            </w:r>
            <w:r>
              <w:rPr>
                <w:rFonts w:ascii="Times New Roman" w:hAnsi="Times New Roman" w:eastAsia="华文中宋"/>
                <w:b w:val="0"/>
                <w:color w:val="000000"/>
                <w:sz w:val="18"/>
                <w:szCs w:val="18"/>
                <w:vertAlign w:val="superscript"/>
              </w:rPr>
              <w:t>[11]</w:t>
            </w:r>
            <w:r>
              <w:rPr>
                <w:rFonts w:ascii="Times New Roman" w:hAnsi="Times New Roman" w:eastAsia="华文中宋"/>
                <w:b w:val="0"/>
                <w:color w:val="000000"/>
                <w:sz w:val="18"/>
                <w:szCs w:val="18"/>
              </w:rPr>
              <w:t>、SciRigor（完整路径评价）</w:t>
            </w:r>
            <w:r>
              <w:rPr>
                <w:rFonts w:ascii="Times New Roman" w:hAnsi="Times New Roman" w:eastAsia="华文中宋"/>
                <w:b w:val="0"/>
                <w:color w:val="000000"/>
                <w:sz w:val="18"/>
                <w:szCs w:val="18"/>
                <w:vertAlign w:val="superscript"/>
              </w:rPr>
              <w:t>[19]</w:t>
            </w:r>
          </w:p>
        </w:tc>
        <w:tc>
          <w:tcPr>
            <w:tcW w:w="1757" w:type="dxa"/>
            <w:vAlign w:val="center"/>
          </w:tcPr>
          <w:p w14:paraId="615D6D39">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协议、代码、数据与同次运行产物</w:t>
            </w:r>
          </w:p>
        </w:tc>
        <w:tc>
          <w:tcPr>
            <w:tcW w:w="1984" w:type="dxa"/>
            <w:vAlign w:val="center"/>
          </w:tcPr>
          <w:p w14:paraId="220BC3A7">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方法身份、完成情况、结果来源及支持路径</w:t>
            </w:r>
          </w:p>
        </w:tc>
        <w:tc>
          <w:tcPr>
            <w:tcW w:w="1928" w:type="dxa"/>
            <w:vAlign w:val="center"/>
          </w:tcPr>
          <w:p w14:paraId="7947879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研究设计在所有条件下有效</w:t>
            </w:r>
          </w:p>
        </w:tc>
      </w:tr>
      <w:tr w14:paraId="6E1FA1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304" w:type="dxa"/>
            <w:vAlign w:val="center"/>
          </w:tcPr>
          <w:p w14:paraId="199CD9CB">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模型信号</w:t>
            </w:r>
          </w:p>
        </w:tc>
        <w:tc>
          <w:tcPr>
            <w:tcW w:w="2778" w:type="dxa"/>
            <w:vAlign w:val="center"/>
          </w:tcPr>
          <w:p w14:paraId="74CC963D">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SelfCheckGPT（多次采样一致性）</w:t>
            </w:r>
            <w:r>
              <w:rPr>
                <w:rFonts w:ascii="Times New Roman" w:hAnsi="Times New Roman" w:eastAsia="华文中宋"/>
                <w:b w:val="0"/>
                <w:color w:val="000000"/>
                <w:sz w:val="18"/>
                <w:szCs w:val="18"/>
                <w:vertAlign w:val="superscript"/>
              </w:rPr>
              <w:t>[39]</w:t>
            </w:r>
          </w:p>
        </w:tc>
        <w:tc>
          <w:tcPr>
            <w:tcW w:w="1757" w:type="dxa"/>
            <w:vAlign w:val="center"/>
          </w:tcPr>
          <w:p w14:paraId="2422335A">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重复生成及其差异</w:t>
            </w:r>
          </w:p>
        </w:tc>
        <w:tc>
          <w:tcPr>
            <w:tcW w:w="1984" w:type="dxa"/>
            <w:vAlign w:val="center"/>
          </w:tcPr>
          <w:p w14:paraId="37366151">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需要重点核查的高风险片段</w:t>
            </w:r>
          </w:p>
        </w:tc>
        <w:tc>
          <w:tcPr>
            <w:tcW w:w="1928" w:type="dxa"/>
            <w:vAlign w:val="center"/>
          </w:tcPr>
          <w:p w14:paraId="59C27D1F">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外部事实真值或科学有效性</w:t>
            </w:r>
          </w:p>
        </w:tc>
      </w:tr>
    </w:tbl>
    <w:p w14:paraId="20A1C3A9">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440C8A8A">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检测方法的实用价值还取决于输出能否支持修复。“存在错误”的整体分数只能触发进一步检查，字段级错误可以直接修正引用，具体证据缺口可以触发全文检索，实施不一致则可能要求重新运行。因而，检测评价除了分类成绩，还需分析错误定位粒度、证据位置和未决状态。第3节将进一步讨论这些输出如何转化为不同层次的干预。</w:t>
      </w:r>
    </w:p>
    <w:p w14:paraId="52D9E4D6">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3 幻觉预防、约束与修复</w:t>
      </w:r>
    </w:p>
    <w:p w14:paraId="1D5B44C6">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幻觉治理可以作用于模型学习、当前生成和已有研究状态。训练干预改变模型处理证据与错误的行为，生成约束限定当前输出的依据，修复机制则处理已经出现的失实内容及其后果。中文幻觉综述从数据、模型和应用层面归纳缓解方法</w:t>
      </w:r>
      <w:r>
        <w:rPr>
          <w:rFonts w:ascii="Times New Roman" w:hAnsi="Times New Roman" w:eastAsia="华文中宋"/>
          <w:color w:val="000000"/>
          <w:sz w:val="21"/>
          <w:szCs w:val="21"/>
          <w:vertAlign w:val="superscript"/>
        </w:rPr>
        <w:t>[7]</w:t>
      </w:r>
      <w:r>
        <w:rPr>
          <w:rFonts w:ascii="Times New Roman" w:hAnsi="Times New Roman" w:eastAsia="华文中宋"/>
          <w:color w:val="000000"/>
          <w:sz w:val="21"/>
          <w:szCs w:val="21"/>
        </w:rPr>
        <w:t>；面向科研过程，本文进一步按干预发生的时机分析这些方法，以说明它们分别需要什么反馈、能够改变什么对象。</w:t>
      </w:r>
    </w:p>
    <w:p w14:paraId="6F0EEED0">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3.1 训练阶段的可靠性学习</w:t>
      </w:r>
    </w:p>
    <w:p w14:paraId="2DADD691">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3.1.1 学习科学信息的抽取与证据使用</w:t>
      </w:r>
    </w:p>
    <w:p w14:paraId="090B8ED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训练阶段首先需要将“可靠”转化为可学习的监督。MeasHalu围绕科学测量中的数量信息和关系对齐组织训练，将推理指导的监督微调与结构化奖励结合，针对量值、单位和科学对象之间的错误开展干预</w:t>
      </w:r>
      <w:r>
        <w:rPr>
          <w:rFonts w:ascii="Times New Roman" w:hAnsi="Times New Roman" w:eastAsia="华文中宋"/>
          <w:color w:val="000000"/>
          <w:sz w:val="21"/>
          <w:szCs w:val="21"/>
          <w:vertAlign w:val="superscript"/>
        </w:rPr>
        <w:t>[25]</w:t>
      </w:r>
      <w:r>
        <w:rPr>
          <w:rFonts w:ascii="Times New Roman" w:hAnsi="Times New Roman" w:eastAsia="华文中宋"/>
          <w:color w:val="000000"/>
          <w:sz w:val="21"/>
          <w:szCs w:val="21"/>
        </w:rPr>
        <w:t>。其优势是训练目标与领域错误具有明确对应关系；代价则是需要具有足够质量和覆盖范围的标注。对于标注未保留的实验条件，即使模型完全拟合训练目标，也不一定能够避免条件缺失。</w:t>
      </w:r>
    </w:p>
    <w:p w14:paraId="28D425E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Self-RAG将监督对象扩展到证据使用过程。它训练模型生成反思标记，表达是否需要检索、材料是否相关以及生成片段是否受支持等信息，并在推理时利用这些信号选择内容</w:t>
      </w:r>
      <w:r>
        <w:rPr>
          <w:rFonts w:ascii="Times New Roman" w:hAnsi="Times New Roman" w:eastAsia="华文中宋"/>
          <w:color w:val="000000"/>
          <w:sz w:val="21"/>
          <w:szCs w:val="21"/>
          <w:vertAlign w:val="superscript"/>
        </w:rPr>
        <w:t>[40]</w:t>
      </w:r>
      <w:r>
        <w:rPr>
          <w:rFonts w:ascii="Times New Roman" w:hAnsi="Times New Roman" w:eastAsia="华文中宋"/>
          <w:color w:val="000000"/>
          <w:sz w:val="21"/>
          <w:szCs w:val="21"/>
        </w:rPr>
        <w:t>。由此，检索不再是固定发生一次的前置步骤，而成为生成过程中的可学习决策。与专门的测量训练相比，Self-RAG的任务覆盖更广，但其自评信号也依赖训练时的评判数据。科研应用需要进一步核查这些标记是否能够识别条件遗漏、关系错配和证据不足，而不能只观察生成文本的总体质量。</w:t>
      </w:r>
    </w:p>
    <w:p w14:paraId="1DC5BCFA">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两类训练分别改进证据表示和证据使用。前者使模型更准确地提取科学信息，后者使模型更合理地决定何时检索、如何依据材料生成。二者可以相互补充，但“支持度”标签本身仍需有可信来源。如果评判模型把主题相关误当作内容支持，这种偏差会进入训练目标。因此，监督数据质量与目标任务中的错误分布，是判断训练收益能否迁移的关键条件。</w:t>
      </w:r>
    </w:p>
    <w:p w14:paraId="447D1439">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3.1.2 对冲突与无关上下文的适应</w:t>
      </w:r>
    </w:p>
    <w:p w14:paraId="41C3D52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上下文与参数知识冲突时，模型可能忽略当前证据。Longpre等通过实体替换构造反事实输入，研究并改善模型遵循上下文的能力</w:t>
      </w:r>
      <w:r>
        <w:rPr>
          <w:rFonts w:ascii="Times New Roman" w:hAnsi="Times New Roman" w:eastAsia="华文中宋"/>
          <w:color w:val="000000"/>
          <w:sz w:val="21"/>
          <w:szCs w:val="21"/>
          <w:vertAlign w:val="superscript"/>
        </w:rPr>
        <w:t>[22]</w:t>
      </w:r>
      <w:r>
        <w:rPr>
          <w:rFonts w:ascii="Times New Roman" w:hAnsi="Times New Roman" w:eastAsia="华文中宋"/>
          <w:color w:val="000000"/>
          <w:sz w:val="21"/>
          <w:szCs w:val="21"/>
        </w:rPr>
        <w:t>。Yoran等则利用相关与无关材料混合的训练设置以及蕴含过滤，减少检索噪声对生成的影响</w:t>
      </w:r>
      <w:r>
        <w:rPr>
          <w:rFonts w:ascii="Times New Roman" w:hAnsi="Times New Roman" w:eastAsia="华文中宋"/>
          <w:color w:val="000000"/>
          <w:sz w:val="21"/>
          <w:szCs w:val="21"/>
          <w:vertAlign w:val="superscript"/>
        </w:rPr>
        <w:t>[23]</w:t>
      </w:r>
      <w:r>
        <w:rPr>
          <w:rFonts w:ascii="Times New Roman" w:hAnsi="Times New Roman" w:eastAsia="华文中宋"/>
          <w:color w:val="000000"/>
          <w:sz w:val="21"/>
          <w:szCs w:val="21"/>
        </w:rPr>
        <w:t>。前者处理内部记忆与输入冲突，后者处理输入集合中的信息筛选，两者解决的失效位置不同。</w:t>
      </w:r>
    </w:p>
    <w:p w14:paraId="514456B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研资料中的冲突还有语义上的特殊性。不同实验可能因温度、样本、测量方法或时间范围不同而给出不同结果。基于上述方法，可以训练模型识别相关材料和遵循当前来源；但确定两个结果是否真正矛盾，还需要把实验条件对齐。科学总结研究显示，即使原始文本已提供限定，生成时仍可能扩大其范围</w:t>
      </w:r>
      <w:r>
        <w:rPr>
          <w:rFonts w:ascii="Times New Roman" w:hAnsi="Times New Roman" w:eastAsia="华文中宋"/>
          <w:color w:val="000000"/>
          <w:sz w:val="21"/>
          <w:szCs w:val="21"/>
          <w:vertAlign w:val="superscript"/>
        </w:rPr>
        <w:t>[8]</w:t>
      </w:r>
      <w:r>
        <w:rPr>
          <w:rFonts w:ascii="Times New Roman" w:hAnsi="Times New Roman" w:eastAsia="华文中宋"/>
          <w:color w:val="000000"/>
          <w:sz w:val="21"/>
          <w:szCs w:val="21"/>
        </w:rPr>
        <w:t>。因此，面向科研的鲁棒性训练除了处理无关段落，还需要针对条件错配构造监督，防止模型通过删除差异获得表面一致的答案。</w:t>
      </w:r>
    </w:p>
    <w:p w14:paraId="10C38D61">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3.1.3 学习纠错与反证行为</w:t>
      </w:r>
    </w:p>
    <w:p w14:paraId="2F62DF6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纠错能力并不等同于重复生成。SCoRe通过多轮在线强化学习训练初次回答与后续修订，并针对仅改善初答、却不形成有效修改的行为设置训练阶段和奖励</w:t>
      </w:r>
      <w:r>
        <w:rPr>
          <w:rFonts w:ascii="Times New Roman" w:hAnsi="Times New Roman" w:eastAsia="华文中宋"/>
          <w:color w:val="000000"/>
          <w:sz w:val="21"/>
          <w:szCs w:val="21"/>
          <w:vertAlign w:val="superscript"/>
        </w:rPr>
        <w:t>[41]</w:t>
      </w:r>
      <w:r>
        <w:rPr>
          <w:rFonts w:ascii="Times New Roman" w:hAnsi="Times New Roman" w:eastAsia="华文中宋"/>
          <w:color w:val="000000"/>
          <w:sz w:val="21"/>
          <w:szCs w:val="21"/>
        </w:rPr>
        <w:t>。该研究在数学与代码任务中表明，自我纠错可以作为单独的学习目标。相应收益依赖于能够判断答案正确性和修订进展的反馈，向开放科学问题迁移时需要重新确定反馈来源。</w:t>
      </w:r>
    </w:p>
    <w:p w14:paraId="3D2DD32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反证行为关注证据如何被选择。Failing to Falsify在交互式规则发现任务中分析确认偏差，比较提示反例和蒸馏相关探索行为的作用</w:t>
      </w:r>
      <w:r>
        <w:rPr>
          <w:rFonts w:ascii="Times New Roman" w:hAnsi="Times New Roman" w:eastAsia="华文中宋"/>
          <w:color w:val="000000"/>
          <w:sz w:val="21"/>
          <w:szCs w:val="21"/>
          <w:vertAlign w:val="superscript"/>
        </w:rPr>
        <w:t>[42]</w:t>
      </w:r>
      <w:r>
        <w:rPr>
          <w:rFonts w:ascii="Times New Roman" w:hAnsi="Times New Roman" w:eastAsia="华文中宋"/>
          <w:color w:val="000000"/>
          <w:sz w:val="21"/>
          <w:szCs w:val="21"/>
        </w:rPr>
        <w:t>。它所改进的是检验假设的方式，而不是直接证明某个科学假设成立。科研系统可以借鉴这种机制，主动寻找能够区分竞争解释的观测；但受控规则任务中的正确率不能直接代替真实实验中的发现质量。对于纠错和反证训练，都需要同时考察错误得到修正的比例、正确判断被错误推翻的比例，以及新增检验的成本。</w:t>
      </w:r>
    </w:p>
    <w:p w14:paraId="5D0722C6">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3.2 生成过程中的证据约束</w:t>
      </w:r>
    </w:p>
    <w:p w14:paraId="3C085E5C">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3.2.1 从文献列表到可引用的具体证据</w:t>
      </w:r>
    </w:p>
    <w:p w14:paraId="314EC69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检索增强生成（Retrieval-Augmented Generation，RAG）为模型提供当前可访问的外部知识。PaperQA将搜索、证据收集和回答生成分解为工具，由智能体按问题需要迭代调用：先获得论文全文，再选择与问题相关的片段，形成证据摘要并生成引用</w:t>
      </w:r>
      <w:r>
        <w:rPr>
          <w:rFonts w:ascii="Times New Roman" w:hAnsi="Times New Roman" w:eastAsia="华文中宋"/>
          <w:color w:val="000000"/>
          <w:sz w:val="21"/>
          <w:szCs w:val="21"/>
          <w:vertAlign w:val="superscript"/>
        </w:rPr>
        <w:t>[43]</w:t>
      </w:r>
      <w:r>
        <w:rPr>
          <w:rFonts w:ascii="Times New Roman" w:hAnsi="Times New Roman" w:eastAsia="华文中宋"/>
          <w:color w:val="000000"/>
          <w:sz w:val="21"/>
          <w:szCs w:val="21"/>
        </w:rPr>
        <w:t>。OpenScholar结合科学文献库、检索重排、自反馈生成和专门训练，使检索与回答修订相互衔接</w:t>
      </w:r>
      <w:r>
        <w:rPr>
          <w:rFonts w:ascii="Times New Roman" w:hAnsi="Times New Roman" w:eastAsia="华文中宋"/>
          <w:color w:val="000000"/>
          <w:sz w:val="21"/>
          <w:szCs w:val="21"/>
          <w:vertAlign w:val="superscript"/>
        </w:rPr>
        <w:t>[44]</w:t>
      </w:r>
      <w:r>
        <w:rPr>
          <w:rFonts w:ascii="Times New Roman" w:hAnsi="Times New Roman" w:eastAsia="华文中宋"/>
          <w:color w:val="000000"/>
          <w:sz w:val="21"/>
          <w:szCs w:val="21"/>
        </w:rPr>
        <w:t>。PaperQA2进一步考察文献检索、总结和矛盾发现等任务</w:t>
      </w:r>
      <w:r>
        <w:rPr>
          <w:rFonts w:ascii="Times New Roman" w:hAnsi="Times New Roman" w:eastAsia="华文中宋"/>
          <w:color w:val="000000"/>
          <w:sz w:val="21"/>
          <w:szCs w:val="21"/>
          <w:vertAlign w:val="superscript"/>
        </w:rPr>
        <w:t>[45]</w:t>
      </w:r>
      <w:r>
        <w:rPr>
          <w:rFonts w:ascii="Times New Roman" w:hAnsi="Times New Roman" w:eastAsia="华文中宋"/>
          <w:color w:val="000000"/>
          <w:sz w:val="21"/>
          <w:szCs w:val="21"/>
        </w:rPr>
        <w:t>。这些系统的共同特点，是将回答建立在可以回查的材料上；差别则在于检索组织、证据压缩和生成模型的适配方式。</w:t>
      </w:r>
    </w:p>
    <w:p w14:paraId="46E0C97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一路线仍有多个失效入口。检索不到必要文献属于覆盖问题，检索到却未选入上下文属于筛选问题，证据摘要删除条件属于压缩问题，正确材料进入上下文后仍被误述属于生成问题。上述系统分别在这些环节设置工具或反馈</w:t>
      </w:r>
      <w:r>
        <w:rPr>
          <w:rFonts w:ascii="Times New Roman" w:hAnsi="Times New Roman" w:eastAsia="华文中宋"/>
          <w:color w:val="000000"/>
          <w:sz w:val="21"/>
          <w:szCs w:val="21"/>
          <w:vertAlign w:val="superscript"/>
        </w:rPr>
        <w:t>[43-45]</w:t>
      </w:r>
      <w:r>
        <w:rPr>
          <w:rFonts w:ascii="Times New Roman" w:hAnsi="Times New Roman" w:eastAsia="华文中宋"/>
          <w:color w:val="000000"/>
          <w:sz w:val="21"/>
          <w:szCs w:val="21"/>
        </w:rPr>
        <w:t>，但最终回答质量是整个流程的共同结果。若只比较有无RAG，便难以判断改进来自更好的检索，还是来自生成模型、重排或更多推理开销。</w:t>
      </w:r>
    </w:p>
    <w:p w14:paraId="4AD17F5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AskChem将检索单元进一步细化为带来源的原子主张，保存原文引语或证据位置，并以主张关系组织跨论文信息</w:t>
      </w:r>
      <w:r>
        <w:rPr>
          <w:rFonts w:ascii="Times New Roman" w:hAnsi="Times New Roman" w:eastAsia="华文中宋"/>
          <w:color w:val="000000"/>
          <w:sz w:val="21"/>
          <w:szCs w:val="21"/>
          <w:vertAlign w:val="superscript"/>
        </w:rPr>
        <w:t>[46]</w:t>
      </w:r>
      <w:r>
        <w:rPr>
          <w:rFonts w:ascii="Times New Roman" w:hAnsi="Times New Roman" w:eastAsia="华文中宋"/>
          <w:color w:val="000000"/>
          <w:sz w:val="21"/>
          <w:szCs w:val="21"/>
        </w:rPr>
        <w:t>。这种表示便于从一项结论直接回到具体依据，也有利于比较不同研究条件下的结果。相应代价是证据抽取和结构维护本身需要核查：错误关系一旦进入公共证据库，可能被多次复用。因此，结构化证据的可追溯性改善了核验条件，但其正确性仍需独立检查。</w:t>
      </w:r>
    </w:p>
    <w:p w14:paraId="3DF3274B">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图4以AskChem附录B的真实记录展示这一组织方式</w:t>
      </w:r>
      <w:r>
        <w:rPr>
          <w:rFonts w:ascii="Times New Roman" w:hAnsi="Times New Roman" w:eastAsia="华文中宋"/>
          <w:color w:val="000000"/>
          <w:sz w:val="21"/>
          <w:szCs w:val="21"/>
          <w:vertAlign w:val="superscript"/>
        </w:rPr>
        <w:t>[46]</w:t>
      </w:r>
      <w:r>
        <w:rPr>
          <w:rFonts w:ascii="Times New Roman" w:hAnsi="Times New Roman" w:eastAsia="华文中宋"/>
          <w:color w:val="000000"/>
          <w:sz w:val="21"/>
          <w:szCs w:val="21"/>
        </w:rPr>
        <w:t>。同一记录中的CO法拉第效率和周转频率被分项展示，每项都保留研究对象及来源；另一条独立记录则以supports边表示观测对概括性主张的支持。主张拆分方便逐项回查，关系索引便于跨主张核验，但不能仅因两句话出现在同一段中就建立支持边。</w:t>
      </w:r>
    </w:p>
    <w:p w14:paraId="7AA20C90">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26118DD4">
      <w:pPr>
        <w:keepNext/>
        <w:keepLines/>
        <w:widowControl/>
        <w:spacing w:before="80" w:after="0" w:line="20" w:lineRule="atLeast"/>
        <w:ind w:left="0" w:right="0" w:firstLine="0" w:firstLineChars="0"/>
        <w:jc w:val="center"/>
      </w:pPr>
      <w:r>
        <w:drawing>
          <wp:inline distT="0" distB="0" distL="114300" distR="114300">
            <wp:extent cx="6191885" cy="3199130"/>
            <wp:effectExtent l="0" t="0" r="5715" b="11430"/>
            <wp:docPr id="4" name="图4-从文献片段到主张与证据关系" descr="依据AskChem附录B的两条独立真实记录中文转写[46]。(a)两项拆分为本文的展示方式，不代表原索引中的两个独立记录；未给出的条件不补写。(b)为另一条真实supports边。两个化学情境不构成同一条证据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4-从文献片段到主张与证据关系" descr="依据AskChem附录B的两条独立真实记录中文转写[46]。(a)两项拆分为本文的展示方式，不代表原索引中的两个独立记录；未给出的条件不补写。(b)为另一条真实supports边。两个化学情境不构成同一条证据链。"/>
                    <pic:cNvPicPr>
                      <a:picLocks noChangeAspect="1"/>
                    </pic:cNvPicPr>
                  </pic:nvPicPr>
                  <pic:blipFill>
                    <a:blip r:embed="rId10"/>
                    <a:stretch>
                      <a:fillRect/>
                    </a:stretch>
                  </pic:blipFill>
                  <pic:spPr>
                    <a:xfrm>
                      <a:off x="0" y="0"/>
                      <a:ext cx="6192000" cy="3199200"/>
                    </a:xfrm>
                    <a:prstGeom prst="rect">
                      <a:avLst/>
                    </a:prstGeom>
                  </pic:spPr>
                </pic:pic>
              </a:graphicData>
            </a:graphic>
          </wp:inline>
        </w:drawing>
      </w:r>
    </w:p>
    <w:p w14:paraId="7B832F5D">
      <w:pPr>
        <w:pStyle w:val="34"/>
        <w:keepNext/>
        <w:keepLines/>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图4 从文献片段到主张与证据关系</w:t>
      </w:r>
    </w:p>
    <w:p w14:paraId="2B934EEE">
      <w:pPr>
        <w:pStyle w:val="34"/>
        <w:keepNext/>
        <w:keepLines/>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Fig.4 From literature passages to claims and evidence relations</w:t>
      </w:r>
    </w:p>
    <w:p w14:paraId="15014A4E">
      <w:pPr>
        <w:pStyle w:val="16"/>
        <w:keepNext w:val="0"/>
        <w:keepLines/>
        <w:widowControl/>
        <w:spacing w:before="0" w:after="80" w:line="220" w:lineRule="atLeast"/>
        <w:ind w:left="0" w:right="0" w:firstLine="0" w:firstLineChars="0"/>
        <w:jc w:val="both"/>
      </w:pPr>
      <w:r>
        <w:rPr>
          <w:rFonts w:ascii="Times New Roman" w:hAnsi="Times New Roman" w:eastAsia="华文中宋"/>
          <w:color w:val="000000"/>
          <w:sz w:val="16"/>
          <w:szCs w:val="16"/>
        </w:rPr>
        <w:t>注：依据AskChem附录B的两条独立真实记录中文转写</w:t>
      </w:r>
      <w:r>
        <w:rPr>
          <w:rFonts w:ascii="Times New Roman" w:hAnsi="Times New Roman" w:eastAsia="华文中宋"/>
          <w:color w:val="000000"/>
          <w:sz w:val="16"/>
          <w:szCs w:val="16"/>
          <w:vertAlign w:val="superscript"/>
        </w:rPr>
        <w:t>[46]</w:t>
      </w:r>
      <w:r>
        <w:rPr>
          <w:rFonts w:ascii="Times New Roman" w:hAnsi="Times New Roman" w:eastAsia="华文中宋"/>
          <w:color w:val="000000"/>
          <w:sz w:val="16"/>
          <w:szCs w:val="16"/>
        </w:rPr>
        <w:t>。(a)两项拆分为本文的展示方式，不代表原索引中的两个独立记录；未给出的条件不补写。(b)为另一条真实supports边。两个化学情境不构成同一条证据链。</w:t>
      </w:r>
    </w:p>
    <w:p w14:paraId="5067850D">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51F4D34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这种表示也能用于前述总结问题：把90 d随访范围与研究对象、比较关系一起保留在可引用的证据中，再据此约束总结。该做法是本综述结合条件遗漏案例与主张级证据组织提出的应用分析</w:t>
      </w:r>
      <w:r>
        <w:rPr>
          <w:rFonts w:ascii="Times New Roman" w:hAnsi="Times New Roman" w:eastAsia="华文中宋"/>
          <w:color w:val="000000"/>
          <w:sz w:val="21"/>
          <w:szCs w:val="21"/>
          <w:vertAlign w:val="superscript"/>
        </w:rPr>
        <w:t>[8,46]</w:t>
      </w:r>
      <w:r>
        <w:rPr>
          <w:rFonts w:ascii="Times New Roman" w:hAnsi="Times New Roman" w:eastAsia="华文中宋"/>
          <w:color w:val="000000"/>
          <w:sz w:val="21"/>
          <w:szCs w:val="21"/>
        </w:rPr>
        <w:t>，不代表两项研究已经完成同条件的修复实验。</w:t>
      </w:r>
    </w:p>
    <w:p w14:paraId="7DC42EE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证据还可以直接影响词语选择。上下文感知解码比较有、无上下文时的输出分布，提高给定证据对生成的影响</w:t>
      </w:r>
      <w:r>
        <w:rPr>
          <w:rFonts w:ascii="Times New Roman" w:hAnsi="Times New Roman" w:eastAsia="华文中宋"/>
          <w:color w:val="000000"/>
          <w:sz w:val="21"/>
          <w:szCs w:val="21"/>
          <w:vertAlign w:val="superscript"/>
        </w:rPr>
        <w:t>[47]</w:t>
      </w:r>
      <w:r>
        <w:rPr>
          <w:rFonts w:ascii="Times New Roman" w:hAnsi="Times New Roman" w:eastAsia="华文中宋"/>
          <w:color w:val="000000"/>
          <w:sz w:val="21"/>
          <w:szCs w:val="21"/>
        </w:rPr>
        <w:t>。与重新训练相比，这类方法在推理阶段实施，便于利用当前材料；但它所强化的是已提供上下文的作用。如果上下文自身存在错误或条件不匹配，更强的遵循也可能保留该问题。证据获取、来源核验与生成控制因而需要配合。</w:t>
      </w:r>
    </w:p>
    <w:p w14:paraId="515C8DBF">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3.2.2 假设生成中的知识与可行性约束</w:t>
      </w:r>
    </w:p>
    <w:p w14:paraId="53E1BB9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知识图谱可以把生成依据组织为显式关系。KG-CoI利用图谱引导上下文获取和逐步构思，并设置知识支持检查</w:t>
      </w:r>
      <w:r>
        <w:rPr>
          <w:rFonts w:ascii="Times New Roman" w:hAnsi="Times New Roman" w:eastAsia="华文中宋"/>
          <w:color w:val="000000"/>
          <w:sz w:val="21"/>
          <w:szCs w:val="21"/>
          <w:vertAlign w:val="superscript"/>
        </w:rPr>
        <w:t>[15]</w:t>
      </w:r>
      <w:r>
        <w:rPr>
          <w:rFonts w:ascii="Times New Roman" w:hAnsi="Times New Roman" w:eastAsia="华文中宋"/>
          <w:color w:val="000000"/>
          <w:sz w:val="21"/>
          <w:szCs w:val="21"/>
        </w:rPr>
        <w:t>；HypoKG通过控制知识路径的可见内容分析机理证据的作用</w:t>
      </w:r>
      <w:r>
        <w:rPr>
          <w:rFonts w:ascii="Times New Roman" w:hAnsi="Times New Roman" w:eastAsia="华文中宋"/>
          <w:color w:val="000000"/>
          <w:sz w:val="21"/>
          <w:szCs w:val="21"/>
          <w:vertAlign w:val="superscript"/>
        </w:rPr>
        <w:t>[36]</w:t>
      </w:r>
      <w:r>
        <w:rPr>
          <w:rFonts w:ascii="Times New Roman" w:hAnsi="Times New Roman" w:eastAsia="华文中宋"/>
          <w:color w:val="000000"/>
          <w:sz w:val="21"/>
          <w:szCs w:val="21"/>
        </w:rPr>
        <w:t>。前者强调把知识约束嵌入生成流程，后者强调检验模型是否真正使用了这些约束。对科研构思而言，两类思路共同指向一个问题：生成的理由应能解释从已有发现走向新推断的依据，而不是仅在结果旁附上若干相关来源。</w:t>
      </w:r>
    </w:p>
    <w:p w14:paraId="5A7AC9BD">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材料设计还受到应用目标和实现条件的约束。ACCELMAT依据目标与约束生成和迭代评价材料假设，并以MATDESIGN中的研究需求开展评测</w:t>
      </w:r>
      <w:r>
        <w:rPr>
          <w:rFonts w:ascii="Times New Roman" w:hAnsi="Times New Roman" w:eastAsia="华文中宋"/>
          <w:color w:val="000000"/>
          <w:sz w:val="21"/>
          <w:szCs w:val="21"/>
          <w:vertAlign w:val="superscript"/>
        </w:rPr>
        <w:t>[48]</w:t>
      </w:r>
      <w:r>
        <w:rPr>
          <w:rFonts w:ascii="Times New Roman" w:hAnsi="Times New Roman" w:eastAsia="华文中宋"/>
          <w:color w:val="000000"/>
          <w:sz w:val="21"/>
          <w:szCs w:val="21"/>
        </w:rPr>
        <w:t>。这类方法使候选不仅与已有知识相关，也与待解决的问题相匹配。但满足检索到的关系、目标和文字化约束，仍不等于预测的性质已经实现。评价需要区分知识依据、约束符合度和后续实验结果，避免把生成阶段的筛选分数写成材料性能。</w:t>
      </w:r>
    </w:p>
    <w:p w14:paraId="34B60946">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结构化知识约束还可能限制探索范围。已有知识路径较充分时，模型容易获得可追溯的理由；知识覆盖稀疏时，过严的过滤可能排除尚无直接依据但值得验证的候选。基于TruthHypo和HypoKG的任务差异</w:t>
      </w:r>
      <w:r>
        <w:rPr>
          <w:rFonts w:ascii="Times New Roman" w:hAnsi="Times New Roman" w:eastAsia="华文中宋"/>
          <w:color w:val="000000"/>
          <w:sz w:val="21"/>
          <w:szCs w:val="21"/>
          <w:vertAlign w:val="superscript"/>
        </w:rPr>
        <w:t>[10,36]</w:t>
      </w:r>
      <w:r>
        <w:rPr>
          <w:rFonts w:ascii="Times New Roman" w:hAnsi="Times New Roman" w:eastAsia="华文中宋"/>
          <w:color w:val="000000"/>
          <w:sz w:val="21"/>
          <w:szCs w:val="21"/>
        </w:rPr>
        <w:t>，更合适的输出形式是分别记录哪些前提已有支持、哪些连接属于推断，以及下一步需要什么验证。这是本综述对科研系统输出结构的归纳，而非已由上述基准证明的统一最优策略。</w:t>
      </w:r>
    </w:p>
    <w:p w14:paraId="4602F7AE">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3.2.3 研究记录与报告生成的约束</w:t>
      </w:r>
    </w:p>
    <w:p w14:paraId="5F47D64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报告的完整性要求与实验记录之间可能发生直接冲突。The AI Scientist早期写作提示要求始终包含置信区间和消融研究，但计算限制使系统未必获得额外结果，部分情况下便生成了完整的消融表</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。实验未完成是执行状态，虚构消融表则把不存在的观测写成已有结果。图5对照了这一触发条件与作者报告的处理方式。</w:t>
      </w:r>
    </w:p>
    <w:p w14:paraId="4708D829">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4D2D6635">
      <w:pPr>
        <w:keepNext/>
        <w:keepLines/>
        <w:widowControl/>
        <w:spacing w:before="80" w:after="0" w:line="20" w:lineRule="atLeast"/>
        <w:ind w:left="0" w:right="0" w:firstLine="0" w:firstLineChars="0"/>
        <w:jc w:val="center"/>
      </w:pPr>
      <w:r>
        <w:drawing>
          <wp:inline distT="0" distB="0" distL="114300" distR="114300">
            <wp:extent cx="6191885" cy="3095625"/>
            <wp:effectExtent l="0" t="0" r="5715" b="12065"/>
            <wp:docPr id="5" name="图5-缺失实验如何进入或退出报告" descr="依据The AI Scientist关于虚构消融表及“仅纳入直接观察结果”的作者记录重绘[5]。字段为概括性示意，不是原始日志或截图；原文未在此提供对照发生率，不能据此推定普遍有效性或具体改进幅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5-缺失实验如何进入或退出报告" descr="依据The AI Scientist关于虚构消融表及“仅纳入直接观察结果”的作者记录重绘[5]。字段为概括性示意，不是原始日志或截图；原文未在此提供对照发生率，不能据此推定普遍有效性或具体改进幅度。"/>
                    <pic:cNvPicPr>
                      <a:picLocks noChangeAspect="1"/>
                    </pic:cNvPicPr>
                  </pic:nvPicPr>
                  <pic:blipFill>
                    <a:blip r:embed="rId11"/>
                    <a:stretch>
                      <a:fillRect/>
                    </a:stretch>
                  </pic:blipFill>
                  <pic:spPr>
                    <a:xfrm>
                      <a:off x="0" y="0"/>
                      <a:ext cx="6192000" cy="3096000"/>
                    </a:xfrm>
                    <a:prstGeom prst="rect">
                      <a:avLst/>
                    </a:prstGeom>
                  </pic:spPr>
                </pic:pic>
              </a:graphicData>
            </a:graphic>
          </wp:inline>
        </w:drawing>
      </w:r>
    </w:p>
    <w:p w14:paraId="4F515C99">
      <w:pPr>
        <w:pStyle w:val="34"/>
        <w:keepNext/>
        <w:keepLines/>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图5 缺失实验如何进入或退出报告</w:t>
      </w:r>
    </w:p>
    <w:p w14:paraId="4D7A3B06">
      <w:pPr>
        <w:pStyle w:val="34"/>
        <w:keepNext/>
        <w:keepLines/>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Fig.5 How missing experiments are fabricated or disclosed in reports</w:t>
      </w:r>
    </w:p>
    <w:p w14:paraId="59077BD0">
      <w:pPr>
        <w:pStyle w:val="16"/>
        <w:keepNext w:val="0"/>
        <w:keepLines/>
        <w:widowControl/>
        <w:spacing w:before="0" w:after="80" w:line="220" w:lineRule="atLeast"/>
        <w:ind w:left="0" w:right="0" w:firstLine="0" w:firstLineChars="0"/>
        <w:jc w:val="both"/>
      </w:pPr>
      <w:r>
        <w:rPr>
          <w:rFonts w:ascii="Times New Roman" w:hAnsi="Times New Roman" w:eastAsia="华文中宋"/>
          <w:color w:val="000000"/>
          <w:sz w:val="16"/>
          <w:szCs w:val="16"/>
        </w:rPr>
        <w:t>注：依据The AI Scientist关于虚构消融表及“仅纳入直接观察结果”的作者记录重绘</w:t>
      </w:r>
      <w:r>
        <w:rPr>
          <w:rFonts w:ascii="Times New Roman" w:hAnsi="Times New Roman" w:eastAsia="华文中宋"/>
          <w:color w:val="000000"/>
          <w:sz w:val="16"/>
          <w:szCs w:val="16"/>
          <w:vertAlign w:val="superscript"/>
        </w:rPr>
        <w:t>[5]</w:t>
      </w:r>
      <w:r>
        <w:rPr>
          <w:rFonts w:ascii="Times New Roman" w:hAnsi="Times New Roman" w:eastAsia="华文中宋"/>
          <w:color w:val="000000"/>
          <w:sz w:val="16"/>
          <w:szCs w:val="16"/>
        </w:rPr>
        <w:t>。字段为概括性示意，不是原始日志或截图；原文未在此提供对照发生率，不能据此推定普遍有效性或具体改进幅度。</w:t>
      </w:r>
    </w:p>
    <w:p w14:paraId="30614410">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1D36991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原作者通过明确要求只纳入直接观察到的结果处理这一问题</w:t>
      </w:r>
      <w:r>
        <w:rPr>
          <w:rFonts w:ascii="Times New Roman" w:hAnsi="Times New Roman" w:eastAsia="华文中宋"/>
          <w:color w:val="000000"/>
          <w:sz w:val="21"/>
          <w:szCs w:val="21"/>
          <w:vertAlign w:val="superscript"/>
        </w:rPr>
        <w:t>[5]</w:t>
      </w:r>
      <w:r>
        <w:rPr>
          <w:rFonts w:ascii="Times New Roman" w:hAnsi="Times New Roman" w:eastAsia="华文中宋"/>
          <w:color w:val="000000"/>
          <w:sz w:val="21"/>
          <w:szCs w:val="21"/>
        </w:rPr>
        <w:t>。这说明报告范围需要受实际记录约束，但原文没有在此提供可证明问题已普遍消除的对照发生率。更强的约束还需把报告字段关联到具体产物，并同时核查运行身份、指标方向和比较是否完成，避免“数字有出处、解释却错误”的情况。</w:t>
      </w:r>
    </w:p>
    <w:p w14:paraId="1187F7F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自主研究系统需要让生成结果受实际产物约束。SAGE在失败恢复中区分假设、实验设计和实现等解释，同时将报告数值限制到实际测得的结果</w:t>
      </w:r>
      <w:r>
        <w:rPr>
          <w:rFonts w:ascii="Times New Roman" w:hAnsi="Times New Roman" w:eastAsia="华文中宋"/>
          <w:color w:val="000000"/>
          <w:sz w:val="21"/>
          <w:szCs w:val="21"/>
          <w:vertAlign w:val="superscript"/>
        </w:rPr>
        <w:t>[49]</w:t>
      </w:r>
      <w:r>
        <w:rPr>
          <w:rFonts w:ascii="Times New Roman" w:hAnsi="Times New Roman" w:eastAsia="华文中宋"/>
          <w:color w:val="000000"/>
          <w:sz w:val="21"/>
          <w:szCs w:val="21"/>
        </w:rPr>
        <w:t>。Xcientist使用验证要求和组件记录维护设计、实现与实验结论的联系</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。前者有助于避免恢复过程中虚构结果，后者进一步检查结果应归因于哪一种设计。两者分别约束数值来源和方法身份，不能互相替代。</w:t>
      </w:r>
    </w:p>
    <w:p w14:paraId="38B78B1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LedgerMind在多模态智能体中采用结构化证据账本，将结论中的实体与数值关联到工具产物，并限制修复时新增无来源内容</w:t>
      </w:r>
      <w:r>
        <w:rPr>
          <w:rFonts w:ascii="Times New Roman" w:hAnsi="Times New Roman" w:eastAsia="华文中宋"/>
          <w:color w:val="000000"/>
          <w:sz w:val="21"/>
          <w:szCs w:val="21"/>
          <w:vertAlign w:val="superscript"/>
        </w:rPr>
        <w:t>[50]</w:t>
      </w:r>
      <w:r>
        <w:rPr>
          <w:rFonts w:ascii="Times New Roman" w:hAnsi="Times New Roman" w:eastAsia="华文中宋"/>
          <w:color w:val="000000"/>
          <w:sz w:val="21"/>
          <w:szCs w:val="21"/>
        </w:rPr>
        <w:t>。这为科研报告生成提供了可借鉴的来源控制机制，但原有评价场景主要是多模态问答与搜索，并非完整科研实验。将其扩展到科研系统，需要额外记录数据版本、单位、实验条件及运行身份；否则，同名指标来自不同运行的情况仍可能被混用。</w:t>
      </w:r>
    </w:p>
    <w:p w14:paraId="0260C1C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持续记忆中的证据地位同样需要保留。类型化来源研究把信息来源、依赖、有效性及断言条件分开表示，并在受控一致性测试中检查释放条件</w:t>
      </w:r>
      <w:r>
        <w:rPr>
          <w:rFonts w:ascii="Times New Roman" w:hAnsi="Times New Roman" w:eastAsia="华文中宋"/>
          <w:color w:val="000000"/>
          <w:sz w:val="21"/>
          <w:szCs w:val="21"/>
          <w:vertAlign w:val="superscript"/>
        </w:rPr>
        <w:t>[28]</w:t>
      </w:r>
      <w:r>
        <w:rPr>
          <w:rFonts w:ascii="Times New Roman" w:hAnsi="Times New Roman" w:eastAsia="华文中宋"/>
          <w:color w:val="000000"/>
          <w:sz w:val="21"/>
          <w:szCs w:val="21"/>
        </w:rPr>
        <w:t>。该工作的结果支持所编码规则的行为，作者明确说明其并非端到端语言模型或检索系统评价。因此，其对科研记忆管理的意义在于提供约束设计，而非已经证明能够降低真实科研流程中的幻觉率。</w:t>
      </w:r>
    </w:p>
    <w:p w14:paraId="1A4777FA">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3.3 已有错误的修订与状态恢复</w:t>
      </w:r>
    </w:p>
    <w:p w14:paraId="07AE0DAB">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3.3.1 在明确证据下局部修订</w:t>
      </w:r>
    </w:p>
    <w:p w14:paraId="58FBBA1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局部修订适合已经定位到具体句子、字段或推理关系的错误。RARR为既有回答生成核查查询，通过检索找到依据，再修改缺乏支持的部分，同时尽量保留原有内容</w:t>
      </w:r>
      <w:r>
        <w:rPr>
          <w:rFonts w:ascii="Times New Roman" w:hAnsi="Times New Roman" w:eastAsia="华文中宋"/>
          <w:color w:val="000000"/>
          <w:sz w:val="21"/>
          <w:szCs w:val="21"/>
          <w:vertAlign w:val="superscript"/>
        </w:rPr>
        <w:t>[51]</w:t>
      </w:r>
      <w:r>
        <w:rPr>
          <w:rFonts w:ascii="Times New Roman" w:hAnsi="Times New Roman" w:eastAsia="华文中宋"/>
          <w:color w:val="000000"/>
          <w:sz w:val="21"/>
          <w:szCs w:val="21"/>
        </w:rPr>
        <w:t>。与整篇重新生成相比，其修订对象较明确，便于比较修改前后哪些事实发生了变化。但新增证据也可能与其他段落产生冲突，因此，局部修改后仍需检查相关结论和引用。</w:t>
      </w:r>
    </w:p>
    <w:p w14:paraId="19B4F7D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PEARL面向科学推理图抽取，将结构恢复、确定性格式修复和依据评判反馈开展的语义修复分开，并保留操作记录及重新核验结果</w:t>
      </w:r>
      <w:r>
        <w:rPr>
          <w:rFonts w:ascii="Times New Roman" w:hAnsi="Times New Roman" w:eastAsia="华文中宋"/>
          <w:color w:val="000000"/>
          <w:sz w:val="21"/>
          <w:szCs w:val="21"/>
          <w:vertAlign w:val="superscript"/>
        </w:rPr>
        <w:t>[52]</w:t>
      </w:r>
      <w:r>
        <w:rPr>
          <w:rFonts w:ascii="Times New Roman" w:hAnsi="Times New Roman" w:eastAsia="华文中宋"/>
          <w:color w:val="000000"/>
          <w:sz w:val="21"/>
          <w:szCs w:val="21"/>
        </w:rPr>
        <w:t>。这种分层避免把“结构可解析”当作“语义正确”。例如，删除重复节点可以是确定性的结构整理，而改变一条推理关系的类型会改变图的含义，需要原文或相应判据支撑。对科研报告而言，格式修复、来源更正和科学结论修改也具有类似区别。</w:t>
      </w:r>
    </w:p>
    <w:p w14:paraId="7222091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修订质量可以从4个方面分析：原有错误是否消除，正确内容是否保留，是否引入新错误，以及相关下游表述是否同步更新。仅统计最终答案变得更流畅，无法判断这些目标。RARR对内容保持的考虑</w:t>
      </w:r>
      <w:r>
        <w:rPr>
          <w:rFonts w:ascii="Times New Roman" w:hAnsi="Times New Roman" w:eastAsia="华文中宋"/>
          <w:color w:val="000000"/>
          <w:sz w:val="21"/>
          <w:szCs w:val="21"/>
          <w:vertAlign w:val="superscript"/>
        </w:rPr>
        <w:t>[51]</w:t>
      </w:r>
      <w:r>
        <w:rPr>
          <w:rFonts w:ascii="Times New Roman" w:hAnsi="Times New Roman" w:eastAsia="华文中宋"/>
          <w:color w:val="000000"/>
          <w:sz w:val="21"/>
          <w:szCs w:val="21"/>
        </w:rPr>
        <w:t>和PEARL对局部修改后重新验收的安排</w:t>
      </w:r>
      <w:r>
        <w:rPr>
          <w:rFonts w:ascii="Times New Roman" w:hAnsi="Times New Roman" w:eastAsia="华文中宋"/>
          <w:color w:val="000000"/>
          <w:sz w:val="21"/>
          <w:szCs w:val="21"/>
          <w:vertAlign w:val="superscript"/>
        </w:rPr>
        <w:t>[52]</w:t>
      </w:r>
      <w:r>
        <w:rPr>
          <w:rFonts w:ascii="Times New Roman" w:hAnsi="Times New Roman" w:eastAsia="华文中宋"/>
          <w:color w:val="000000"/>
          <w:sz w:val="21"/>
          <w:szCs w:val="21"/>
        </w:rPr>
        <w:t>，为这样的比较提供了机制依据。</w:t>
      </w:r>
    </w:p>
    <w:p w14:paraId="1E74C10F">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3.3.2 按依赖关系确定修复范围</w:t>
      </w:r>
    </w:p>
    <w:p w14:paraId="11E16A4B">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当错误已经影响后续步骤时，仅改写最终答案不能恢复研究状态。CausalFlow对候选步骤实施替换，考察后续结果是否改变，并生成局部修订；其不同任务使用确定性重新执行或结果预测进行验证</w:t>
      </w:r>
      <w:r>
        <w:rPr>
          <w:rFonts w:ascii="Times New Roman" w:hAnsi="Times New Roman" w:eastAsia="华文中宋"/>
          <w:color w:val="000000"/>
          <w:sz w:val="21"/>
          <w:szCs w:val="21"/>
          <w:vertAlign w:val="superscript"/>
        </w:rPr>
        <w:t>[53]</w:t>
      </w:r>
      <w:r>
        <w:rPr>
          <w:rFonts w:ascii="Times New Roman" w:hAnsi="Times New Roman" w:eastAsia="华文中宋"/>
          <w:color w:val="000000"/>
          <w:sz w:val="21"/>
          <w:szCs w:val="21"/>
        </w:rPr>
        <w:t>。这使“看起来可疑的步骤”与“修改后能改变结果的步骤”得到区分。但基于预测器的验证与真实重跑具有不同证据强度，且数学、代码和浏览任务中的结果不能直接外推到昂贵的科学实验。</w:t>
      </w:r>
    </w:p>
    <w:p w14:paraId="435D5D6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依赖引导回滚研究从已经诊断的错误记忆出发，沿显式依赖追踪候选受影响状态，再检查是否存在独立可信支持，保留无须撤销的分支并选择性重放</w:t>
      </w:r>
      <w:r>
        <w:rPr>
          <w:rFonts w:ascii="Times New Roman" w:hAnsi="Times New Roman" w:eastAsia="华文中宋"/>
          <w:color w:val="000000"/>
          <w:sz w:val="21"/>
          <w:szCs w:val="21"/>
          <w:vertAlign w:val="superscript"/>
        </w:rPr>
        <w:t>[54]</w:t>
      </w:r>
      <w:r>
        <w:rPr>
          <w:rFonts w:ascii="Times New Roman" w:hAnsi="Times New Roman" w:eastAsia="华文中宋"/>
          <w:color w:val="000000"/>
          <w:sz w:val="21"/>
          <w:szCs w:val="21"/>
        </w:rPr>
        <w:t>。其前提是错误记忆已被识别，主要解决“发现之后如何恢复”，并不同时解决所有错误检测问题。该研究还强调，某节点在时间上位于错误之后，并不意味着它依赖该错误；反过来，较晚生成的缓存也可能持续承载较早错误的影响。</w:t>
      </w:r>
    </w:p>
    <w:p w14:paraId="65B35502">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图6用科研情境中的说明性示例展示选择性恢复。错误记忆将指标上升解释为性能改善，由其形成的比较判断与报告结论需要撤销并重放；数值条目0.093另有独立运行记录支持，可以保留。未依赖错误的文件归档同样无须重做。恢复范围因而需要结合实际依赖与独立支持确定，不能仅按步骤先后或图上的可达性划定</w:t>
      </w:r>
      <w:r>
        <w:rPr>
          <w:rFonts w:ascii="Times New Roman" w:hAnsi="Times New Roman" w:eastAsia="华文中宋"/>
          <w:color w:val="000000"/>
          <w:sz w:val="21"/>
          <w:szCs w:val="21"/>
          <w:vertAlign w:val="superscript"/>
        </w:rPr>
        <w:t>[54]</w:t>
      </w:r>
      <w:r>
        <w:rPr>
          <w:rFonts w:ascii="Times New Roman" w:hAnsi="Times New Roman" w:eastAsia="华文中宋"/>
          <w:color w:val="000000"/>
          <w:sz w:val="21"/>
          <w:szCs w:val="21"/>
        </w:rPr>
        <w:t>。</w:t>
      </w:r>
    </w:p>
    <w:p w14:paraId="63C40EE3">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62C59B62">
      <w:pPr>
        <w:keepNext/>
        <w:keepLines/>
        <w:widowControl/>
        <w:spacing w:before="80" w:after="0" w:line="20" w:lineRule="atLeast"/>
        <w:ind w:left="0" w:right="0" w:firstLine="0" w:firstLineChars="0"/>
        <w:jc w:val="center"/>
      </w:pPr>
      <w:r>
        <w:drawing>
          <wp:inline distT="0" distB="0" distL="114300" distR="114300">
            <wp:extent cx="6191885" cy="3199130"/>
            <wp:effectExtent l="0" t="0" r="5715" b="1905"/>
            <wp:docPr id="6" name="图6-按真实依赖撤销与保留研究状态" descr="恢复机制依据依赖引导回滚研究[54]，数值及指标方向借用The AI Scientist记录[5]。科研情境与依赖关系为说明性迁移，不是科研系统的实测轨迹。状态的保留还需独立可信支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6-按真实依赖撤销与保留研究状态" descr="恢复机制依据依赖引导回滚研究[54]，数值及指标方向借用The AI Scientist记录[5]。科研情境与依赖关系为说明性迁移，不是科研系统的实测轨迹。状态的保留还需独立可信支持。"/>
                    <pic:cNvPicPr>
                      <a:picLocks noChangeAspect="1"/>
                    </pic:cNvPicPr>
                  </pic:nvPicPr>
                  <pic:blipFill>
                    <a:blip r:embed="rId12"/>
                    <a:stretch>
                      <a:fillRect/>
                    </a:stretch>
                  </pic:blipFill>
                  <pic:spPr>
                    <a:xfrm>
                      <a:off x="0" y="0"/>
                      <a:ext cx="6192000" cy="3199200"/>
                    </a:xfrm>
                    <a:prstGeom prst="rect">
                      <a:avLst/>
                    </a:prstGeom>
                  </pic:spPr>
                </pic:pic>
              </a:graphicData>
            </a:graphic>
          </wp:inline>
        </w:drawing>
      </w:r>
    </w:p>
    <w:p w14:paraId="680C2E87">
      <w:pPr>
        <w:pStyle w:val="34"/>
        <w:keepNext/>
        <w:keepLines/>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图6 按真实依赖撤销与保留研究状态</w:t>
      </w:r>
    </w:p>
    <w:p w14:paraId="27801E3A">
      <w:pPr>
        <w:pStyle w:val="34"/>
        <w:keepNext/>
        <w:keepLines/>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Fig.6 Invalidating and preserving research states by actual dependencies</w:t>
      </w:r>
    </w:p>
    <w:p w14:paraId="04DB336B">
      <w:pPr>
        <w:pStyle w:val="16"/>
        <w:keepNext w:val="0"/>
        <w:keepLines/>
        <w:widowControl/>
        <w:spacing w:before="0" w:after="80" w:line="220" w:lineRule="atLeast"/>
        <w:ind w:left="0" w:right="0" w:firstLine="0" w:firstLineChars="0"/>
        <w:jc w:val="both"/>
      </w:pPr>
      <w:r>
        <w:rPr>
          <w:rFonts w:ascii="Times New Roman" w:hAnsi="Times New Roman" w:eastAsia="华文中宋"/>
          <w:color w:val="000000"/>
          <w:sz w:val="16"/>
          <w:szCs w:val="16"/>
        </w:rPr>
        <w:t>注：恢复机制依据依赖引导回滚研究</w:t>
      </w:r>
      <w:r>
        <w:rPr>
          <w:rFonts w:ascii="Times New Roman" w:hAnsi="Times New Roman" w:eastAsia="华文中宋"/>
          <w:color w:val="000000"/>
          <w:sz w:val="16"/>
          <w:szCs w:val="16"/>
          <w:vertAlign w:val="superscript"/>
        </w:rPr>
        <w:t>[54]</w:t>
      </w:r>
      <w:r>
        <w:rPr>
          <w:rFonts w:ascii="Times New Roman" w:hAnsi="Times New Roman" w:eastAsia="华文中宋"/>
          <w:color w:val="000000"/>
          <w:sz w:val="16"/>
          <w:szCs w:val="16"/>
        </w:rPr>
        <w:t>，数值及指标方向借用The AI Scientist记录</w:t>
      </w:r>
      <w:r>
        <w:rPr>
          <w:rFonts w:ascii="Times New Roman" w:hAnsi="Times New Roman" w:eastAsia="华文中宋"/>
          <w:color w:val="000000"/>
          <w:sz w:val="16"/>
          <w:szCs w:val="16"/>
          <w:vertAlign w:val="superscript"/>
        </w:rPr>
        <w:t>[5]</w:t>
      </w:r>
      <w:r>
        <w:rPr>
          <w:rFonts w:ascii="Times New Roman" w:hAnsi="Times New Roman" w:eastAsia="华文中宋"/>
          <w:color w:val="000000"/>
          <w:sz w:val="16"/>
          <w:szCs w:val="16"/>
        </w:rPr>
        <w:t>。科研情境与依赖关系为说明性迁移，不是科研系统的实测轨迹。状态的保留还需独立可信支持。</w:t>
      </w:r>
    </w:p>
    <w:p w14:paraId="2872BB6C">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397E3049">
      <w:pPr>
        <w:pStyle w:val="3"/>
        <w:keepNext/>
        <w:widowControl/>
        <w:spacing w:before="50" w:after="0" w:line="300" w:lineRule="atLeast"/>
        <w:ind w:left="0" w:right="0" w:firstLine="0" w:firstLineChars="0"/>
        <w:outlineLvl w:val="2"/>
        <w:rPr>
          <w:b w:val="0"/>
        </w:rPr>
      </w:pPr>
      <w:r>
        <w:rPr>
          <w:rFonts w:ascii="Times New Roman" w:hAnsi="Times New Roman" w:eastAsia="华文中宋"/>
          <w:b w:val="0"/>
          <w:color w:val="000000"/>
          <w:sz w:val="21"/>
          <w:szCs w:val="21"/>
        </w:rPr>
        <w:t>3.3.3 失败归因与独立验收</w:t>
      </w:r>
    </w:p>
    <w:p w14:paraId="4D8C73E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实验失败可能来自假设、设计或实现，修复位置取决于失败解释。SAGE保留多个有证据依据的候选解释，再将干预分配到相应层次</w:t>
      </w:r>
      <w:r>
        <w:rPr>
          <w:rFonts w:ascii="Times New Roman" w:hAnsi="Times New Roman" w:eastAsia="华文中宋"/>
          <w:color w:val="000000"/>
          <w:sz w:val="21"/>
          <w:szCs w:val="21"/>
          <w:vertAlign w:val="superscript"/>
        </w:rPr>
        <w:t>[49]</w:t>
      </w:r>
      <w:r>
        <w:rPr>
          <w:rFonts w:ascii="Times New Roman" w:hAnsi="Times New Roman" w:eastAsia="华文中宋"/>
          <w:color w:val="000000"/>
          <w:sz w:val="21"/>
          <w:szCs w:val="21"/>
        </w:rPr>
        <w:t>。例如，程序未完成时首先需要处理执行问题；若实验已经完成但结果不支持假设，则反复修改程序并不必然合理。多解释归因的价值在于减少过早锁定某一种失败原因，但其解释仍需要由日志、比较或新实验检验。</w:t>
      </w:r>
    </w:p>
    <w:p w14:paraId="372E35A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对于会修改自身策略和测试的系统，验收还需具有一定独立性。SEAL保留自编测试作为调试手段，同时以智能体不能修改或查看的审计决定是否接受候选更新，并在验收失败时回退</w:t>
      </w:r>
      <w:r>
        <w:rPr>
          <w:rFonts w:ascii="Times New Roman" w:hAnsi="Times New Roman" w:eastAsia="华文中宋"/>
          <w:color w:val="000000"/>
          <w:sz w:val="21"/>
          <w:szCs w:val="21"/>
          <w:vertAlign w:val="superscript"/>
        </w:rPr>
        <w:t>[30]</w:t>
      </w:r>
      <w:r>
        <w:rPr>
          <w:rFonts w:ascii="Times New Roman" w:hAnsi="Times New Roman" w:eastAsia="华文中宋"/>
          <w:color w:val="000000"/>
          <w:sz w:val="21"/>
          <w:szCs w:val="21"/>
        </w:rPr>
        <w:t>。这一机制针对启发式自改进任务中的验证依赖，迁移到科研系统时可作为更新控制的参考。隐藏审计的通过仍取决于审计任务覆盖范围，不能替代领域有效性检验。</w:t>
      </w:r>
    </w:p>
    <w:p w14:paraId="4E236D57">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3.4 治理路线的互补性与代价</w:t>
      </w:r>
    </w:p>
    <w:p w14:paraId="4489FF1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表3从干预对象、所需反馈和残余风险比较治理路线。训练可以提高模型对一类错误的处理能力，但知识更新和任务变化仍可能改变适用条件；生成约束能够使用当前证据，但受检索质量与记录完整性限制；局部修订和状态恢复能够处理已发生的错误，但依赖检测结果和可操作的依赖记录。</w:t>
      </w:r>
    </w:p>
    <w:p w14:paraId="2BCFC860">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662088EC">
      <w:pPr>
        <w:pStyle w:val="23"/>
        <w:keepNext/>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表3 科研幻觉治理方法的作用机制与实施条件</w:t>
      </w:r>
    </w:p>
    <w:p w14:paraId="64455DD5">
      <w:pPr>
        <w:pStyle w:val="23"/>
        <w:keepNext/>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Table 3 Mechanisms and implementation conditions of hallucination mitigation methods</w:t>
      </w:r>
    </w:p>
    <w:tbl>
      <w:tblPr>
        <w:tblStyle w:val="7"/>
        <w:tblW w:w="9751"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55" w:type="dxa"/>
          <w:left w:w="70" w:type="dxa"/>
          <w:bottom w:w="55" w:type="dxa"/>
          <w:right w:w="70" w:type="dxa"/>
        </w:tblCellMar>
      </w:tblPr>
      <w:tblGrid>
        <w:gridCol w:w="1474"/>
        <w:gridCol w:w="3061"/>
        <w:gridCol w:w="2608"/>
        <w:gridCol w:w="2608"/>
      </w:tblGrid>
      <w:tr w14:paraId="524120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tblHeader/>
          <w:jc w:val="center"/>
        </w:trPr>
        <w:tc>
          <w:tcPr>
            <w:tcW w:w="1474" w:type="dxa"/>
            <w:tcBorders>
              <w:bottom w:val="single" w:color="000000" w:sz="4" w:space="0"/>
            </w:tcBorders>
            <w:vAlign w:val="center"/>
          </w:tcPr>
          <w:p w14:paraId="2DE5FEC9">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治理路线</w:t>
            </w:r>
          </w:p>
        </w:tc>
        <w:tc>
          <w:tcPr>
            <w:tcW w:w="3061" w:type="dxa"/>
            <w:tcBorders>
              <w:bottom w:val="single" w:color="000000" w:sz="4" w:space="0"/>
            </w:tcBorders>
            <w:vAlign w:val="center"/>
          </w:tcPr>
          <w:p w14:paraId="5DB377F2">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代表研究</w:t>
            </w:r>
          </w:p>
        </w:tc>
        <w:tc>
          <w:tcPr>
            <w:tcW w:w="2608" w:type="dxa"/>
            <w:tcBorders>
              <w:bottom w:val="single" w:color="000000" w:sz="4" w:space="0"/>
            </w:tcBorders>
            <w:vAlign w:val="center"/>
          </w:tcPr>
          <w:p w14:paraId="156DFB14">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核心干预</w:t>
            </w:r>
          </w:p>
        </w:tc>
        <w:tc>
          <w:tcPr>
            <w:tcW w:w="2608" w:type="dxa"/>
            <w:tcBorders>
              <w:bottom w:val="single" w:color="000000" w:sz="4" w:space="0"/>
            </w:tcBorders>
            <w:vAlign w:val="center"/>
          </w:tcPr>
          <w:p w14:paraId="0166ED8A">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必要条件与残余风险</w:t>
            </w:r>
          </w:p>
        </w:tc>
      </w:tr>
      <w:tr w14:paraId="380D97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26BDE271">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可靠性训练</w:t>
            </w:r>
          </w:p>
        </w:tc>
        <w:tc>
          <w:tcPr>
            <w:tcW w:w="3061" w:type="dxa"/>
            <w:vAlign w:val="center"/>
          </w:tcPr>
          <w:p w14:paraId="27A0124E">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测量监督训练</w:t>
            </w:r>
            <w:r>
              <w:rPr>
                <w:rFonts w:ascii="Times New Roman" w:hAnsi="Times New Roman" w:eastAsia="华文中宋"/>
                <w:b w:val="0"/>
                <w:color w:val="000000"/>
                <w:sz w:val="18"/>
                <w:szCs w:val="18"/>
                <w:vertAlign w:val="superscript"/>
              </w:rPr>
              <w:t>[25]</w:t>
            </w:r>
            <w:r>
              <w:rPr>
                <w:rFonts w:ascii="Times New Roman" w:hAnsi="Times New Roman" w:eastAsia="华文中宋"/>
                <w:b w:val="0"/>
                <w:color w:val="000000"/>
                <w:sz w:val="18"/>
                <w:szCs w:val="18"/>
              </w:rPr>
              <w:t>、Self-RAG（反思式检索生成）</w:t>
            </w:r>
            <w:r>
              <w:rPr>
                <w:rFonts w:ascii="Times New Roman" w:hAnsi="Times New Roman" w:eastAsia="华文中宋"/>
                <w:b w:val="0"/>
                <w:color w:val="000000"/>
                <w:sz w:val="18"/>
                <w:szCs w:val="18"/>
                <w:vertAlign w:val="superscript"/>
              </w:rPr>
              <w:t>[40]</w:t>
            </w:r>
            <w:r>
              <w:rPr>
                <w:rFonts w:ascii="Times New Roman" w:hAnsi="Times New Roman" w:eastAsia="华文中宋"/>
                <w:b w:val="0"/>
                <w:color w:val="000000"/>
                <w:sz w:val="18"/>
                <w:szCs w:val="18"/>
              </w:rPr>
              <w:t>、SCoRe（多轮纠错训练）</w:t>
            </w:r>
            <w:r>
              <w:rPr>
                <w:rFonts w:ascii="Times New Roman" w:hAnsi="Times New Roman" w:eastAsia="华文中宋"/>
                <w:b w:val="0"/>
                <w:color w:val="000000"/>
                <w:sz w:val="18"/>
                <w:szCs w:val="18"/>
                <w:vertAlign w:val="superscript"/>
              </w:rPr>
              <w:t>[41]</w:t>
            </w:r>
          </w:p>
        </w:tc>
        <w:tc>
          <w:tcPr>
            <w:tcW w:w="2608" w:type="dxa"/>
            <w:vAlign w:val="center"/>
          </w:tcPr>
          <w:p w14:paraId="43D588AD">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学习抽取、证据判断与修订行为</w:t>
            </w:r>
          </w:p>
        </w:tc>
        <w:tc>
          <w:tcPr>
            <w:tcW w:w="2608" w:type="dxa"/>
            <w:vAlign w:val="center"/>
          </w:tcPr>
          <w:p w14:paraId="78F96817">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监督和奖励可信；训练分布之外仍需验证</w:t>
            </w:r>
          </w:p>
        </w:tc>
      </w:tr>
      <w:tr w14:paraId="7EC123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016F1566">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检索与结构约束</w:t>
            </w:r>
          </w:p>
        </w:tc>
        <w:tc>
          <w:tcPr>
            <w:tcW w:w="3061" w:type="dxa"/>
            <w:vAlign w:val="center"/>
          </w:tcPr>
          <w:p w14:paraId="42543A5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PaperQA（文献问答）</w:t>
            </w:r>
            <w:r>
              <w:rPr>
                <w:rFonts w:ascii="Times New Roman" w:hAnsi="Times New Roman" w:eastAsia="华文中宋"/>
                <w:b w:val="0"/>
                <w:color w:val="000000"/>
                <w:sz w:val="18"/>
                <w:szCs w:val="18"/>
                <w:vertAlign w:val="superscript"/>
              </w:rPr>
              <w:t>[43]</w:t>
            </w:r>
            <w:r>
              <w:rPr>
                <w:rFonts w:ascii="Times New Roman" w:hAnsi="Times New Roman" w:eastAsia="华文中宋"/>
                <w:b w:val="0"/>
                <w:color w:val="000000"/>
                <w:sz w:val="18"/>
                <w:szCs w:val="18"/>
              </w:rPr>
              <w:t>、OpenScholar（科学文献综合）</w:t>
            </w:r>
            <w:r>
              <w:rPr>
                <w:rFonts w:ascii="Times New Roman" w:hAnsi="Times New Roman" w:eastAsia="华文中宋"/>
                <w:b w:val="0"/>
                <w:color w:val="000000"/>
                <w:sz w:val="18"/>
                <w:szCs w:val="18"/>
                <w:vertAlign w:val="superscript"/>
              </w:rPr>
              <w:t>[44]</w:t>
            </w:r>
            <w:r>
              <w:rPr>
                <w:rFonts w:ascii="Times New Roman" w:hAnsi="Times New Roman" w:eastAsia="华文中宋"/>
                <w:b w:val="0"/>
                <w:color w:val="000000"/>
                <w:sz w:val="18"/>
                <w:szCs w:val="18"/>
              </w:rPr>
              <w:t>、AskChem（主张级检索）</w:t>
            </w:r>
            <w:r>
              <w:rPr>
                <w:rFonts w:ascii="Times New Roman" w:hAnsi="Times New Roman" w:eastAsia="华文中宋"/>
                <w:b w:val="0"/>
                <w:color w:val="000000"/>
                <w:sz w:val="18"/>
                <w:szCs w:val="18"/>
                <w:vertAlign w:val="superscript"/>
              </w:rPr>
              <w:t>[46]</w:t>
            </w:r>
          </w:p>
        </w:tc>
        <w:tc>
          <w:tcPr>
            <w:tcW w:w="2608" w:type="dxa"/>
            <w:vAlign w:val="center"/>
          </w:tcPr>
          <w:p w14:paraId="3B7DAB71">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获取来源、定位证据、保留主张关系</w:t>
            </w:r>
          </w:p>
        </w:tc>
        <w:tc>
          <w:tcPr>
            <w:tcW w:w="2608" w:type="dxa"/>
            <w:vAlign w:val="center"/>
          </w:tcPr>
          <w:p w14:paraId="545FDF84">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检索覆盖和证据压缩质量影响生成</w:t>
            </w:r>
          </w:p>
        </w:tc>
      </w:tr>
      <w:tr w14:paraId="623674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7F449BE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假设约束</w:t>
            </w:r>
          </w:p>
        </w:tc>
        <w:tc>
          <w:tcPr>
            <w:tcW w:w="3061" w:type="dxa"/>
            <w:vAlign w:val="center"/>
          </w:tcPr>
          <w:p w14:paraId="1C1ABF25">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图谱构思方法</w:t>
            </w:r>
            <w:r>
              <w:rPr>
                <w:rFonts w:ascii="Times New Roman" w:hAnsi="Times New Roman" w:eastAsia="华文中宋"/>
                <w:b w:val="0"/>
                <w:color w:val="000000"/>
                <w:sz w:val="18"/>
                <w:szCs w:val="18"/>
                <w:vertAlign w:val="superscript"/>
              </w:rPr>
              <w:t>[15]</w:t>
            </w:r>
            <w:r>
              <w:rPr>
                <w:rFonts w:ascii="Times New Roman" w:hAnsi="Times New Roman" w:eastAsia="华文中宋"/>
                <w:b w:val="0"/>
                <w:color w:val="000000"/>
                <w:sz w:val="18"/>
                <w:szCs w:val="18"/>
              </w:rPr>
              <w:t>、知识路径分析</w:t>
            </w:r>
            <w:r>
              <w:rPr>
                <w:rFonts w:ascii="Times New Roman" w:hAnsi="Times New Roman" w:eastAsia="华文中宋"/>
                <w:b w:val="0"/>
                <w:color w:val="000000"/>
                <w:sz w:val="18"/>
                <w:szCs w:val="18"/>
                <w:vertAlign w:val="superscript"/>
              </w:rPr>
              <w:t>[36]</w:t>
            </w:r>
            <w:r>
              <w:rPr>
                <w:rFonts w:ascii="Times New Roman" w:hAnsi="Times New Roman" w:eastAsia="华文中宋"/>
                <w:b w:val="0"/>
                <w:color w:val="000000"/>
                <w:sz w:val="18"/>
                <w:szCs w:val="18"/>
              </w:rPr>
              <w:t>、材料目标约束</w:t>
            </w:r>
            <w:r>
              <w:rPr>
                <w:rFonts w:ascii="Times New Roman" w:hAnsi="Times New Roman" w:eastAsia="华文中宋"/>
                <w:b w:val="0"/>
                <w:color w:val="000000"/>
                <w:sz w:val="18"/>
                <w:szCs w:val="18"/>
                <w:vertAlign w:val="superscript"/>
              </w:rPr>
              <w:t>[48]</w:t>
            </w:r>
          </w:p>
        </w:tc>
        <w:tc>
          <w:tcPr>
            <w:tcW w:w="2608" w:type="dxa"/>
            <w:vAlign w:val="center"/>
          </w:tcPr>
          <w:p w14:paraId="7CB7C143">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限定依据、推断路径及候选条件</w:t>
            </w:r>
          </w:p>
        </w:tc>
        <w:tc>
          <w:tcPr>
            <w:tcW w:w="2608" w:type="dxa"/>
            <w:vAlign w:val="center"/>
          </w:tcPr>
          <w:p w14:paraId="29DE91D1">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有依据的候选仍需独立验证</w:t>
            </w:r>
          </w:p>
        </w:tc>
      </w:tr>
      <w:tr w14:paraId="7D3726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1E5473F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产物与报告约束</w:t>
            </w:r>
          </w:p>
        </w:tc>
        <w:tc>
          <w:tcPr>
            <w:tcW w:w="3061" w:type="dxa"/>
            <w:vAlign w:val="center"/>
          </w:tcPr>
          <w:p w14:paraId="2C08D609">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Xcientist（研究支持关系）</w:t>
            </w:r>
            <w:r>
              <w:rPr>
                <w:rFonts w:ascii="Times New Roman" w:hAnsi="Times New Roman" w:eastAsia="华文中宋"/>
                <w:b w:val="0"/>
                <w:color w:val="000000"/>
                <w:sz w:val="18"/>
                <w:szCs w:val="18"/>
                <w:vertAlign w:val="superscript"/>
              </w:rPr>
              <w:t>[11]</w:t>
            </w:r>
            <w:r>
              <w:rPr>
                <w:rFonts w:ascii="Times New Roman" w:hAnsi="Times New Roman" w:eastAsia="华文中宋"/>
                <w:b w:val="0"/>
                <w:color w:val="000000"/>
                <w:sz w:val="18"/>
                <w:szCs w:val="18"/>
              </w:rPr>
              <w:t>、SAGE（实测结果约束）</w:t>
            </w:r>
            <w:r>
              <w:rPr>
                <w:rFonts w:ascii="Times New Roman" w:hAnsi="Times New Roman" w:eastAsia="华文中宋"/>
                <w:b w:val="0"/>
                <w:color w:val="000000"/>
                <w:sz w:val="18"/>
                <w:szCs w:val="18"/>
                <w:vertAlign w:val="superscript"/>
              </w:rPr>
              <w:t>[49]</w:t>
            </w:r>
            <w:r>
              <w:rPr>
                <w:rFonts w:ascii="Times New Roman" w:hAnsi="Times New Roman" w:eastAsia="华文中宋"/>
                <w:b w:val="0"/>
                <w:color w:val="000000"/>
                <w:sz w:val="18"/>
                <w:szCs w:val="18"/>
              </w:rPr>
              <w:t>、LedgerMind（证据账本）</w:t>
            </w:r>
            <w:r>
              <w:rPr>
                <w:rFonts w:ascii="Times New Roman" w:hAnsi="Times New Roman" w:eastAsia="华文中宋"/>
                <w:b w:val="0"/>
                <w:color w:val="000000"/>
                <w:sz w:val="18"/>
                <w:szCs w:val="18"/>
                <w:vertAlign w:val="superscript"/>
              </w:rPr>
              <w:t>[50]</w:t>
            </w:r>
          </w:p>
        </w:tc>
        <w:tc>
          <w:tcPr>
            <w:tcW w:w="2608" w:type="dxa"/>
            <w:vAlign w:val="center"/>
          </w:tcPr>
          <w:p w14:paraId="76C897B6">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绑定设计、运行产物与最终陈述</w:t>
            </w:r>
          </w:p>
        </w:tc>
        <w:tc>
          <w:tcPr>
            <w:tcW w:w="2608" w:type="dxa"/>
            <w:vAlign w:val="center"/>
          </w:tcPr>
          <w:p w14:paraId="0C640DB9">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来源存在不能替代来源正确及设计有效</w:t>
            </w:r>
          </w:p>
        </w:tc>
      </w:tr>
      <w:tr w14:paraId="22D754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132CF6E9">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局部修订</w:t>
            </w:r>
          </w:p>
        </w:tc>
        <w:tc>
          <w:tcPr>
            <w:tcW w:w="3061" w:type="dxa"/>
            <w:vAlign w:val="center"/>
          </w:tcPr>
          <w:p w14:paraId="60796938">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RARR（检索后修订）</w:t>
            </w:r>
            <w:r>
              <w:rPr>
                <w:rFonts w:ascii="Times New Roman" w:hAnsi="Times New Roman" w:eastAsia="华文中宋"/>
                <w:b w:val="0"/>
                <w:color w:val="000000"/>
                <w:sz w:val="18"/>
                <w:szCs w:val="18"/>
                <w:vertAlign w:val="superscript"/>
              </w:rPr>
              <w:t>[51]</w:t>
            </w:r>
            <w:r>
              <w:rPr>
                <w:rFonts w:ascii="Times New Roman" w:hAnsi="Times New Roman" w:eastAsia="华文中宋"/>
                <w:b w:val="0"/>
                <w:color w:val="000000"/>
                <w:sz w:val="18"/>
                <w:szCs w:val="18"/>
              </w:rPr>
              <w:t>、PEARL（推理图修复）</w:t>
            </w:r>
            <w:r>
              <w:rPr>
                <w:rFonts w:ascii="Times New Roman" w:hAnsi="Times New Roman" w:eastAsia="华文中宋"/>
                <w:b w:val="0"/>
                <w:color w:val="000000"/>
                <w:sz w:val="18"/>
                <w:szCs w:val="18"/>
                <w:vertAlign w:val="superscript"/>
              </w:rPr>
              <w:t>[52]</w:t>
            </w:r>
          </w:p>
        </w:tc>
        <w:tc>
          <w:tcPr>
            <w:tcW w:w="2608" w:type="dxa"/>
            <w:vAlign w:val="center"/>
          </w:tcPr>
          <w:p w14:paraId="7EAF8B4B">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在已定位位置修改并复核</w:t>
            </w:r>
          </w:p>
        </w:tc>
        <w:tc>
          <w:tcPr>
            <w:tcW w:w="2608" w:type="dxa"/>
            <w:vAlign w:val="center"/>
          </w:tcPr>
          <w:p w14:paraId="0B39DB5D">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需要避免正确内容误改和新增错误</w:t>
            </w:r>
          </w:p>
        </w:tc>
      </w:tr>
      <w:tr w14:paraId="049561C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456D6AD2">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过程恢复</w:t>
            </w:r>
          </w:p>
        </w:tc>
        <w:tc>
          <w:tcPr>
            <w:tcW w:w="3061" w:type="dxa"/>
            <w:vAlign w:val="center"/>
          </w:tcPr>
          <w:p w14:paraId="01190E82">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CausalFlow（步骤干预）</w:t>
            </w:r>
            <w:r>
              <w:rPr>
                <w:rFonts w:ascii="Times New Roman" w:hAnsi="Times New Roman" w:eastAsia="华文中宋"/>
                <w:b w:val="0"/>
                <w:color w:val="000000"/>
                <w:sz w:val="18"/>
                <w:szCs w:val="18"/>
                <w:vertAlign w:val="superscript"/>
              </w:rPr>
              <w:t>[53]</w:t>
            </w:r>
            <w:r>
              <w:rPr>
                <w:rFonts w:ascii="Times New Roman" w:hAnsi="Times New Roman" w:eastAsia="华文中宋"/>
                <w:b w:val="0"/>
                <w:color w:val="000000"/>
                <w:sz w:val="18"/>
                <w:szCs w:val="18"/>
              </w:rPr>
              <w:t>、依赖引导回滚</w:t>
            </w:r>
            <w:r>
              <w:rPr>
                <w:rFonts w:ascii="Times New Roman" w:hAnsi="Times New Roman" w:eastAsia="华文中宋"/>
                <w:b w:val="0"/>
                <w:color w:val="000000"/>
                <w:sz w:val="18"/>
                <w:szCs w:val="18"/>
                <w:vertAlign w:val="superscript"/>
              </w:rPr>
              <w:t>[54]</w:t>
            </w:r>
          </w:p>
        </w:tc>
        <w:tc>
          <w:tcPr>
            <w:tcW w:w="2608" w:type="dxa"/>
            <w:vAlign w:val="center"/>
          </w:tcPr>
          <w:p w14:paraId="7FFEA54A">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定位影响、保留独立分支、重做必要步骤</w:t>
            </w:r>
          </w:p>
        </w:tc>
        <w:tc>
          <w:tcPr>
            <w:tcW w:w="2608" w:type="dxa"/>
            <w:vAlign w:val="center"/>
          </w:tcPr>
          <w:p w14:paraId="2BEB27D5">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依赖信息和诊断准确性决定恢复范围</w:t>
            </w:r>
          </w:p>
        </w:tc>
      </w:tr>
      <w:tr w14:paraId="771B2E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6B167F4B">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更新验收</w:t>
            </w:r>
          </w:p>
        </w:tc>
        <w:tc>
          <w:tcPr>
            <w:tcW w:w="3061" w:type="dxa"/>
            <w:vAlign w:val="center"/>
          </w:tcPr>
          <w:p w14:paraId="746E7AE6">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SEAL（独立审计与回退）</w:t>
            </w:r>
            <w:r>
              <w:rPr>
                <w:rFonts w:ascii="Times New Roman" w:hAnsi="Times New Roman" w:eastAsia="华文中宋"/>
                <w:b w:val="0"/>
                <w:color w:val="000000"/>
                <w:sz w:val="18"/>
                <w:szCs w:val="18"/>
                <w:vertAlign w:val="superscript"/>
              </w:rPr>
              <w:t>[30]</w:t>
            </w:r>
          </w:p>
        </w:tc>
        <w:tc>
          <w:tcPr>
            <w:tcW w:w="2608" w:type="dxa"/>
            <w:vAlign w:val="center"/>
          </w:tcPr>
          <w:p w14:paraId="657E4EE3">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以固定外部审计接受或拒绝更新</w:t>
            </w:r>
          </w:p>
        </w:tc>
        <w:tc>
          <w:tcPr>
            <w:tcW w:w="2608" w:type="dxa"/>
            <w:vAlign w:val="center"/>
          </w:tcPr>
          <w:p w14:paraId="60292C4B">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审计代表性限制其可保证的可靠性</w:t>
            </w:r>
          </w:p>
        </w:tc>
      </w:tr>
    </w:tbl>
    <w:p w14:paraId="6864267C">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37AF308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些路线可以形成相互衔接的控制过程。文献总结缺少的是原有条件，实验报告可能缺少实际结果或正确解释，数据分析则可能在计算与产物之间失去支持。因此，检测输出应明确指出遗漏的限定、缺失的运行记录或最早失效的转换，才能选择补充证据、收缩表述、重做实验或恢复下游状态。干预顺序取决于具体证据，并非每项任务都需要运行全部检查。治理效果应同时体现错误减少、有效内容保留、任务效用与资源成本。</w:t>
      </w:r>
    </w:p>
    <w:p w14:paraId="07B636EA">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4 评价基准、指标与证据范围</w:t>
      </w:r>
    </w:p>
    <w:p w14:paraId="19AC68F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科研系统评价涉及多种不同问题：回答中的事实是否受支持、程序是否完成任务、假设是否具有研究价值、实验能否支持结论。数据科学自动化评价综述表明，不同工具使用的任务单元与评分方法具有明显差别</w:t>
      </w:r>
      <w:r>
        <w:rPr>
          <w:rFonts w:ascii="Times New Roman" w:hAnsi="Times New Roman" w:eastAsia="华文中宋"/>
          <w:color w:val="000000"/>
          <w:sz w:val="21"/>
          <w:szCs w:val="21"/>
          <w:vertAlign w:val="superscript"/>
        </w:rPr>
        <w:t>[55]</w:t>
      </w:r>
      <w:r>
        <w:rPr>
          <w:rFonts w:ascii="Times New Roman" w:hAnsi="Times New Roman" w:eastAsia="华文中宋"/>
          <w:color w:val="000000"/>
          <w:sz w:val="21"/>
          <w:szCs w:val="21"/>
        </w:rPr>
        <w:t>。结合前文的方法与案例，本文从评价对象、判定依据和指标含义比较相关资源，不将科研能力得分统一解释为幻觉率。</w:t>
      </w:r>
    </w:p>
    <w:p w14:paraId="3FA6707E">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4.1 事实、引文与评审内容评价</w:t>
      </w:r>
    </w:p>
    <w:p w14:paraId="254D818B">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事实与引文评价首先区分来源归属和内容支持。科学引文归属基准通过改变可用证据，联合考察幻觉与弃答行为</w:t>
      </w:r>
      <w:r>
        <w:rPr>
          <w:rFonts w:ascii="Times New Roman" w:hAnsi="Times New Roman" w:eastAsia="华文中宋"/>
          <w:color w:val="000000"/>
          <w:sz w:val="21"/>
          <w:szCs w:val="21"/>
          <w:vertAlign w:val="superscript"/>
        </w:rPr>
        <w:t>[56]</w:t>
      </w:r>
      <w:r>
        <w:rPr>
          <w:rFonts w:ascii="Times New Roman" w:hAnsi="Times New Roman" w:eastAsia="华文中宋"/>
          <w:color w:val="000000"/>
          <w:sz w:val="21"/>
          <w:szCs w:val="21"/>
        </w:rPr>
        <w:t>；CiteCheck的基准侧重引文元数据的损坏及虚构来源识别</w:t>
      </w:r>
      <w:r>
        <w:rPr>
          <w:rFonts w:ascii="Times New Roman" w:hAnsi="Times New Roman" w:eastAsia="华文中宋"/>
          <w:color w:val="000000"/>
          <w:sz w:val="21"/>
          <w:szCs w:val="21"/>
          <w:vertAlign w:val="superscript"/>
        </w:rPr>
        <w:t>[33]</w:t>
      </w:r>
      <w:r>
        <w:rPr>
          <w:rFonts w:ascii="Times New Roman" w:hAnsi="Times New Roman" w:eastAsia="华文中宋"/>
          <w:color w:val="000000"/>
          <w:sz w:val="21"/>
          <w:szCs w:val="21"/>
        </w:rPr>
        <w:t>；SciFact和DeepSciVerify则评价主张与科学文本的支持关系</w:t>
      </w:r>
      <w:r>
        <w:rPr>
          <w:rFonts w:ascii="Times New Roman" w:hAnsi="Times New Roman" w:eastAsia="华文中宋"/>
          <w:color w:val="000000"/>
          <w:sz w:val="21"/>
          <w:szCs w:val="21"/>
          <w:vertAlign w:val="superscript"/>
        </w:rPr>
        <w:t>[17,34]</w:t>
      </w:r>
      <w:r>
        <w:rPr>
          <w:rFonts w:ascii="Times New Roman" w:hAnsi="Times New Roman" w:eastAsia="华文中宋"/>
          <w:color w:val="000000"/>
          <w:sz w:val="21"/>
          <w:szCs w:val="21"/>
        </w:rPr>
        <w:t>。这些任务能够为科研写作提供基础，但其错误标签并不相同。将正确论文的年份写错，与引用真实论文支持不存在的结论，需要分别统计。</w:t>
      </w:r>
    </w:p>
    <w:p w14:paraId="5C6044A0">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HALLMARK进一步说明检测器自身也需要评价：在真实文献较多、伪造比例较低的条件下，误报会显著影响告警的可用性，较新的文献也可能被错误标记</w:t>
      </w:r>
      <w:r>
        <w:rPr>
          <w:rFonts w:ascii="Times New Roman" w:hAnsi="Times New Roman" w:eastAsia="华文中宋"/>
          <w:color w:val="000000"/>
          <w:sz w:val="21"/>
          <w:szCs w:val="21"/>
          <w:vertAlign w:val="superscript"/>
        </w:rPr>
        <w:t>[57]</w:t>
      </w:r>
      <w:r>
        <w:rPr>
          <w:rFonts w:ascii="Times New Roman" w:hAnsi="Times New Roman" w:eastAsia="华文中宋"/>
          <w:color w:val="000000"/>
          <w:sz w:val="21"/>
          <w:szCs w:val="21"/>
        </w:rPr>
        <w:t>。因此，不能只报告发现了多少伪造条目。对于实际文献库，需要同时考察漏报、误报、告警中真正错误的比例，以及无法检索时的处置。这些指标对应不同工作负担，尤其影响人工复核成本。</w:t>
      </w:r>
    </w:p>
    <w:p w14:paraId="3E05096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RAGTruth对检索增强生成中的自然输出进行细粒度标注，可用于评价具体失实片段的识别</w:t>
      </w:r>
      <w:r>
        <w:rPr>
          <w:rFonts w:ascii="Times New Roman" w:hAnsi="Times New Roman" w:eastAsia="华文中宋"/>
          <w:color w:val="000000"/>
          <w:sz w:val="21"/>
          <w:szCs w:val="21"/>
          <w:vertAlign w:val="superscript"/>
        </w:rPr>
        <w:t>[58]</w:t>
      </w:r>
      <w:r>
        <w:rPr>
          <w:rFonts w:ascii="Times New Roman" w:hAnsi="Times New Roman" w:eastAsia="华文中宋"/>
          <w:color w:val="000000"/>
          <w:sz w:val="21"/>
          <w:szCs w:val="21"/>
        </w:rPr>
        <w:t>。HalluPeer则把论文评审中的内容核验作为专门任务，借助幻觉类型构造与筛选评语，并区分不受论文支持的事实描述和合理学术批评</w:t>
      </w:r>
      <w:r>
        <w:rPr>
          <w:rFonts w:ascii="Times New Roman" w:hAnsi="Times New Roman" w:eastAsia="华文中宋"/>
          <w:color w:val="000000"/>
          <w:sz w:val="21"/>
          <w:szCs w:val="21"/>
          <w:vertAlign w:val="superscript"/>
        </w:rPr>
        <w:t>[59]</w:t>
      </w:r>
      <w:r>
        <w:rPr>
          <w:rFonts w:ascii="Times New Roman" w:hAnsi="Times New Roman" w:eastAsia="华文中宋"/>
          <w:color w:val="000000"/>
          <w:sz w:val="21"/>
          <w:szCs w:val="21"/>
        </w:rPr>
        <w:t>。后者对于科研评价尤其重要：指出创新性有限可以属于评审判断，声称论文没有进行实际已经报告的实验，则是可以回到原文核查的事实问题。合成扰动便于获得可控错误，真实评审补充实际分布，两类测试的成绩宜分别报告。</w:t>
      </w:r>
    </w:p>
    <w:p w14:paraId="7B9E2CE1">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4.2 假设质量与科学验证</w:t>
      </w:r>
    </w:p>
    <w:p w14:paraId="4EB6343A">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假设评价至少涉及知识依据、候选质量与独立验证3个层次。TruthHypo在时间划分下评价关系预测，KnowHD评价理由的知识支撑</w:t>
      </w:r>
      <w:r>
        <w:rPr>
          <w:rFonts w:ascii="Times New Roman" w:hAnsi="Times New Roman" w:eastAsia="华文中宋"/>
          <w:color w:val="000000"/>
          <w:sz w:val="21"/>
          <w:szCs w:val="21"/>
          <w:vertAlign w:val="superscript"/>
        </w:rPr>
        <w:t>[10]</w:t>
      </w:r>
      <w:r>
        <w:rPr>
          <w:rFonts w:ascii="Times New Roman" w:hAnsi="Times New Roman" w:eastAsia="华文中宋"/>
          <w:color w:val="000000"/>
          <w:sz w:val="21"/>
          <w:szCs w:val="21"/>
        </w:rPr>
        <w:t>；BioVerge提供生物医学假设生成及自评环境，使生成与评价过程能够迭代</w:t>
      </w:r>
      <w:r>
        <w:rPr>
          <w:rFonts w:ascii="Times New Roman" w:hAnsi="Times New Roman" w:eastAsia="华文中宋"/>
          <w:color w:val="000000"/>
          <w:sz w:val="21"/>
          <w:szCs w:val="21"/>
          <w:vertAlign w:val="superscript"/>
        </w:rPr>
        <w:t>[60]</w:t>
      </w:r>
      <w:r>
        <w:rPr>
          <w:rFonts w:ascii="Times New Roman" w:hAnsi="Times New Roman" w:eastAsia="华文中宋"/>
          <w:color w:val="000000"/>
          <w:sz w:val="21"/>
          <w:szCs w:val="21"/>
        </w:rPr>
        <w:t>。这些资源有助于比较模型在给定知识和任务中的表现，但由历史关系或模型评分形成的结果，与新实验验证仍有距离。</w:t>
      </w:r>
    </w:p>
    <w:p w14:paraId="403EDF6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面向科学验证的方法需要把自然语言假设转化为可检验后果。POPPER通过智能体设计与执行序贯反证检验，并在相应统计框架下控制第一类错误</w:t>
      </w:r>
      <w:r>
        <w:rPr>
          <w:rFonts w:ascii="Times New Roman" w:hAnsi="Times New Roman" w:eastAsia="华文中宋"/>
          <w:color w:val="000000"/>
          <w:sz w:val="21"/>
          <w:szCs w:val="21"/>
          <w:vertAlign w:val="superscript"/>
        </w:rPr>
        <w:t>[61]</w:t>
      </w:r>
      <w:r>
        <w:rPr>
          <w:rFonts w:ascii="Times New Roman" w:hAnsi="Times New Roman" w:eastAsia="华文中宋"/>
          <w:color w:val="000000"/>
          <w:sz w:val="21"/>
          <w:szCs w:val="21"/>
        </w:rPr>
        <w:t>。其统计保证依赖所设检验与数据条件，不能被简化为语言模型可以自动证明任意科学假设。与知识支撑评分相比，它引入了执行和统计判断；与真实实验相比，仍需明确使用的是现有数据还是新获得的观测。</w:t>
      </w:r>
    </w:p>
    <w:p w14:paraId="50BEAE7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实验室研究提供了更直接、也更局部的证据。Abdel-Rehim等利用大语言模型提出药物组合，并在乳腺癌细胞系及相应对照细胞系中开展验证</w:t>
      </w:r>
      <w:r>
        <w:rPr>
          <w:rFonts w:ascii="Times New Roman" w:hAnsi="Times New Roman" w:eastAsia="华文中宋"/>
          <w:color w:val="000000"/>
          <w:sz w:val="21"/>
          <w:szCs w:val="21"/>
          <w:vertAlign w:val="superscript"/>
        </w:rPr>
        <w:t>[62]</w:t>
      </w:r>
      <w:r>
        <w:rPr>
          <w:rFonts w:ascii="Times New Roman" w:hAnsi="Times New Roman" w:eastAsia="华文中宋"/>
          <w:color w:val="000000"/>
          <w:sz w:val="21"/>
          <w:szCs w:val="21"/>
        </w:rPr>
        <w:t>。这类结果证明特定候选在具体实验条件下获得了支持，而非大语言模型提出的假设普遍有效，更不等同于临床疗效。Wainrib等则利用既有Cell Painting高内涵筛选数据，考察智能体能否根据逐轮获得的反馈调整扰动候选</w:t>
      </w:r>
      <w:r>
        <w:rPr>
          <w:rFonts w:ascii="Times New Roman" w:hAnsi="Times New Roman" w:eastAsia="华文中宋"/>
          <w:color w:val="000000"/>
          <w:sz w:val="21"/>
          <w:szCs w:val="21"/>
          <w:vertAlign w:val="superscript"/>
        </w:rPr>
        <w:t>[63]</w:t>
      </w:r>
      <w:r>
        <w:rPr>
          <w:rFonts w:ascii="Times New Roman" w:hAnsi="Times New Roman" w:eastAsia="华文中宋"/>
          <w:color w:val="000000"/>
          <w:sz w:val="21"/>
          <w:szCs w:val="21"/>
        </w:rPr>
        <w:t>。这种反馈评价使用已有实验数据，不应表述为每轮均开展了新的湿实验。据此，假设质量、验证成功和反馈学习应分别评价，避免把其中一个层次的收益扩展到其他层次。</w:t>
      </w:r>
    </w:p>
    <w:p w14:paraId="65717103">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4.3 科研能力与研究过程评价</w:t>
      </w:r>
    </w:p>
    <w:p w14:paraId="661C7AE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BioPlanner以生物实验协议规划为对象，利用结构化步骤评价生成方案</w:t>
      </w:r>
      <w:r>
        <w:rPr>
          <w:rFonts w:ascii="Times New Roman" w:hAnsi="Times New Roman" w:eastAsia="华文中宋"/>
          <w:color w:val="000000"/>
          <w:sz w:val="21"/>
          <w:szCs w:val="21"/>
          <w:vertAlign w:val="superscript"/>
        </w:rPr>
        <w:t>[64]</w:t>
      </w:r>
      <w:r>
        <w:rPr>
          <w:rFonts w:ascii="Times New Roman" w:hAnsi="Times New Roman" w:eastAsia="华文中宋"/>
          <w:color w:val="000000"/>
          <w:sz w:val="21"/>
          <w:szCs w:val="21"/>
        </w:rPr>
        <w:t>；LAB-Bench覆盖生物研究中的多种知识和操作理解能力</w:t>
      </w:r>
      <w:r>
        <w:rPr>
          <w:rFonts w:ascii="Times New Roman" w:hAnsi="Times New Roman" w:eastAsia="华文中宋"/>
          <w:color w:val="000000"/>
          <w:sz w:val="21"/>
          <w:szCs w:val="21"/>
          <w:vertAlign w:val="superscript"/>
        </w:rPr>
        <w:t>[65]</w:t>
      </w:r>
      <w:r>
        <w:rPr>
          <w:rFonts w:ascii="Times New Roman" w:hAnsi="Times New Roman" w:eastAsia="华文中宋"/>
          <w:color w:val="000000"/>
          <w:sz w:val="21"/>
          <w:szCs w:val="21"/>
        </w:rPr>
        <w:t>；DiscoveryBench考察从给定数据中发现关系与假设的能力</w:t>
      </w:r>
      <w:r>
        <w:rPr>
          <w:rFonts w:ascii="Times New Roman" w:hAnsi="Times New Roman" w:eastAsia="华文中宋"/>
          <w:color w:val="000000"/>
          <w:sz w:val="21"/>
          <w:szCs w:val="21"/>
          <w:vertAlign w:val="superscript"/>
        </w:rPr>
        <w:t>[66]</w:t>
      </w:r>
      <w:r>
        <w:rPr>
          <w:rFonts w:ascii="Times New Roman" w:hAnsi="Times New Roman" w:eastAsia="华文中宋"/>
          <w:color w:val="000000"/>
          <w:sz w:val="21"/>
          <w:szCs w:val="21"/>
        </w:rPr>
        <w:t>；DiscoveryWorld提供交互式虚拟科学环境</w:t>
      </w:r>
      <w:r>
        <w:rPr>
          <w:rFonts w:ascii="Times New Roman" w:hAnsi="Times New Roman" w:eastAsia="华文中宋"/>
          <w:color w:val="000000"/>
          <w:sz w:val="21"/>
          <w:szCs w:val="21"/>
          <w:vertAlign w:val="superscript"/>
        </w:rPr>
        <w:t>[67]</w:t>
      </w:r>
      <w:r>
        <w:rPr>
          <w:rFonts w:ascii="Times New Roman" w:hAnsi="Times New Roman" w:eastAsia="华文中宋"/>
          <w:color w:val="000000"/>
          <w:sz w:val="21"/>
          <w:szCs w:val="21"/>
        </w:rPr>
        <w:t>。这些资源分别反映规划、专业能力、数据发现和交互探索，对理解系统能否开展研究活动十分重要。但任务未成功可能由知识、规划或执行等多种原因造成，不能统一计为幻觉。</w:t>
      </w:r>
    </w:p>
    <w:p w14:paraId="13FFCD5C">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ScienceAgentBench把论文中的研究需求转化为可执行任务，统一要求输出Python程序，并考察程序、执行结果和成本</w:t>
      </w:r>
      <w:r>
        <w:rPr>
          <w:rFonts w:ascii="Times New Roman" w:hAnsi="Times New Roman" w:eastAsia="华文中宋"/>
          <w:color w:val="000000"/>
          <w:sz w:val="21"/>
          <w:szCs w:val="21"/>
          <w:vertAlign w:val="superscript"/>
        </w:rPr>
        <w:t>[68]</w:t>
      </w:r>
      <w:r>
        <w:rPr>
          <w:rFonts w:ascii="Times New Roman" w:hAnsi="Times New Roman" w:eastAsia="华文中宋"/>
          <w:color w:val="000000"/>
          <w:sz w:val="21"/>
          <w:szCs w:val="21"/>
        </w:rPr>
        <w:t>。它能够检查系统是否实现指定分析，但若研究对象还包含自动生成的论断，则需要增加报告与产物的支持核验。SciRigor正是围绕这一缺口，把代码、结果、图表和主张联系起来评价</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。两者的目标可以衔接，却不宜用各自的总体成功率进行直接排名。</w:t>
      </w:r>
    </w:p>
    <w:p w14:paraId="5AB12D0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SciRigor在100个案例、11种智能体或模型配置上比较局部一致性与完整路径成功</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在结果符合目标和不符合目标的轨迹中，主张与系统自身结果一致的比例分别为91.8%与91.0%，而最优的严格完整路径成功率仍为18.0%。前两项是条件一致性，后一项是严格的端到端成功，分母和含义不同，不能作为同一种准确率直接相减。这与图3的诊断情形相呼应：模型可以连贯地解释自己的错误产物。</w:t>
      </w:r>
    </w:p>
    <w:p w14:paraId="2E1A9C26">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对于跨步骤错误，SCHEMA通过科学概念图与任务结构分析幻觉严重程度和传播</w:t>
      </w:r>
      <w:r>
        <w:rPr>
          <w:rFonts w:ascii="Times New Roman" w:hAnsi="Times New Roman" w:eastAsia="华文中宋"/>
          <w:color w:val="000000"/>
          <w:sz w:val="21"/>
          <w:szCs w:val="21"/>
          <w:vertAlign w:val="superscript"/>
        </w:rPr>
        <w:t>[69]</w:t>
      </w:r>
      <w:r>
        <w:rPr>
          <w:rFonts w:ascii="Times New Roman" w:hAnsi="Times New Roman" w:eastAsia="华文中宋"/>
          <w:color w:val="000000"/>
          <w:sz w:val="21"/>
          <w:szCs w:val="21"/>
        </w:rPr>
        <w:t>。其优势在于不把所有事实节点视为同样重要，而考察错误所处位置及后续依赖。与此同时，图结构由证据抽取和任务构建形成，传播评价会受到这些结构的影响。TruthInsightBench则通过证据审计与专家规则评价开放研究产出</w:t>
      </w:r>
      <w:r>
        <w:rPr>
          <w:rFonts w:ascii="Times New Roman" w:hAnsi="Times New Roman" w:eastAsia="华文中宋"/>
          <w:color w:val="000000"/>
          <w:sz w:val="21"/>
          <w:szCs w:val="21"/>
          <w:vertAlign w:val="superscript"/>
        </w:rPr>
        <w:t>[70]</w:t>
      </w:r>
      <w:r>
        <w:rPr>
          <w:rFonts w:ascii="Times New Roman" w:hAnsi="Times New Roman" w:eastAsia="华文中宋"/>
          <w:color w:val="000000"/>
          <w:sz w:val="21"/>
          <w:szCs w:val="21"/>
        </w:rPr>
        <w:t>。自动评判可以提高重复评价效率，但规则覆盖和评判器准确性仍决定其能够检查哪些研究缺陷。</w:t>
      </w:r>
    </w:p>
    <w:p w14:paraId="2C2B5D4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表4汇总不同资源的评价对象与结论范围。分类以资源的主要判定任务为依据，同一资源可能跨越多个维度。表中没有把数值成绩并列为排行榜，因为证据输入、任务难度与成功条件尚未统一。</w:t>
      </w:r>
    </w:p>
    <w:p w14:paraId="3B974298">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2D2544B8">
      <w:pPr>
        <w:pStyle w:val="23"/>
        <w:keepNext/>
        <w:widowControl/>
        <w:suppressAutoHyphens/>
        <w:spacing w:before="40" w:after="0" w:line="240" w:lineRule="atLeast"/>
        <w:ind w:left="0" w:right="0" w:firstLine="0" w:firstLineChars="0"/>
        <w:jc w:val="center"/>
      </w:pPr>
      <w:r>
        <w:rPr>
          <w:rFonts w:ascii="Times New Roman" w:hAnsi="Times New Roman" w:eastAsia="华文中宋"/>
          <w:b/>
          <w:color w:val="000000"/>
          <w:sz w:val="18"/>
          <w:szCs w:val="18"/>
        </w:rPr>
        <w:t>表4 科研幻觉与相关能力评价资源的任务范围</w:t>
      </w:r>
    </w:p>
    <w:p w14:paraId="2B0CE4C9">
      <w:pPr>
        <w:pStyle w:val="23"/>
        <w:keepNext/>
        <w:widowControl/>
        <w:suppressAutoHyphens/>
        <w:spacing w:before="0" w:after="60" w:line="240" w:lineRule="atLeast"/>
        <w:ind w:left="0" w:right="0" w:firstLine="0" w:firstLineChars="0"/>
        <w:jc w:val="center"/>
      </w:pPr>
      <w:r>
        <w:rPr>
          <w:rFonts w:ascii="Times New Roman" w:hAnsi="Times New Roman" w:eastAsia="华文中宋"/>
          <w:b/>
          <w:color w:val="000000"/>
          <w:sz w:val="18"/>
          <w:szCs w:val="18"/>
        </w:rPr>
        <w:t>Table 4 Task scopes of evaluation resources for scientific hallucinations and related capabilities</w:t>
      </w:r>
    </w:p>
    <w:tbl>
      <w:tblPr>
        <w:tblStyle w:val="7"/>
        <w:tblW w:w="9751"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55" w:type="dxa"/>
          <w:left w:w="70" w:type="dxa"/>
          <w:bottom w:w="55" w:type="dxa"/>
          <w:right w:w="70" w:type="dxa"/>
        </w:tblCellMar>
      </w:tblPr>
      <w:tblGrid>
        <w:gridCol w:w="1474"/>
        <w:gridCol w:w="3061"/>
        <w:gridCol w:w="2608"/>
        <w:gridCol w:w="2608"/>
      </w:tblGrid>
      <w:tr w14:paraId="3DC720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tblHeader/>
          <w:jc w:val="center"/>
        </w:trPr>
        <w:tc>
          <w:tcPr>
            <w:tcW w:w="1474" w:type="dxa"/>
            <w:tcBorders>
              <w:bottom w:val="single" w:color="000000" w:sz="4" w:space="0"/>
            </w:tcBorders>
            <w:vAlign w:val="center"/>
          </w:tcPr>
          <w:p w14:paraId="3C33EC04">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评价对象</w:t>
            </w:r>
          </w:p>
        </w:tc>
        <w:tc>
          <w:tcPr>
            <w:tcW w:w="3061" w:type="dxa"/>
            <w:tcBorders>
              <w:bottom w:val="single" w:color="000000" w:sz="4" w:space="0"/>
            </w:tcBorders>
            <w:vAlign w:val="center"/>
          </w:tcPr>
          <w:p w14:paraId="4D5D6326">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代表资源</w:t>
            </w:r>
          </w:p>
        </w:tc>
        <w:tc>
          <w:tcPr>
            <w:tcW w:w="2608" w:type="dxa"/>
            <w:tcBorders>
              <w:bottom w:val="single" w:color="000000" w:sz="4" w:space="0"/>
            </w:tcBorders>
            <w:vAlign w:val="center"/>
          </w:tcPr>
          <w:p w14:paraId="754F739E">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判定依据或主要指标</w:t>
            </w:r>
          </w:p>
        </w:tc>
        <w:tc>
          <w:tcPr>
            <w:tcW w:w="2608" w:type="dxa"/>
            <w:tcBorders>
              <w:bottom w:val="single" w:color="000000" w:sz="4" w:space="0"/>
            </w:tcBorders>
            <w:vAlign w:val="center"/>
          </w:tcPr>
          <w:p w14:paraId="02ADF3A7">
            <w:pPr>
              <w:pStyle w:val="16"/>
              <w:keepNext/>
              <w:widowControl/>
              <w:spacing w:before="0" w:after="0" w:line="240" w:lineRule="exact"/>
              <w:ind w:left="0" w:right="0" w:firstLine="0" w:firstLineChars="0"/>
              <w:jc w:val="center"/>
            </w:pPr>
            <w:r>
              <w:rPr>
                <w:rFonts w:ascii="Times New Roman" w:hAnsi="Times New Roman" w:eastAsia="华文中宋"/>
                <w:b/>
                <w:color w:val="000000"/>
                <w:sz w:val="18"/>
                <w:szCs w:val="18"/>
              </w:rPr>
              <w:t>结果解释的范围</w:t>
            </w:r>
          </w:p>
        </w:tc>
      </w:tr>
      <w:tr w14:paraId="34F77A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2C48F7BF">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引文来源与归属</w:t>
            </w:r>
          </w:p>
        </w:tc>
        <w:tc>
          <w:tcPr>
            <w:tcW w:w="3061" w:type="dxa"/>
            <w:vAlign w:val="center"/>
          </w:tcPr>
          <w:p w14:paraId="517B6D1A">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引文归属基准</w:t>
            </w:r>
            <w:r>
              <w:rPr>
                <w:rFonts w:ascii="Times New Roman" w:hAnsi="Times New Roman" w:eastAsia="华文中宋"/>
                <w:b w:val="0"/>
                <w:color w:val="000000"/>
                <w:sz w:val="18"/>
                <w:szCs w:val="18"/>
                <w:vertAlign w:val="superscript"/>
              </w:rPr>
              <w:t>[56]</w:t>
            </w:r>
            <w:r>
              <w:rPr>
                <w:rFonts w:ascii="Times New Roman" w:hAnsi="Times New Roman" w:eastAsia="华文中宋"/>
                <w:b w:val="0"/>
                <w:color w:val="000000"/>
                <w:sz w:val="18"/>
                <w:szCs w:val="18"/>
              </w:rPr>
              <w:t>、CiteCheck基准</w:t>
            </w:r>
            <w:r>
              <w:rPr>
                <w:rFonts w:ascii="Times New Roman" w:hAnsi="Times New Roman" w:eastAsia="华文中宋"/>
                <w:b w:val="0"/>
                <w:color w:val="000000"/>
                <w:sz w:val="18"/>
                <w:szCs w:val="18"/>
                <w:vertAlign w:val="superscript"/>
              </w:rPr>
              <w:t>[33]</w:t>
            </w:r>
            <w:r>
              <w:rPr>
                <w:rFonts w:ascii="Times New Roman" w:hAnsi="Times New Roman" w:eastAsia="华文中宋"/>
                <w:b w:val="0"/>
                <w:color w:val="000000"/>
                <w:sz w:val="18"/>
                <w:szCs w:val="18"/>
              </w:rPr>
              <w:t>、HALLMARK</w:t>
            </w:r>
            <w:r>
              <w:rPr>
                <w:rFonts w:ascii="Times New Roman" w:hAnsi="Times New Roman" w:eastAsia="华文中宋"/>
                <w:b w:val="0"/>
                <w:color w:val="000000"/>
                <w:sz w:val="18"/>
                <w:szCs w:val="18"/>
                <w:vertAlign w:val="superscript"/>
              </w:rPr>
              <w:t>[57]</w:t>
            </w:r>
          </w:p>
        </w:tc>
        <w:tc>
          <w:tcPr>
            <w:tcW w:w="2608" w:type="dxa"/>
            <w:vAlign w:val="center"/>
          </w:tcPr>
          <w:p w14:paraId="27B16008">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元数据、来源记录；正确、虚构、误报及弃答</w:t>
            </w:r>
          </w:p>
        </w:tc>
        <w:tc>
          <w:tcPr>
            <w:tcW w:w="2608" w:type="dxa"/>
            <w:vAlign w:val="center"/>
          </w:tcPr>
          <w:p w14:paraId="3F62F518">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评价来源识别，不直接评价主张科学有效性</w:t>
            </w:r>
          </w:p>
        </w:tc>
      </w:tr>
      <w:tr w14:paraId="3D101E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711D880A">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主张与文本支持</w:t>
            </w:r>
          </w:p>
        </w:tc>
        <w:tc>
          <w:tcPr>
            <w:tcW w:w="3061" w:type="dxa"/>
            <w:vAlign w:val="center"/>
          </w:tcPr>
          <w:p w14:paraId="3A2D584D">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SciFact</w:t>
            </w:r>
            <w:r>
              <w:rPr>
                <w:rFonts w:ascii="Times New Roman" w:hAnsi="Times New Roman" w:eastAsia="华文中宋"/>
                <w:b w:val="0"/>
                <w:color w:val="000000"/>
                <w:sz w:val="18"/>
                <w:szCs w:val="18"/>
                <w:vertAlign w:val="superscript"/>
              </w:rPr>
              <w:t>[17]</w:t>
            </w:r>
            <w:r>
              <w:rPr>
                <w:rFonts w:ascii="Times New Roman" w:hAnsi="Times New Roman" w:eastAsia="华文中宋"/>
                <w:b w:val="0"/>
                <w:color w:val="000000"/>
                <w:sz w:val="18"/>
                <w:szCs w:val="18"/>
              </w:rPr>
              <w:t>、DeepSciVerify评价</w:t>
            </w:r>
            <w:r>
              <w:rPr>
                <w:rFonts w:ascii="Times New Roman" w:hAnsi="Times New Roman" w:eastAsia="华文中宋"/>
                <w:b w:val="0"/>
                <w:color w:val="000000"/>
                <w:sz w:val="18"/>
                <w:szCs w:val="18"/>
                <w:vertAlign w:val="superscript"/>
              </w:rPr>
              <w:t>[34]</w:t>
            </w:r>
            <w:r>
              <w:rPr>
                <w:rFonts w:ascii="Times New Roman" w:hAnsi="Times New Roman" w:eastAsia="华文中宋"/>
                <w:b w:val="0"/>
                <w:color w:val="000000"/>
                <w:sz w:val="18"/>
                <w:szCs w:val="18"/>
              </w:rPr>
              <w:t>、RAGTruth</w:t>
            </w:r>
            <w:r>
              <w:rPr>
                <w:rFonts w:ascii="Times New Roman" w:hAnsi="Times New Roman" w:eastAsia="华文中宋"/>
                <w:b w:val="0"/>
                <w:color w:val="000000"/>
                <w:sz w:val="18"/>
                <w:szCs w:val="18"/>
                <w:vertAlign w:val="superscript"/>
              </w:rPr>
              <w:t>[58]</w:t>
            </w:r>
          </w:p>
        </w:tc>
        <w:tc>
          <w:tcPr>
            <w:tcW w:w="2608" w:type="dxa"/>
            <w:vAlign w:val="center"/>
          </w:tcPr>
          <w:p w14:paraId="763F136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证据片段与支持标签；分类或片段定位</w:t>
            </w:r>
          </w:p>
        </w:tc>
        <w:tc>
          <w:tcPr>
            <w:tcW w:w="2608" w:type="dxa"/>
            <w:vAlign w:val="center"/>
          </w:tcPr>
          <w:p w14:paraId="319A28D5">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评价给定来源下的事实性或忠实性</w:t>
            </w:r>
          </w:p>
        </w:tc>
      </w:tr>
      <w:tr w14:paraId="4140A7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79149D6D">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图表与评审</w:t>
            </w:r>
          </w:p>
        </w:tc>
        <w:tc>
          <w:tcPr>
            <w:tcW w:w="3061" w:type="dxa"/>
            <w:vAlign w:val="center"/>
          </w:tcPr>
          <w:p w14:paraId="2C47CED9">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MuSciClaims</w:t>
            </w:r>
            <w:r>
              <w:rPr>
                <w:rFonts w:ascii="Times New Roman" w:hAnsi="Times New Roman" w:eastAsia="华文中宋"/>
                <w:b w:val="0"/>
                <w:color w:val="000000"/>
                <w:sz w:val="18"/>
                <w:szCs w:val="18"/>
                <w:vertAlign w:val="superscript"/>
              </w:rPr>
              <w:t>[27]</w:t>
            </w:r>
            <w:r>
              <w:rPr>
                <w:rFonts w:ascii="Times New Roman" w:hAnsi="Times New Roman" w:eastAsia="华文中宋"/>
                <w:b w:val="0"/>
                <w:color w:val="000000"/>
                <w:sz w:val="18"/>
                <w:szCs w:val="18"/>
              </w:rPr>
              <w:t>、HalluPeer</w:t>
            </w:r>
            <w:r>
              <w:rPr>
                <w:rFonts w:ascii="Times New Roman" w:hAnsi="Times New Roman" w:eastAsia="华文中宋"/>
                <w:b w:val="0"/>
                <w:color w:val="000000"/>
                <w:sz w:val="18"/>
                <w:szCs w:val="18"/>
                <w:vertAlign w:val="superscript"/>
              </w:rPr>
              <w:t>[59]</w:t>
            </w:r>
          </w:p>
        </w:tc>
        <w:tc>
          <w:tcPr>
            <w:tcW w:w="2608" w:type="dxa"/>
            <w:vAlign w:val="center"/>
          </w:tcPr>
          <w:p w14:paraId="3A0F88B2">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科学图表、论文全文与人工或构造标签</w:t>
            </w:r>
          </w:p>
        </w:tc>
        <w:tc>
          <w:tcPr>
            <w:tcW w:w="2608" w:type="dxa"/>
            <w:vAlign w:val="center"/>
          </w:tcPr>
          <w:p w14:paraId="2FB34C8E">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评价图文和评语的内容核查能力</w:t>
            </w:r>
          </w:p>
        </w:tc>
      </w:tr>
      <w:tr w14:paraId="2195FA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79CB9CB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假设与知识依据</w:t>
            </w:r>
          </w:p>
        </w:tc>
        <w:tc>
          <w:tcPr>
            <w:tcW w:w="3061" w:type="dxa"/>
            <w:vAlign w:val="center"/>
          </w:tcPr>
          <w:p w14:paraId="3F6EF86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TruthHypo</w:t>
            </w:r>
            <w:r>
              <w:rPr>
                <w:rFonts w:ascii="Times New Roman" w:hAnsi="Times New Roman" w:eastAsia="华文中宋"/>
                <w:b w:val="0"/>
                <w:color w:val="000000"/>
                <w:sz w:val="18"/>
                <w:szCs w:val="18"/>
                <w:vertAlign w:val="superscript"/>
              </w:rPr>
              <w:t>[10]</w:t>
            </w:r>
            <w:r>
              <w:rPr>
                <w:rFonts w:ascii="Times New Roman" w:hAnsi="Times New Roman" w:eastAsia="华文中宋"/>
                <w:b w:val="0"/>
                <w:color w:val="000000"/>
                <w:sz w:val="18"/>
                <w:szCs w:val="18"/>
              </w:rPr>
              <w:t>、BioVerge</w:t>
            </w:r>
            <w:r>
              <w:rPr>
                <w:rFonts w:ascii="Times New Roman" w:hAnsi="Times New Roman" w:eastAsia="华文中宋"/>
                <w:b w:val="0"/>
                <w:color w:val="000000"/>
                <w:sz w:val="18"/>
                <w:szCs w:val="18"/>
                <w:vertAlign w:val="superscript"/>
              </w:rPr>
              <w:t>[60]</w:t>
            </w:r>
            <w:r>
              <w:rPr>
                <w:rFonts w:ascii="Times New Roman" w:hAnsi="Times New Roman" w:eastAsia="华文中宋"/>
                <w:b w:val="0"/>
                <w:color w:val="000000"/>
                <w:sz w:val="18"/>
                <w:szCs w:val="18"/>
              </w:rPr>
              <w:t>、HypoKG</w:t>
            </w:r>
            <w:r>
              <w:rPr>
                <w:rFonts w:ascii="Times New Roman" w:hAnsi="Times New Roman" w:eastAsia="华文中宋"/>
                <w:b w:val="0"/>
                <w:color w:val="000000"/>
                <w:sz w:val="18"/>
                <w:szCs w:val="18"/>
                <w:vertAlign w:val="superscript"/>
              </w:rPr>
              <w:t>[36]</w:t>
            </w:r>
          </w:p>
        </w:tc>
        <w:tc>
          <w:tcPr>
            <w:tcW w:w="2608" w:type="dxa"/>
            <w:vAlign w:val="center"/>
          </w:tcPr>
          <w:p w14:paraId="6BCCF1D4">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历史关系、文献与质量评分</w:t>
            </w:r>
          </w:p>
        </w:tc>
        <w:tc>
          <w:tcPr>
            <w:tcW w:w="2608" w:type="dxa"/>
            <w:vAlign w:val="center"/>
          </w:tcPr>
          <w:p w14:paraId="6358B1DC">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候选质量和知识依据不等同于实验确认</w:t>
            </w:r>
          </w:p>
        </w:tc>
      </w:tr>
      <w:tr w14:paraId="7A940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2E4160AF">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科研规划与数据发现</w:t>
            </w:r>
          </w:p>
        </w:tc>
        <w:tc>
          <w:tcPr>
            <w:tcW w:w="3061" w:type="dxa"/>
            <w:vAlign w:val="center"/>
          </w:tcPr>
          <w:p w14:paraId="2486A48E">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BioPlanner</w:t>
            </w:r>
            <w:r>
              <w:rPr>
                <w:rFonts w:ascii="Times New Roman" w:hAnsi="Times New Roman" w:eastAsia="华文中宋"/>
                <w:b w:val="0"/>
                <w:color w:val="000000"/>
                <w:sz w:val="18"/>
                <w:szCs w:val="18"/>
                <w:vertAlign w:val="superscript"/>
              </w:rPr>
              <w:t>[64]</w:t>
            </w:r>
            <w:r>
              <w:rPr>
                <w:rFonts w:ascii="Times New Roman" w:hAnsi="Times New Roman" w:eastAsia="华文中宋"/>
                <w:b w:val="0"/>
                <w:color w:val="000000"/>
                <w:sz w:val="18"/>
                <w:szCs w:val="18"/>
              </w:rPr>
              <w:t>、DiscoveryBench</w:t>
            </w:r>
            <w:r>
              <w:rPr>
                <w:rFonts w:ascii="Times New Roman" w:hAnsi="Times New Roman" w:eastAsia="华文中宋"/>
                <w:b w:val="0"/>
                <w:color w:val="000000"/>
                <w:sz w:val="18"/>
                <w:szCs w:val="18"/>
                <w:vertAlign w:val="superscript"/>
              </w:rPr>
              <w:t>[66]</w:t>
            </w:r>
            <w:r>
              <w:rPr>
                <w:rFonts w:ascii="Times New Roman" w:hAnsi="Times New Roman" w:eastAsia="华文中宋"/>
                <w:b w:val="0"/>
                <w:color w:val="000000"/>
                <w:sz w:val="18"/>
                <w:szCs w:val="18"/>
              </w:rPr>
              <w:t>、ScienceAgentBench</w:t>
            </w:r>
            <w:r>
              <w:rPr>
                <w:rFonts w:ascii="Times New Roman" w:hAnsi="Times New Roman" w:eastAsia="华文中宋"/>
                <w:b w:val="0"/>
                <w:color w:val="000000"/>
                <w:sz w:val="18"/>
                <w:szCs w:val="18"/>
                <w:vertAlign w:val="superscript"/>
              </w:rPr>
              <w:t>[68]</w:t>
            </w:r>
          </w:p>
        </w:tc>
        <w:tc>
          <w:tcPr>
            <w:tcW w:w="2608" w:type="dxa"/>
            <w:vAlign w:val="center"/>
          </w:tcPr>
          <w:p w14:paraId="7BF057F3">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协议、给定数据与执行任务</w:t>
            </w:r>
          </w:p>
        </w:tc>
        <w:tc>
          <w:tcPr>
            <w:tcW w:w="2608" w:type="dxa"/>
            <w:vAlign w:val="center"/>
          </w:tcPr>
          <w:p w14:paraId="42A090E9">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反映任务能力，失败不都属于幻觉</w:t>
            </w:r>
          </w:p>
        </w:tc>
      </w:tr>
      <w:tr w14:paraId="741394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3EA830C9">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交互式研究活动</w:t>
            </w:r>
          </w:p>
        </w:tc>
        <w:tc>
          <w:tcPr>
            <w:tcW w:w="3061" w:type="dxa"/>
            <w:vAlign w:val="center"/>
          </w:tcPr>
          <w:p w14:paraId="05BD0EBC">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LAB-Bench</w:t>
            </w:r>
            <w:r>
              <w:rPr>
                <w:rFonts w:ascii="Times New Roman" w:hAnsi="Times New Roman" w:eastAsia="华文中宋"/>
                <w:b w:val="0"/>
                <w:color w:val="000000"/>
                <w:sz w:val="18"/>
                <w:szCs w:val="18"/>
                <w:vertAlign w:val="superscript"/>
              </w:rPr>
              <w:t>[65]</w:t>
            </w:r>
            <w:r>
              <w:rPr>
                <w:rFonts w:ascii="Times New Roman" w:hAnsi="Times New Roman" w:eastAsia="华文中宋"/>
                <w:b w:val="0"/>
                <w:color w:val="000000"/>
                <w:sz w:val="18"/>
                <w:szCs w:val="18"/>
              </w:rPr>
              <w:t>、DiscoveryWorld</w:t>
            </w:r>
            <w:r>
              <w:rPr>
                <w:rFonts w:ascii="Times New Roman" w:hAnsi="Times New Roman" w:eastAsia="华文中宋"/>
                <w:b w:val="0"/>
                <w:color w:val="000000"/>
                <w:sz w:val="18"/>
                <w:szCs w:val="18"/>
                <w:vertAlign w:val="superscript"/>
              </w:rPr>
              <w:t>[67]</w:t>
            </w:r>
          </w:p>
        </w:tc>
        <w:tc>
          <w:tcPr>
            <w:tcW w:w="2608" w:type="dxa"/>
            <w:vAlign w:val="center"/>
          </w:tcPr>
          <w:p w14:paraId="62680EA0">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专业任务及虚拟环境状态</w:t>
            </w:r>
          </w:p>
        </w:tc>
        <w:tc>
          <w:tcPr>
            <w:tcW w:w="2608" w:type="dxa"/>
            <w:vAlign w:val="center"/>
          </w:tcPr>
          <w:p w14:paraId="05A8EC66">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反映相应任务或环境中的能力</w:t>
            </w:r>
          </w:p>
        </w:tc>
      </w:tr>
      <w:tr w14:paraId="60CF68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4D91053E">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过程与完整支持</w:t>
            </w:r>
          </w:p>
        </w:tc>
        <w:tc>
          <w:tcPr>
            <w:tcW w:w="3061" w:type="dxa"/>
            <w:vAlign w:val="center"/>
          </w:tcPr>
          <w:p w14:paraId="4855598F">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SCHEMA</w:t>
            </w:r>
            <w:r>
              <w:rPr>
                <w:rFonts w:ascii="Times New Roman" w:hAnsi="Times New Roman" w:eastAsia="华文中宋"/>
                <w:b w:val="0"/>
                <w:color w:val="000000"/>
                <w:sz w:val="18"/>
                <w:szCs w:val="18"/>
                <w:vertAlign w:val="superscript"/>
              </w:rPr>
              <w:t>[69]</w:t>
            </w:r>
            <w:r>
              <w:rPr>
                <w:rFonts w:ascii="Times New Roman" w:hAnsi="Times New Roman" w:eastAsia="华文中宋"/>
                <w:b w:val="0"/>
                <w:color w:val="000000"/>
                <w:sz w:val="18"/>
                <w:szCs w:val="18"/>
              </w:rPr>
              <w:t>、SciRigor</w:t>
            </w:r>
            <w:r>
              <w:rPr>
                <w:rFonts w:ascii="Times New Roman" w:hAnsi="Times New Roman" w:eastAsia="华文中宋"/>
                <w:b w:val="0"/>
                <w:color w:val="000000"/>
                <w:sz w:val="18"/>
                <w:szCs w:val="18"/>
                <w:vertAlign w:val="superscript"/>
              </w:rPr>
              <w:t>[19]</w:t>
            </w:r>
            <w:r>
              <w:rPr>
                <w:rFonts w:ascii="Times New Roman" w:hAnsi="Times New Roman" w:eastAsia="华文中宋"/>
                <w:b w:val="0"/>
                <w:color w:val="000000"/>
                <w:sz w:val="18"/>
                <w:szCs w:val="18"/>
              </w:rPr>
              <w:t>、TruthInsightBench</w:t>
            </w:r>
            <w:r>
              <w:rPr>
                <w:rFonts w:ascii="Times New Roman" w:hAnsi="Times New Roman" w:eastAsia="华文中宋"/>
                <w:b w:val="0"/>
                <w:color w:val="000000"/>
                <w:sz w:val="18"/>
                <w:szCs w:val="18"/>
                <w:vertAlign w:val="superscript"/>
              </w:rPr>
              <w:t>[70]</w:t>
            </w:r>
          </w:p>
        </w:tc>
        <w:tc>
          <w:tcPr>
            <w:tcW w:w="2608" w:type="dxa"/>
            <w:vAlign w:val="center"/>
          </w:tcPr>
          <w:p w14:paraId="6A924A0B">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图结构、同次运行产物或规则化审计</w:t>
            </w:r>
          </w:p>
        </w:tc>
        <w:tc>
          <w:tcPr>
            <w:tcW w:w="2608" w:type="dxa"/>
            <w:vAlign w:val="center"/>
          </w:tcPr>
          <w:p w14:paraId="34F2B5C5">
            <w:pPr>
              <w:pStyle w:val="16"/>
              <w:keepNext/>
              <w:widowControl/>
              <w:spacing w:before="0" w:after="0" w:line="240" w:lineRule="exact"/>
              <w:ind w:left="0" w:right="0" w:firstLine="0" w:firstLineChars="0"/>
              <w:jc w:val="center"/>
            </w:pPr>
            <w:r>
              <w:rPr>
                <w:rFonts w:ascii="Times New Roman" w:hAnsi="Times New Roman" w:eastAsia="华文中宋"/>
                <w:b w:val="0"/>
                <w:color w:val="000000"/>
                <w:sz w:val="18"/>
                <w:szCs w:val="18"/>
              </w:rPr>
              <w:t>评价所定义过程关系，仍依赖证据与判据质量</w:t>
            </w:r>
          </w:p>
        </w:tc>
      </w:tr>
      <w:tr w14:paraId="54D283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55" w:type="dxa"/>
            <w:left w:w="70" w:type="dxa"/>
            <w:bottom w:w="55" w:type="dxa"/>
            <w:right w:w="70" w:type="dxa"/>
          </w:tblCellMar>
        </w:tblPrEx>
        <w:trPr>
          <w:cantSplit/>
          <w:jc w:val="center"/>
        </w:trPr>
        <w:tc>
          <w:tcPr>
            <w:tcW w:w="1474" w:type="dxa"/>
            <w:vAlign w:val="center"/>
          </w:tcPr>
          <w:p w14:paraId="6B0BCD66">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统计与实验验证</w:t>
            </w:r>
          </w:p>
        </w:tc>
        <w:tc>
          <w:tcPr>
            <w:tcW w:w="3061" w:type="dxa"/>
            <w:vAlign w:val="center"/>
          </w:tcPr>
          <w:p w14:paraId="1146B165">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POPPER</w:t>
            </w:r>
            <w:r>
              <w:rPr>
                <w:rFonts w:ascii="Times New Roman" w:hAnsi="Times New Roman" w:eastAsia="华文中宋"/>
                <w:b w:val="0"/>
                <w:color w:val="000000"/>
                <w:sz w:val="18"/>
                <w:szCs w:val="18"/>
                <w:vertAlign w:val="superscript"/>
              </w:rPr>
              <w:t>[61]</w:t>
            </w:r>
            <w:r>
              <w:rPr>
                <w:rFonts w:ascii="Times New Roman" w:hAnsi="Times New Roman" w:eastAsia="华文中宋"/>
                <w:b w:val="0"/>
                <w:color w:val="000000"/>
                <w:sz w:val="18"/>
                <w:szCs w:val="18"/>
              </w:rPr>
              <w:t>、实验室假设验证</w:t>
            </w:r>
            <w:r>
              <w:rPr>
                <w:rFonts w:ascii="Times New Roman" w:hAnsi="Times New Roman" w:eastAsia="华文中宋"/>
                <w:b w:val="0"/>
                <w:color w:val="000000"/>
                <w:sz w:val="18"/>
                <w:szCs w:val="18"/>
                <w:vertAlign w:val="superscript"/>
              </w:rPr>
              <w:t>[62]</w:t>
            </w:r>
          </w:p>
        </w:tc>
        <w:tc>
          <w:tcPr>
            <w:tcW w:w="2608" w:type="dxa"/>
            <w:vAlign w:val="center"/>
          </w:tcPr>
          <w:p w14:paraId="0A92D7AD">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统计检验或实际实验观测</w:t>
            </w:r>
          </w:p>
        </w:tc>
        <w:tc>
          <w:tcPr>
            <w:tcW w:w="2608" w:type="dxa"/>
            <w:vAlign w:val="center"/>
          </w:tcPr>
          <w:p w14:paraId="1FBDE51A">
            <w:pPr>
              <w:pStyle w:val="16"/>
              <w:keepNext w:val="0"/>
              <w:widowControl/>
              <w:spacing w:before="0" w:after="0" w:line="240" w:lineRule="exact"/>
              <w:ind w:left="0" w:right="0" w:firstLine="0" w:firstLineChars="0"/>
              <w:jc w:val="center"/>
            </w:pPr>
            <w:r>
              <w:rPr>
                <w:rFonts w:ascii="Times New Roman" w:hAnsi="Times New Roman" w:eastAsia="华文中宋"/>
                <w:b w:val="0"/>
                <w:color w:val="000000"/>
                <w:sz w:val="18"/>
                <w:szCs w:val="18"/>
              </w:rPr>
              <w:t>支持具体假设及条件下的结论</w:t>
            </w:r>
          </w:p>
        </w:tc>
      </w:tr>
    </w:tbl>
    <w:p w14:paraId="6C99C74C">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1"/>
          <w:docGrid w:linePitch="312" w:charSpace="-2601"/>
        </w:sectPr>
      </w:pPr>
    </w:p>
    <w:p w14:paraId="121DE4CF">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4.4 指标应与核验对象保持一致</w:t>
      </w:r>
    </w:p>
    <w:p w14:paraId="3B9B3C84">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文本事实性可以在原子主张层面统计。FActScore将长文本分解为可核查事实，以支持情况衡量事实精度</w:t>
      </w:r>
      <w:r>
        <w:rPr>
          <w:rFonts w:ascii="Times New Roman" w:hAnsi="Times New Roman" w:eastAsia="华文中宋"/>
          <w:color w:val="000000"/>
          <w:sz w:val="21"/>
          <w:szCs w:val="21"/>
          <w:vertAlign w:val="superscript"/>
        </w:rPr>
        <w:t>[71]</w:t>
      </w:r>
      <w:r>
        <w:rPr>
          <w:rFonts w:ascii="Times New Roman" w:hAnsi="Times New Roman" w:eastAsia="华文中宋"/>
          <w:color w:val="000000"/>
          <w:sz w:val="21"/>
          <w:szCs w:val="21"/>
        </w:rPr>
        <w:t>；带引用生成研究同时考察引用支持和引用覆盖等不同维度</w:t>
      </w:r>
      <w:r>
        <w:rPr>
          <w:rFonts w:ascii="Times New Roman" w:hAnsi="Times New Roman" w:eastAsia="华文中宋"/>
          <w:color w:val="000000"/>
          <w:sz w:val="21"/>
          <w:szCs w:val="21"/>
          <w:vertAlign w:val="superscript"/>
        </w:rPr>
        <w:t>[72]</w:t>
      </w:r>
      <w:r>
        <w:rPr>
          <w:rFonts w:ascii="Times New Roman" w:hAnsi="Times New Roman" w:eastAsia="华文中宋"/>
          <w:color w:val="000000"/>
          <w:sz w:val="21"/>
          <w:szCs w:val="21"/>
        </w:rPr>
        <w:t>。前者可以暴露同一段文字中的局部失实，后者可以区分“给出的引用有用”与“需要依据的主张都被覆盖”。科研长文本通常同时需要这两类判断，单个综合分数容易掩盖它们的差异。</w:t>
      </w:r>
    </w:p>
    <w:p w14:paraId="6028227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对于允许弃答的系统，错误率还需与回答覆盖一起报告。若通过大量拒答降低错误，而研究任务无法完成，系统的实际效用可能下降。引文归属研究明确联合考察弃答与幻觉</w:t>
      </w:r>
      <w:r>
        <w:rPr>
          <w:rFonts w:ascii="Times New Roman" w:hAnsi="Times New Roman" w:eastAsia="华文中宋"/>
          <w:color w:val="000000"/>
          <w:sz w:val="21"/>
          <w:szCs w:val="21"/>
          <w:vertAlign w:val="superscript"/>
        </w:rPr>
        <w:t>[56]</w:t>
      </w:r>
      <w:r>
        <w:rPr>
          <w:rFonts w:ascii="Times New Roman" w:hAnsi="Times New Roman" w:eastAsia="华文中宋"/>
          <w:color w:val="000000"/>
          <w:sz w:val="21"/>
          <w:szCs w:val="21"/>
        </w:rPr>
        <w:t>。在本文的分析框架中，还需保留“证据不足但继续陈述”“有充分证据却不必要弃答”等情况，以区分合理保留不确定性和过度保守。</w:t>
      </w:r>
    </w:p>
    <w:p w14:paraId="060BF9BF">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对于研究产物，核验单位可以是字段、产物、相邻支持关系或完整路径。SciRigor将产物忠实性与关系有效性分开，并在完整路径上给出更严格的评价</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。如果一个结果由多个必要步骤共同支持，平均的局部得分无法保证所有必要条件同时成立。因此，评价可以同时报告局部质量和端到端通过情况，并给出最早失效位置，帮助确定治理措施应作用于何处。</w:t>
      </w:r>
    </w:p>
    <w:p w14:paraId="080AC6B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对于纠错，最终正确率之外还应考察修改方向与代价。SCoRe关注多轮纠错进展</w:t>
      </w:r>
      <w:r>
        <w:rPr>
          <w:rFonts w:ascii="Times New Roman" w:hAnsi="Times New Roman" w:eastAsia="华文中宋"/>
          <w:color w:val="000000"/>
          <w:sz w:val="21"/>
          <w:szCs w:val="21"/>
          <w:vertAlign w:val="superscript"/>
        </w:rPr>
        <w:t>[41]</w:t>
      </w:r>
      <w:r>
        <w:rPr>
          <w:rFonts w:ascii="Times New Roman" w:hAnsi="Times New Roman" w:eastAsia="华文中宋"/>
          <w:color w:val="000000"/>
          <w:sz w:val="21"/>
          <w:szCs w:val="21"/>
        </w:rPr>
        <w:t>，RARR关注修订后的依据与内容保持</w:t>
      </w:r>
      <w:r>
        <w:rPr>
          <w:rFonts w:ascii="Times New Roman" w:hAnsi="Times New Roman" w:eastAsia="华文中宋"/>
          <w:color w:val="000000"/>
          <w:sz w:val="21"/>
          <w:szCs w:val="21"/>
          <w:vertAlign w:val="superscript"/>
        </w:rPr>
        <w:t>[51]</w:t>
      </w:r>
      <w:r>
        <w:rPr>
          <w:rFonts w:ascii="Times New Roman" w:hAnsi="Times New Roman" w:eastAsia="华文中宋"/>
          <w:color w:val="000000"/>
          <w:sz w:val="21"/>
          <w:szCs w:val="21"/>
        </w:rPr>
        <w:t>，依赖回滚研究则同时考察恢复与保留未受影响工作</w:t>
      </w:r>
      <w:r>
        <w:rPr>
          <w:rFonts w:ascii="Times New Roman" w:hAnsi="Times New Roman" w:eastAsia="华文中宋"/>
          <w:color w:val="000000"/>
          <w:sz w:val="21"/>
          <w:szCs w:val="21"/>
          <w:vertAlign w:val="superscript"/>
        </w:rPr>
        <w:t>[54]</w:t>
      </w:r>
      <w:r>
        <w:rPr>
          <w:rFonts w:ascii="Times New Roman" w:hAnsi="Times New Roman" w:eastAsia="华文中宋"/>
          <w:color w:val="000000"/>
          <w:sz w:val="21"/>
          <w:szCs w:val="21"/>
        </w:rPr>
        <w:t>。这些指标反映的目标不同：有的方法改善答案，有的方法控制误改，有的方法减少重做范围。方法比较需要交代原始错误集合、允许修改的对象和是否能够重新执行。</w:t>
      </w:r>
    </w:p>
    <w:p w14:paraId="3663F79A">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4.5 方法比较的必要控制条件</w:t>
      </w:r>
    </w:p>
    <w:p w14:paraId="0EDA5657">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第一，证据条件应可比。仅使用题名、使用摘要、能够访问全文以及拥有原始数据与日志，代表不同的信息条件。DeepSciVerify的分级证据机制</w:t>
      </w:r>
      <w:r>
        <w:rPr>
          <w:rFonts w:ascii="Times New Roman" w:hAnsi="Times New Roman" w:eastAsia="华文中宋"/>
          <w:color w:val="000000"/>
          <w:sz w:val="21"/>
          <w:szCs w:val="21"/>
          <w:vertAlign w:val="superscript"/>
        </w:rPr>
        <w:t>[34]</w:t>
      </w:r>
      <w:r>
        <w:rPr>
          <w:rFonts w:ascii="Times New Roman" w:hAnsi="Times New Roman" w:eastAsia="华文中宋"/>
          <w:color w:val="000000"/>
          <w:sz w:val="21"/>
          <w:szCs w:val="21"/>
        </w:rPr>
        <w:t>和科研产物审计</w:t>
      </w:r>
      <w:r>
        <w:rPr>
          <w:rFonts w:ascii="Times New Roman" w:hAnsi="Times New Roman" w:eastAsia="华文中宋"/>
          <w:color w:val="000000"/>
          <w:sz w:val="21"/>
          <w:szCs w:val="21"/>
          <w:vertAlign w:val="superscript"/>
        </w:rPr>
        <w:t>[11,19]</w:t>
      </w:r>
      <w:r>
        <w:rPr>
          <w:rFonts w:ascii="Times New Roman" w:hAnsi="Times New Roman" w:eastAsia="华文中宋"/>
          <w:color w:val="000000"/>
          <w:sz w:val="21"/>
          <w:szCs w:val="21"/>
        </w:rPr>
        <w:t>说明，额外证据本身就可能改变可判定问题集合。因此，不能把获得更多信息的收益全部归因于推理方法更强。</w:t>
      </w:r>
    </w:p>
    <w:p w14:paraId="66A9F0F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第二，监督与评价条件应可比。人工标注、合成扰动、模型自评和可执行判据各有作用。HalluPeer通过构造错误形成可控任务</w:t>
      </w:r>
      <w:r>
        <w:rPr>
          <w:rFonts w:ascii="Times New Roman" w:hAnsi="Times New Roman" w:eastAsia="华文中宋"/>
          <w:color w:val="000000"/>
          <w:sz w:val="21"/>
          <w:szCs w:val="21"/>
          <w:vertAlign w:val="superscript"/>
        </w:rPr>
        <w:t>[59]</w:t>
      </w:r>
      <w:r>
        <w:rPr>
          <w:rFonts w:ascii="Times New Roman" w:hAnsi="Times New Roman" w:eastAsia="华文中宋"/>
          <w:color w:val="000000"/>
          <w:sz w:val="21"/>
          <w:szCs w:val="21"/>
        </w:rPr>
        <w:t>，科学实验验证则提供特定条件下的外部观测</w:t>
      </w:r>
      <w:r>
        <w:rPr>
          <w:rFonts w:ascii="Times New Roman" w:hAnsi="Times New Roman" w:eastAsia="华文中宋"/>
          <w:color w:val="000000"/>
          <w:sz w:val="21"/>
          <w:szCs w:val="21"/>
          <w:vertAlign w:val="superscript"/>
        </w:rPr>
        <w:t>[62]</w:t>
      </w:r>
      <w:r>
        <w:rPr>
          <w:rFonts w:ascii="Times New Roman" w:hAnsi="Times New Roman" w:eastAsia="华文中宋"/>
          <w:color w:val="000000"/>
          <w:sz w:val="21"/>
          <w:szCs w:val="21"/>
        </w:rPr>
        <w:t>。前者便于系统化测试，后者更直接但成本较高。报告中需要说明标签如何形成、判据是否独立，以及未决实例是否被排除。</w:t>
      </w:r>
    </w:p>
    <w:p w14:paraId="0A9DAE0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第三，资源预算应可比。额外检索、多次采样、模型评判和实验重跑都会增加开销。大语言模型推理优化综述从模型、算法与服务层分析资源和效率约束</w:t>
      </w:r>
      <w:r>
        <w:rPr>
          <w:rFonts w:ascii="Times New Roman" w:hAnsi="Times New Roman" w:eastAsia="华文中宋"/>
          <w:color w:val="000000"/>
          <w:sz w:val="21"/>
          <w:szCs w:val="21"/>
          <w:vertAlign w:val="superscript"/>
        </w:rPr>
        <w:t>[73]</w:t>
      </w:r>
      <w:r>
        <w:rPr>
          <w:rFonts w:ascii="Times New Roman" w:hAnsi="Times New Roman" w:eastAsia="华文中宋"/>
          <w:color w:val="000000"/>
          <w:sz w:val="21"/>
          <w:szCs w:val="21"/>
        </w:rPr>
        <w:t>，而科研验证还包含工具、数据处理和实验成本。比较检测与治理方法时，可以分别报告调用次数、处理文本量、时间以及执行成本，并说明是否采用缓存。只有在相近证据、评价和预算条件下，才能较清楚地区分算法设计与资源投入的贡献。</w:t>
      </w:r>
    </w:p>
    <w:p w14:paraId="30080F3F">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5 研究挑战与未来方向</w:t>
      </w:r>
    </w:p>
    <w:p w14:paraId="214E73D9">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5.1 可靠性约束与开放假设探索</w:t>
      </w:r>
    </w:p>
    <w:p w14:paraId="5F6C4FF3">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科研系统需要以已有证据限制事实陈述，同时允许提出超出已知知识的新假设。知识支撑检测能够核查假设理由</w:t>
      </w:r>
      <w:r>
        <w:rPr>
          <w:rFonts w:ascii="Times New Roman" w:hAnsi="Times New Roman" w:eastAsia="华文中宋"/>
          <w:color w:val="000000"/>
          <w:sz w:val="21"/>
          <w:szCs w:val="21"/>
          <w:vertAlign w:val="superscript"/>
        </w:rPr>
        <w:t>[10]</w:t>
      </w:r>
      <w:r>
        <w:rPr>
          <w:rFonts w:ascii="Times New Roman" w:hAnsi="Times New Roman" w:eastAsia="华文中宋"/>
          <w:color w:val="000000"/>
          <w:sz w:val="21"/>
          <w:szCs w:val="21"/>
        </w:rPr>
        <w:t>，知识路径约束能够改善机理陈述与材料之间的对应</w:t>
      </w:r>
      <w:r>
        <w:rPr>
          <w:rFonts w:ascii="Times New Roman" w:hAnsi="Times New Roman" w:eastAsia="华文中宋"/>
          <w:color w:val="000000"/>
          <w:sz w:val="21"/>
          <w:szCs w:val="21"/>
          <w:vertAlign w:val="superscript"/>
        </w:rPr>
        <w:t>[36]</w:t>
      </w:r>
      <w:r>
        <w:rPr>
          <w:rFonts w:ascii="Times New Roman" w:hAnsi="Times New Roman" w:eastAsia="华文中宋"/>
          <w:color w:val="000000"/>
          <w:sz w:val="21"/>
          <w:szCs w:val="21"/>
        </w:rPr>
        <w:t>，实验验证则判断具体候选是否获得观测支持</w:t>
      </w:r>
      <w:r>
        <w:rPr>
          <w:rFonts w:ascii="Times New Roman" w:hAnsi="Times New Roman" w:eastAsia="华文中宋"/>
          <w:color w:val="000000"/>
          <w:sz w:val="21"/>
          <w:szCs w:val="21"/>
          <w:vertAlign w:val="superscript"/>
        </w:rPr>
        <w:t>[62]</w:t>
      </w:r>
      <w:r>
        <w:rPr>
          <w:rFonts w:ascii="Times New Roman" w:hAnsi="Times New Roman" w:eastAsia="华文中宋"/>
          <w:color w:val="000000"/>
          <w:sz w:val="21"/>
          <w:szCs w:val="21"/>
        </w:rPr>
        <w:t>。这些机制作用于不同层次，现有结果不足以支持用单一“幻觉分数”决定候选是否值得研究。</w:t>
      </w:r>
    </w:p>
    <w:p w14:paraId="4AEE5F4C">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这一问题包含一个具体权衡：若所有生成关系都必须在已有知识库中找到，系统会更易核验，却可能仅重复已有发现；若允许自由推断，又需要防止模型将推断表述为已知事实。可研究的方向是将候选中的已知前提、推断关系和验证要求分开记录，并对不同部分采用不同评价。对于已有前提，重点考察事实准确性；对于新关系，重点考察可检验性、与现有约束的相容性及独立验证结果。该方向的评价还应测量错误拒绝有价值候选的代价，以避免可靠性收益完全来自压缩探索空间。</w:t>
      </w:r>
    </w:p>
    <w:p w14:paraId="044A09D8">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5.2 跨模态证据中的条件与语义保持</w:t>
      </w:r>
    </w:p>
    <w:p w14:paraId="1B46B9E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科学知识经常跨越文本、表格、图像和程序表达。现有研究已分别处理测量关系</w:t>
      </w:r>
      <w:r>
        <w:rPr>
          <w:rFonts w:ascii="Times New Roman" w:hAnsi="Times New Roman" w:eastAsia="华文中宋"/>
          <w:color w:val="000000"/>
          <w:sz w:val="21"/>
          <w:szCs w:val="21"/>
          <w:vertAlign w:val="superscript"/>
        </w:rPr>
        <w:t>[25]</w:t>
      </w:r>
      <w:r>
        <w:rPr>
          <w:rFonts w:ascii="Times New Roman" w:hAnsi="Times New Roman" w:eastAsia="华文中宋"/>
          <w:color w:val="000000"/>
          <w:sz w:val="21"/>
          <w:szCs w:val="21"/>
        </w:rPr>
        <w:t>、表格原子推理</w:t>
      </w:r>
      <w:r>
        <w:rPr>
          <w:rFonts w:ascii="Times New Roman" w:hAnsi="Times New Roman" w:eastAsia="华文中宋"/>
          <w:color w:val="000000"/>
          <w:sz w:val="21"/>
          <w:szCs w:val="21"/>
          <w:vertAlign w:val="superscript"/>
        </w:rPr>
        <w:t>[26]</w:t>
      </w:r>
      <w:r>
        <w:rPr>
          <w:rFonts w:ascii="Times New Roman" w:hAnsi="Times New Roman" w:eastAsia="华文中宋"/>
          <w:color w:val="000000"/>
          <w:sz w:val="21"/>
          <w:szCs w:val="21"/>
        </w:rPr>
        <w:t>和多模态科学主张</w:t>
      </w:r>
      <w:r>
        <w:rPr>
          <w:rFonts w:ascii="Times New Roman" w:hAnsi="Times New Roman" w:eastAsia="华文中宋"/>
          <w:color w:val="000000"/>
          <w:sz w:val="21"/>
          <w:szCs w:val="21"/>
          <w:vertAlign w:val="superscript"/>
        </w:rPr>
        <w:t>[27]</w:t>
      </w:r>
      <w:r>
        <w:rPr>
          <w:rFonts w:ascii="Times New Roman" w:hAnsi="Times New Roman" w:eastAsia="华文中宋"/>
          <w:color w:val="000000"/>
          <w:sz w:val="21"/>
          <w:szCs w:val="21"/>
        </w:rPr>
        <w:t>，但不同方法的中间表示仍服务于各自任务。将它们用于同一研究流程时，关键问题是同一对象、单位、条件和不确定性是否在转换中保持一致。</w:t>
      </w:r>
    </w:p>
    <w:p w14:paraId="794EC03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第2.4.2节的尺度转换案例表明，数值相似或结论文字相似不足以说明语义一致。未来可以围绕实体身份、单位、时间范围、统计量类型和来源位置建立可对照的证据记录，并评价每次转换是否保持了这些属性。对不同研究条件下的结果，系统还需区分真正冲突与条件差异，而不是通过摘要压缩消除分歧。此类评价应允许科学上等价的表示，同时识别改变结论含义的转换；SciRigor对替代支持路径的处理提供了一种可参考思路</w:t>
      </w:r>
      <w:r>
        <w:rPr>
          <w:rFonts w:ascii="Times New Roman" w:hAnsi="Times New Roman" w:eastAsia="华文中宋"/>
          <w:color w:val="000000"/>
          <w:sz w:val="21"/>
          <w:szCs w:val="21"/>
          <w:vertAlign w:val="superscript"/>
        </w:rPr>
        <w:t>[19]</w:t>
      </w:r>
      <w:r>
        <w:rPr>
          <w:rFonts w:ascii="Times New Roman" w:hAnsi="Times New Roman" w:eastAsia="华文中宋"/>
          <w:color w:val="000000"/>
          <w:sz w:val="21"/>
          <w:szCs w:val="21"/>
        </w:rPr>
        <w:t>。</w:t>
      </w:r>
    </w:p>
    <w:p w14:paraId="463E2071">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5.3 错误传播定位与不完整依赖记录</w:t>
      </w:r>
    </w:p>
    <w:p w14:paraId="682A2F16">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依赖修复能够减少不必要的重做，但依赖图并不天然完整。现有回滚方法以已诊断错误和运行来源记录为基础</w:t>
      </w:r>
      <w:r>
        <w:rPr>
          <w:rFonts w:ascii="Times New Roman" w:hAnsi="Times New Roman" w:eastAsia="华文中宋"/>
          <w:color w:val="000000"/>
          <w:sz w:val="21"/>
          <w:szCs w:val="21"/>
          <w:vertAlign w:val="superscript"/>
        </w:rPr>
        <w:t>[54]</w:t>
      </w:r>
      <w:r>
        <w:rPr>
          <w:rFonts w:ascii="Times New Roman" w:hAnsi="Times New Roman" w:eastAsia="华文中宋"/>
          <w:color w:val="000000"/>
          <w:sz w:val="21"/>
          <w:szCs w:val="21"/>
        </w:rPr>
        <w:t>，行为图研究通过可观测操作组织证据</w:t>
      </w:r>
      <w:r>
        <w:rPr>
          <w:rFonts w:ascii="Times New Roman" w:hAnsi="Times New Roman" w:eastAsia="华文中宋"/>
          <w:color w:val="000000"/>
          <w:sz w:val="21"/>
          <w:szCs w:val="21"/>
          <w:vertAlign w:val="superscript"/>
        </w:rPr>
        <w:t>[38]</w:t>
      </w:r>
      <w:r>
        <w:rPr>
          <w:rFonts w:ascii="Times New Roman" w:hAnsi="Times New Roman" w:eastAsia="华文中宋"/>
          <w:color w:val="000000"/>
          <w:sz w:val="21"/>
          <w:szCs w:val="21"/>
        </w:rPr>
        <w:t>，拓扑评价则利用构建的科学概念关系分析传播</w:t>
      </w:r>
      <w:r>
        <w:rPr>
          <w:rFonts w:ascii="Times New Roman" w:hAnsi="Times New Roman" w:eastAsia="华文中宋"/>
          <w:color w:val="000000"/>
          <w:sz w:val="21"/>
          <w:szCs w:val="21"/>
          <w:vertAlign w:val="superscript"/>
        </w:rPr>
        <w:t>[69]</w:t>
      </w:r>
      <w:r>
        <w:rPr>
          <w:rFonts w:ascii="Times New Roman" w:hAnsi="Times New Roman" w:eastAsia="华文中宋"/>
          <w:color w:val="000000"/>
          <w:sz w:val="21"/>
          <w:szCs w:val="21"/>
        </w:rPr>
        <w:t>。如果模型通过未记录的上下文形成推断，或将多个来源压缩为一条无细节的记忆，真实影响范围可能超出记录中的路径。</w:t>
      </w:r>
    </w:p>
    <w:p w14:paraId="19FA24E1">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因此，后续研究需要同时考察依赖记录的可信度和修复策略的效果。记录不足时，过窄的修复可能保留受污染产物；过宽的撤销则可能浪费有效实验。一个可检验的方向是把依赖关系本身也赋予来源和不确定状态，对明确依赖、可能依赖及独立支持采用不同复核策略。评价时可以控制缺失依赖和错误依赖的比例，观察残留错误、有效分支损失与重新执行开销如何变化。这样的设计能够检验方法对不完美记录的适应能力，而不只在完整图上证明恢复有效。</w:t>
      </w:r>
    </w:p>
    <w:p w14:paraId="7EB19262">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5.4 验证器的独立性与可审计性</w:t>
      </w:r>
    </w:p>
    <w:p w14:paraId="1D3BB0F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增加验证器数量并不必然增加独立证据。生成器与评判器可能共享模型、训练数据、检索源或评分偏好；多份互相一致的判断也可能追溯到同一个错误来源。无外部反馈的自我纠错研究</w:t>
      </w:r>
      <w:r>
        <w:rPr>
          <w:rFonts w:ascii="Times New Roman" w:hAnsi="Times New Roman" w:eastAsia="华文中宋"/>
          <w:color w:val="000000"/>
          <w:sz w:val="21"/>
          <w:szCs w:val="21"/>
          <w:vertAlign w:val="superscript"/>
        </w:rPr>
        <w:t>[29]</w:t>
      </w:r>
      <w:r>
        <w:rPr>
          <w:rFonts w:ascii="Times New Roman" w:hAnsi="Times New Roman" w:eastAsia="华文中宋"/>
          <w:color w:val="000000"/>
          <w:sz w:val="21"/>
          <w:szCs w:val="21"/>
        </w:rPr>
        <w:t>和自编验证研究</w:t>
      </w:r>
      <w:r>
        <w:rPr>
          <w:rFonts w:ascii="Times New Roman" w:hAnsi="Times New Roman" w:eastAsia="华文中宋"/>
          <w:color w:val="000000"/>
          <w:sz w:val="21"/>
          <w:szCs w:val="21"/>
          <w:vertAlign w:val="superscript"/>
        </w:rPr>
        <w:t>[30]</w:t>
      </w:r>
      <w:r>
        <w:rPr>
          <w:rFonts w:ascii="Times New Roman" w:hAnsi="Times New Roman" w:eastAsia="华文中宋"/>
          <w:color w:val="000000"/>
          <w:sz w:val="21"/>
          <w:szCs w:val="21"/>
        </w:rPr>
        <w:t>分别揭示了内容层与更新层的相关风险。科研系统需要分析验证依赖，而不只是统计评判次数。</w:t>
      </w:r>
    </w:p>
    <w:p w14:paraId="2274EB0E">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可审计的验证结果应说明判断依据及其范围。来源核验提供文献位置，数值核验提供计算和运行身份，协议核验提供被检查条件；对于依赖模型判断的部分，还需保留争议和无法确认的情况。Xcientist将已确认不一致与记录不足分开</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，为避免把审计缺口等同于事实错误提供了可操作例子。未来可以将不同证据类型的核验组合起来，以独立运行、保留任务或领域复核检验共同盲点，同时衡量这些外部措施带来的成本。</w:t>
      </w:r>
    </w:p>
    <w:p w14:paraId="28E7A485">
      <w:pPr>
        <w:pStyle w:val="3"/>
        <w:keepNext/>
        <w:widowControl/>
        <w:spacing w:before="50" w:after="0" w:line="300" w:lineRule="atLeast"/>
        <w:ind w:left="0" w:right="0" w:firstLine="0" w:firstLineChars="0"/>
        <w:outlineLvl w:val="1"/>
      </w:pPr>
      <w:r>
        <w:rPr>
          <w:rFonts w:ascii="Times New Roman" w:hAnsi="Times New Roman" w:eastAsia="华文中宋"/>
          <w:b/>
          <w:color w:val="000000"/>
          <w:sz w:val="21"/>
          <w:szCs w:val="21"/>
        </w:rPr>
        <w:t>5.5 核验成本与研究效用的联合优化</w:t>
      </w:r>
    </w:p>
    <w:p w14:paraId="76ACEE7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科研验证成本具有明显差异：检查书目字段相对直接，获取全文可能受到访问条件限制，重新运行分析需要计算资源，重新开展实验则可能受到设备、材料与时间约束。DeepSciVerify通过按需增加全文证据减少部分检索开销</w:t>
      </w:r>
      <w:r>
        <w:rPr>
          <w:rFonts w:ascii="Times New Roman" w:hAnsi="Times New Roman" w:eastAsia="华文中宋"/>
          <w:color w:val="000000"/>
          <w:sz w:val="21"/>
          <w:szCs w:val="21"/>
          <w:vertAlign w:val="superscript"/>
        </w:rPr>
        <w:t>[34]</w:t>
      </w:r>
      <w:r>
        <w:rPr>
          <w:rFonts w:ascii="Times New Roman" w:hAnsi="Times New Roman" w:eastAsia="华文中宋"/>
          <w:color w:val="000000"/>
          <w:sz w:val="21"/>
          <w:szCs w:val="21"/>
        </w:rPr>
        <w:t>，依赖回滚通过保留独立分支降低重做范围</w:t>
      </w:r>
      <w:r>
        <w:rPr>
          <w:rFonts w:ascii="Times New Roman" w:hAnsi="Times New Roman" w:eastAsia="华文中宋"/>
          <w:color w:val="000000"/>
          <w:sz w:val="21"/>
          <w:szCs w:val="21"/>
          <w:vertAlign w:val="superscript"/>
        </w:rPr>
        <w:t>[54]</w:t>
      </w:r>
      <w:r>
        <w:rPr>
          <w:rFonts w:ascii="Times New Roman" w:hAnsi="Times New Roman" w:eastAsia="华文中宋"/>
          <w:color w:val="000000"/>
          <w:sz w:val="21"/>
          <w:szCs w:val="21"/>
        </w:rPr>
        <w:t>。两者分别优化证据获取和状态恢复，但尚不能直接给出所有科研任务中的统一资源分配策略。</w:t>
      </w:r>
    </w:p>
    <w:p w14:paraId="610A6469">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未来可以结合主张的重要性、错误的潜在传播范围和核验成本决定检查优先级。对只影响背景措辞的局部错误，与支撑核心结论、将进入后续实验的错误，可以采用不同强度的复核。这里的优先级需要由可观测依赖和任务目标定义，避免以模型主观置信度替代风险判断。评价应同时报告遗漏的关键错误、有效任务完成情况和总开销，使资源优化能够接受科研效用检验。</w:t>
      </w:r>
    </w:p>
    <w:p w14:paraId="62087EAB">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成本优化还应考虑证据的持续有效性。已通过核验的材料可能因数据版本、分析代码或研究设计变化而不再支持当前主张。类型化来源研究讨论信息有效性与来源角色</w:t>
      </w:r>
      <w:r>
        <w:rPr>
          <w:rFonts w:ascii="Times New Roman" w:hAnsi="Times New Roman" w:eastAsia="华文中宋"/>
          <w:color w:val="000000"/>
          <w:sz w:val="21"/>
          <w:szCs w:val="21"/>
          <w:vertAlign w:val="superscript"/>
        </w:rPr>
        <w:t>[28]</w:t>
      </w:r>
      <w:r>
        <w:rPr>
          <w:rFonts w:ascii="Times New Roman" w:hAnsi="Times New Roman" w:eastAsia="华文中宋"/>
          <w:color w:val="000000"/>
          <w:sz w:val="21"/>
          <w:szCs w:val="21"/>
        </w:rPr>
        <w:t>，Xcientist追踪设计修订与支持关系</w:t>
      </w:r>
      <w:r>
        <w:rPr>
          <w:rFonts w:ascii="Times New Roman" w:hAnsi="Times New Roman" w:eastAsia="华文中宋"/>
          <w:color w:val="000000"/>
          <w:sz w:val="21"/>
          <w:szCs w:val="21"/>
          <w:vertAlign w:val="superscript"/>
        </w:rPr>
        <w:t>[11]</w:t>
      </w:r>
      <w:r>
        <w:rPr>
          <w:rFonts w:ascii="Times New Roman" w:hAnsi="Times New Roman" w:eastAsia="华文中宋"/>
          <w:color w:val="000000"/>
          <w:sz w:val="21"/>
          <w:szCs w:val="21"/>
        </w:rPr>
        <w:t>。将二者结合，可以研究何时复用旧验证、何时使旧结果失效，以及如何只重查因更新受到影响的部分。这样才能把一次性检测扩展为持续研究过程中的可靠性维护。</w:t>
      </w:r>
    </w:p>
    <w:p w14:paraId="74711D0D">
      <w:pPr>
        <w:pStyle w:val="2"/>
        <w:keepNext/>
        <w:widowControl/>
        <w:spacing w:before="120" w:after="80" w:line="300" w:lineRule="atLeast"/>
        <w:ind w:left="0" w:right="0" w:firstLine="0" w:firstLineChars="0"/>
        <w:outlineLvl w:val="0"/>
        <w:rPr>
          <w:rFonts w:hint="eastAsia"/>
        </w:rPr>
      </w:pPr>
      <w:r>
        <w:rPr>
          <w:rFonts w:ascii="Times New Roman" w:hAnsi="Times New Roman" w:eastAsia="华文中宋"/>
          <w:b/>
          <w:color w:val="000000"/>
          <w:sz w:val="24"/>
          <w:szCs w:val="24"/>
        </w:rPr>
        <w:t>6 结束语</w:t>
      </w:r>
    </w:p>
    <w:p w14:paraId="355188A5">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大语言模型为科学知识利用、研究构思和实验分析提供了新的能力，科研应用的进一步发展也要求生成内容具有可核查的依据。现有研究已经从单句事实检测扩展到文献支持、图表理解、实验实施与研究产物审计，并形成训练干预、生成约束和错误恢复等治理路线。不同方法能够提供的保证取决于其核验对象和可访问证据，引用真实、程序运行成功与研究结论得到支持之间仍需建立明确联系。</w:t>
      </w:r>
    </w:p>
    <w:p w14:paraId="51C27FB8">
      <w:pPr>
        <w:pStyle w:val="20"/>
        <w:keepNext w:val="0"/>
        <w:widowControl/>
        <w:spacing w:before="0" w:after="0" w:line="340" w:lineRule="atLeast"/>
        <w:ind w:firstLine="422" w:firstLineChars="200"/>
        <w:jc w:val="both"/>
        <w:rPr>
          <w:color w:val="000000"/>
        </w:rPr>
      </w:pPr>
      <w:r>
        <w:rPr>
          <w:rFonts w:ascii="Times New Roman" w:hAnsi="Times New Roman" w:eastAsia="华文中宋"/>
          <w:color w:val="000000"/>
          <w:sz w:val="21"/>
          <w:szCs w:val="21"/>
        </w:rPr>
        <w:t>典型案例表明，科研幻觉既可能来自结论范围被扩大，也可能来自缺失实验被写成结果，或来自计算、图表与报告之间的支持关系断裂。有效治理需要定位这些差异，并在修复后重新检查受影响的产物和主张。未来研究应在保留科学探索空间的同时，提高条件与来源的保持能力，完善独立验证和依赖恢复，并在可靠性、研究效用与核验成本之间形成可检验的权衡。</w:t>
      </w:r>
    </w:p>
    <w:p w14:paraId="37A47269">
      <w:pPr>
        <w:pStyle w:val="30"/>
        <w:keepNext/>
        <w:widowControl/>
        <w:spacing w:before="120" w:after="60" w:line="300" w:lineRule="atLeast"/>
        <w:ind w:left="0" w:right="0" w:firstLine="0" w:firstLineChars="0"/>
        <w:jc w:val="both"/>
        <w:rPr>
          <w:sz w:val="18"/>
          <w:szCs w:val="18"/>
        </w:rPr>
      </w:pPr>
      <w:r>
        <w:rPr>
          <w:rFonts w:ascii="Times New Roman" w:hAnsi="Times New Roman" w:eastAsia="华文中宋"/>
          <w:b/>
          <w:color w:val="000000"/>
          <w:sz w:val="18"/>
          <w:szCs w:val="18"/>
        </w:rPr>
        <w:t>参考文献</w:t>
      </w:r>
    </w:p>
    <w:p w14:paraId="7369D3FB">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w:t>
      </w:r>
      <w:r>
        <w:rPr>
          <w:rFonts w:ascii="Times New Roman" w:hAnsi="Times New Roman" w:eastAsia="华文中宋"/>
          <w:color w:val="000000"/>
          <w:sz w:val="18"/>
          <w:szCs w:val="18"/>
        </w:rPr>
        <w:tab/>
      </w:r>
      <w:r>
        <w:rPr>
          <w:rFonts w:ascii="Times New Roman" w:hAnsi="Times New Roman" w:eastAsia="华文中宋"/>
          <w:color w:val="000000"/>
          <w:sz w:val="18"/>
          <w:szCs w:val="18"/>
        </w:rPr>
        <w:t> Qiguang Chen, Mingda Yang, Libo Qin, et al. AI4Research: A Survey of Artificial Intelligence for Scientific Research[EB/OL]. 2025[2026-10-15]. https://arxiv.org/abs/2507.01903v2.</w:t>
      </w:r>
    </w:p>
    <w:p w14:paraId="39A9132E">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w:t>
      </w:r>
      <w:r>
        <w:rPr>
          <w:rFonts w:ascii="Times New Roman" w:hAnsi="Times New Roman" w:eastAsia="华文中宋"/>
          <w:color w:val="000000"/>
          <w:sz w:val="18"/>
          <w:szCs w:val="18"/>
        </w:rPr>
        <w:tab/>
      </w:r>
      <w:r>
        <w:rPr>
          <w:rFonts w:ascii="Times New Roman" w:hAnsi="Times New Roman" w:eastAsia="华文中宋"/>
          <w:color w:val="000000"/>
          <w:sz w:val="18"/>
          <w:szCs w:val="18"/>
        </w:rPr>
        <w:t> Shuo Ren, Can Xie, Pu Jian, et al. Towards Scientific Intelligence: A Survey of LLM-based Scientific Agents[EB/OL]. 2026[2026-10-15]. https://arxiv.org/abs/2503.24047v3.</w:t>
      </w:r>
    </w:p>
    <w:p w14:paraId="333F3055">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w:t>
      </w:r>
      <w:r>
        <w:rPr>
          <w:rFonts w:ascii="Times New Roman" w:hAnsi="Times New Roman" w:eastAsia="华文中宋"/>
          <w:color w:val="000000"/>
          <w:sz w:val="18"/>
          <w:szCs w:val="18"/>
        </w:rPr>
        <w:tab/>
      </w:r>
      <w:r>
        <w:rPr>
          <w:rFonts w:ascii="Times New Roman" w:hAnsi="Times New Roman" w:eastAsia="华文中宋"/>
          <w:color w:val="000000"/>
          <w:sz w:val="18"/>
          <w:szCs w:val="18"/>
        </w:rPr>
        <w:t> Andres M Bran, Sam Cox, Oliver Schilter, et al. Augmenting large language models with chemistry tools[EB/OL]. 2023[2026-10-15]. https://arxiv.org/abs/2304.05376v5.</w:t>
      </w:r>
    </w:p>
    <w:p w14:paraId="2456647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w:t>
      </w:r>
      <w:r>
        <w:rPr>
          <w:rFonts w:ascii="Times New Roman" w:hAnsi="Times New Roman" w:eastAsia="华文中宋"/>
          <w:color w:val="000000"/>
          <w:sz w:val="18"/>
          <w:szCs w:val="18"/>
        </w:rPr>
        <w:tab/>
      </w:r>
      <w:r>
        <w:rPr>
          <w:rFonts w:ascii="Times New Roman" w:hAnsi="Times New Roman" w:eastAsia="华文中宋"/>
          <w:color w:val="000000"/>
          <w:sz w:val="18"/>
          <w:szCs w:val="18"/>
        </w:rPr>
        <w:t> Daniil A. Boiko, Robert MacKnight, Gabe Gomes. Emergent autonomous scientific research capabilities of large language models[EB/OL]. 2023[2026-10-15]. https://arxiv.org/abs/2304.05332v1.</w:t>
      </w:r>
    </w:p>
    <w:p w14:paraId="44DF0D96">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w:t>
      </w:r>
      <w:r>
        <w:rPr>
          <w:rFonts w:ascii="Times New Roman" w:hAnsi="Times New Roman" w:eastAsia="华文中宋"/>
          <w:color w:val="000000"/>
          <w:sz w:val="18"/>
          <w:szCs w:val="18"/>
        </w:rPr>
        <w:tab/>
      </w:r>
      <w:r>
        <w:rPr>
          <w:rFonts w:ascii="Times New Roman" w:hAnsi="Times New Roman" w:eastAsia="华文中宋"/>
          <w:color w:val="000000"/>
          <w:sz w:val="18"/>
          <w:szCs w:val="18"/>
        </w:rPr>
        <w:t> Chris Lu, Cong Lu, Robert Tjarko Lange, et al. The AI Scientist: Towards Fully Automated Open-Ended Scientific Discovery[EB/OL]. 2024[2026-10-15]. https://arxiv.org/abs/2408.06292v3.</w:t>
      </w:r>
    </w:p>
    <w:p w14:paraId="737CBF3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w:t>
      </w:r>
      <w:r>
        <w:rPr>
          <w:rFonts w:ascii="Times New Roman" w:hAnsi="Times New Roman" w:eastAsia="华文中宋"/>
          <w:color w:val="000000"/>
          <w:sz w:val="18"/>
          <w:szCs w:val="18"/>
        </w:rPr>
        <w:tab/>
      </w:r>
      <w:r>
        <w:rPr>
          <w:rFonts w:ascii="Times New Roman" w:hAnsi="Times New Roman" w:eastAsia="华文中宋"/>
          <w:color w:val="000000"/>
          <w:sz w:val="18"/>
          <w:szCs w:val="18"/>
        </w:rPr>
        <w:t> Lei Huang, Weijiang Yu, Weitao Ma, et al. A Survey on Hallucination in Large Language Models: Principles, Taxonomy, Challenges, and Open Questions[EB/OL]. 2024[2026-10-15]. https://arxiv.org/abs/2311.05232v2.</w:t>
      </w:r>
    </w:p>
    <w:p w14:paraId="3EC01972">
      <w:pPr>
        <w:pStyle w:val="25"/>
        <w:keepNext/>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[7]</w:t>
      </w:r>
      <w:r>
        <w:rPr>
          <w:rFonts w:ascii="Times New Roman" w:hAnsi="Times New Roman" w:eastAsia="华文中宋"/>
          <w:color w:val="000000"/>
          <w:sz w:val="18"/>
          <w:szCs w:val="18"/>
        </w:rPr>
        <w:tab/>
      </w:r>
      <w:r>
        <w:rPr>
          <w:rFonts w:ascii="Times New Roman" w:hAnsi="Times New Roman" w:eastAsia="华文中宋"/>
          <w:color w:val="000000"/>
          <w:sz w:val="18"/>
          <w:szCs w:val="18"/>
        </w:rPr>
        <w:t> 刘泽垣, 王鹏江, 宋晓斌, 等. 大语言模型的幻觉问题研究综述[J]. 软件学报, 2025, 36(3): 1152-1185. DOI: 10.13328/j.cnki.jos.007242.</w:t>
      </w:r>
    </w:p>
    <w:p w14:paraId="560C6D4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LIU Zeyuan, WANG Pengjiang, SONG Xiaobin, et al. Survey on hallucinations in large language models[J]. Journal of Software, 2025, 36(3): 1152-1185.</w:t>
      </w:r>
    </w:p>
    <w:p w14:paraId="421545AE">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[8]</w:t>
      </w:r>
      <w:r>
        <w:rPr>
          <w:rFonts w:ascii="Times New Roman" w:hAnsi="Times New Roman" w:eastAsia="华文中宋"/>
          <w:color w:val="000000"/>
          <w:sz w:val="18"/>
          <w:szCs w:val="18"/>
        </w:rPr>
        <w:tab/>
      </w:r>
      <w:r>
        <w:rPr>
          <w:rFonts w:ascii="Times New Roman" w:hAnsi="Times New Roman" w:eastAsia="华文中宋"/>
          <w:color w:val="000000"/>
          <w:sz w:val="18"/>
          <w:szCs w:val="18"/>
        </w:rPr>
        <w:t> Uwe Peters, Benjamin Chin-Yee. Generalization bias in large language model summarization of scientific research[J]. Royal Society Open Science, 2025, 12(4): 241776. DOI: 10.1098/rsos.241776.</w:t>
      </w:r>
    </w:p>
    <w:p w14:paraId="5D659B7F">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[9]</w:t>
      </w:r>
      <w:r>
        <w:rPr>
          <w:rFonts w:ascii="Times New Roman" w:hAnsi="Times New Roman" w:eastAsia="华文中宋"/>
          <w:color w:val="000000"/>
          <w:sz w:val="18"/>
          <w:szCs w:val="18"/>
        </w:rPr>
        <w:tab/>
      </w:r>
      <w:r>
        <w:rPr>
          <w:rFonts w:ascii="Times New Roman" w:hAnsi="Times New Roman" w:eastAsia="华文中宋"/>
          <w:color w:val="000000"/>
          <w:sz w:val="18"/>
          <w:szCs w:val="18"/>
        </w:rPr>
        <w:t> Xixun Lin, Yucheng Ning, Jingwen Zhang, et al. LLM-based Agents Suffer from Hallucinations: A Survey of Taxonomy, Methods, and Directions[EB/OL]. 2025[2026-10-15]. https://arxiv.org/abs/2509.18970v2.</w:t>
      </w:r>
    </w:p>
    <w:p w14:paraId="6CEB893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[10]</w:t>
      </w:r>
      <w:r>
        <w:rPr>
          <w:rFonts w:ascii="Times New Roman" w:hAnsi="Times New Roman" w:eastAsia="华文中宋"/>
          <w:color w:val="000000"/>
          <w:sz w:val="18"/>
          <w:szCs w:val="18"/>
        </w:rPr>
        <w:tab/>
      </w:r>
      <w:r>
        <w:rPr>
          <w:rFonts w:ascii="Times New Roman" w:hAnsi="Times New Roman" w:eastAsia="华文中宋"/>
          <w:color w:val="000000"/>
          <w:sz w:val="18"/>
          <w:szCs w:val="18"/>
        </w:rPr>
        <w:t> Guangzhi Xiong, Eric Xie, Corey Williams, et al. Toward Reliable Scientific Hypothesis Generation: Evaluating Truthfulness and Hallucination in Large Language Models[EB/OL]. 2025[2026-10-15]. https://arxiv.org/abs/2505.14599v2.</w:t>
      </w:r>
    </w:p>
    <w:p w14:paraId="78D55C1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[11]</w:t>
      </w:r>
      <w:r>
        <w:rPr>
          <w:rFonts w:ascii="Times New Roman" w:hAnsi="Times New Roman" w:eastAsia="华文中宋"/>
          <w:color w:val="000000"/>
          <w:sz w:val="18"/>
          <w:szCs w:val="18"/>
        </w:rPr>
        <w:tab/>
      </w:r>
      <w:r>
        <w:rPr>
          <w:rFonts w:ascii="Times New Roman" w:hAnsi="Times New Roman" w:eastAsia="华文中宋"/>
          <w:color w:val="000000"/>
          <w:sz w:val="18"/>
          <w:szCs w:val="18"/>
        </w:rPr>
        <w:t> Zijian Wang, Hanqi Li, Ziyue Yang, et al. Making AI Scientists Auditable from Evidence to Claim[EB/OL]. 2026[2026-10-15]. https://arxiv.org/abs/2606.18874v4.</w:t>
      </w:r>
    </w:p>
    <w:p w14:paraId="50F1EB3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[12]</w:t>
      </w:r>
      <w:r>
        <w:rPr>
          <w:rFonts w:ascii="Times New Roman" w:hAnsi="Times New Roman" w:eastAsia="华文中宋"/>
          <w:color w:val="000000"/>
          <w:sz w:val="18"/>
          <w:szCs w:val="18"/>
        </w:rPr>
        <w:tab/>
      </w:r>
      <w:r>
        <w:rPr>
          <w:rFonts w:ascii="Times New Roman" w:hAnsi="Times New Roman" w:eastAsia="华文中宋"/>
          <w:color w:val="000000"/>
          <w:sz w:val="18"/>
          <w:szCs w:val="18"/>
        </w:rPr>
        <w:t> Juraj Vladika, Florian Matthes. Scientific Fact-Checking: A Survey of Resources and Approaches[C]//Findings of the Association for Computational Linguistics: ACL 2023. 2023: 6215-6230. DOI: 10.18653/v1/2023.findings-acl.387.</w:t>
      </w:r>
    </w:p>
    <w:p w14:paraId="1ADF7B61">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[13]</w:t>
      </w:r>
      <w:r>
        <w:rPr>
          <w:rFonts w:ascii="Times New Roman" w:hAnsi="Times New Roman" w:eastAsia="华文中宋"/>
          <w:color w:val="000000"/>
          <w:sz w:val="18"/>
          <w:szCs w:val="18"/>
        </w:rPr>
        <w:tab/>
      </w:r>
      <w:r>
        <w:rPr>
          <w:rFonts w:ascii="Times New Roman" w:hAnsi="Times New Roman" w:eastAsia="华文中宋"/>
          <w:color w:val="000000"/>
          <w:sz w:val="18"/>
          <w:szCs w:val="18"/>
        </w:rPr>
        <w:t> Tianyu Ding, Aditya Nannapaneni, Bingfan Liu, et al. Autonomous Research Agents: A Survey of AI Scientists and the Verification Gap[EB/OL]. 2026[2026-10-15]. https://arxiv.org/abs/2608.05179v1.</w:t>
      </w:r>
    </w:p>
    <w:p w14:paraId="6A3A5A21">
      <w:pPr>
        <w:pStyle w:val="25"/>
        <w:keepNext/>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[14]</w:t>
      </w:r>
      <w:r>
        <w:rPr>
          <w:rFonts w:ascii="Times New Roman" w:hAnsi="Times New Roman" w:eastAsia="华文中宋"/>
          <w:color w:val="000000"/>
          <w:sz w:val="18"/>
          <w:szCs w:val="18"/>
        </w:rPr>
        <w:tab/>
      </w:r>
      <w:r>
        <w:rPr>
          <w:rFonts w:ascii="Times New Roman" w:hAnsi="Times New Roman" w:eastAsia="华文中宋"/>
          <w:color w:val="000000"/>
          <w:sz w:val="18"/>
          <w:szCs w:val="18"/>
        </w:rPr>
        <w:t> 刘晗, 李凯旋, 陈仪香. 人工智能系统可信性度量评估研究综述[J]. 软件学报, 2023, 34(8): 3774-3792. DOI: 10.13328/j.cnki.jos.006592.</w:t>
      </w:r>
    </w:p>
    <w:p w14:paraId="3F099781">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LIU Han, LI Kaixuan, CHEN Yixiang. Survey on trustworthiness measurement for artificial intelligence systems[J]. Journal of Software, 2023, 34(8): 3774-3792.</w:t>
      </w:r>
    </w:p>
    <w:p w14:paraId="032D12A2">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[15]</w:t>
      </w:r>
      <w:r>
        <w:rPr>
          <w:rFonts w:ascii="Times New Roman" w:hAnsi="Times New Roman" w:eastAsia="华文中宋"/>
          <w:color w:val="000000"/>
          <w:sz w:val="18"/>
          <w:szCs w:val="18"/>
        </w:rPr>
        <w:tab/>
      </w:r>
      <w:r>
        <w:rPr>
          <w:rFonts w:ascii="Times New Roman" w:hAnsi="Times New Roman" w:eastAsia="华文中宋"/>
          <w:color w:val="000000"/>
          <w:sz w:val="18"/>
          <w:szCs w:val="18"/>
        </w:rPr>
        <w:t> Guangzhi Xiong, Eric Xie, Amir Hassan Shariatmadari, et al. Improving Scientific Hypothesis Generation with Knowledge Grounded Large Language Models[EB/OL]. 2024[2026-10-15]. https://arxiv.org/abs/2411.02382v1.</w:t>
      </w:r>
    </w:p>
    <w:p w14:paraId="5A72DBA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[16]</w:t>
      </w:r>
      <w:r>
        <w:rPr>
          <w:rFonts w:ascii="Times New Roman" w:hAnsi="Times New Roman" w:eastAsia="华文中宋"/>
          <w:color w:val="000000"/>
          <w:sz w:val="18"/>
          <w:szCs w:val="18"/>
        </w:rPr>
        <w:tab/>
      </w:r>
      <w:r>
        <w:rPr>
          <w:rFonts w:ascii="Times New Roman" w:hAnsi="Times New Roman" w:eastAsia="华文中宋"/>
          <w:color w:val="000000"/>
          <w:sz w:val="18"/>
          <w:szCs w:val="18"/>
        </w:rPr>
        <w:t> Lezhi Yu, Xiaogang Xu, Yuhua Zhou, et al. Beyond Execution: Auditing Experimental Fidelity in LLM-Driven Scientific Research[EB/OL]. 2026[2026-10-15]. https://arxiv.org/abs/2608.26753v1.</w:t>
      </w:r>
    </w:p>
    <w:p w14:paraId="14DE9322">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[17]</w:t>
      </w:r>
      <w:r>
        <w:rPr>
          <w:rFonts w:ascii="Times New Roman" w:hAnsi="Times New Roman" w:eastAsia="华文中宋"/>
          <w:color w:val="000000"/>
          <w:sz w:val="18"/>
          <w:szCs w:val="18"/>
        </w:rPr>
        <w:tab/>
      </w:r>
      <w:r>
        <w:rPr>
          <w:rFonts w:ascii="Times New Roman" w:hAnsi="Times New Roman" w:eastAsia="华文中宋"/>
          <w:color w:val="000000"/>
          <w:sz w:val="18"/>
          <w:szCs w:val="18"/>
        </w:rPr>
        <w:t> David Wadden, Shanchuan Lin, Kyle Lo, et al. Fact or Fiction: Verifying Scientific Claims[EB/OL]. 2020[2026-10-15]. https://arxiv.org/abs/2004.14974v6.</w:t>
      </w:r>
    </w:p>
    <w:p w14:paraId="11766D0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[18]</w:t>
      </w:r>
      <w:r>
        <w:rPr>
          <w:rFonts w:ascii="Times New Roman" w:hAnsi="Times New Roman" w:eastAsia="华文中宋"/>
          <w:color w:val="000000"/>
          <w:sz w:val="18"/>
          <w:szCs w:val="18"/>
        </w:rPr>
        <w:tab/>
      </w:r>
      <w:r>
        <w:rPr>
          <w:rFonts w:ascii="Times New Roman" w:hAnsi="Times New Roman" w:eastAsia="华文中宋"/>
          <w:color w:val="000000"/>
          <w:sz w:val="18"/>
          <w:szCs w:val="18"/>
        </w:rPr>
        <w:t> Guiyao Tie, Pan Zhou, Lichao Sun. A Survey of AI Scientists[EB/OL]. 2026[2026-10-15]. https://arxiv.org/abs/2510.23045v5.</w:t>
      </w:r>
    </w:p>
    <w:p w14:paraId="0D0AF321">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[19]</w:t>
      </w:r>
      <w:r>
        <w:rPr>
          <w:rFonts w:ascii="Times New Roman" w:hAnsi="Times New Roman" w:eastAsia="华文中宋"/>
          <w:color w:val="000000"/>
          <w:sz w:val="18"/>
          <w:szCs w:val="18"/>
        </w:rPr>
        <w:tab/>
      </w:r>
      <w:r>
        <w:rPr>
          <w:rFonts w:ascii="Times New Roman" w:hAnsi="Times New Roman" w:eastAsia="华文中宋"/>
          <w:color w:val="000000"/>
          <w:sz w:val="18"/>
          <w:szCs w:val="18"/>
        </w:rPr>
        <w:t> Bowen Liu, Shuo Nie, Bodong Du, et al. SCIRIGOR:Evaluating Open-Ended Scientific Analysis Beyond Final Scores[EB/OL]. 2026[2026-10-15]. https://arxiv.org/abs/2609.06192v1.</w:t>
      </w:r>
    </w:p>
    <w:p w14:paraId="058ADC39">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[20]</w:t>
      </w:r>
      <w:r>
        <w:rPr>
          <w:rFonts w:ascii="Times New Roman" w:hAnsi="Times New Roman" w:eastAsia="华文中宋"/>
          <w:color w:val="000000"/>
          <w:sz w:val="18"/>
          <w:szCs w:val="18"/>
        </w:rPr>
        <w:tab/>
      </w:r>
      <w:r>
        <w:rPr>
          <w:rFonts w:ascii="Times New Roman" w:hAnsi="Times New Roman" w:eastAsia="华文中宋"/>
          <w:color w:val="000000"/>
          <w:sz w:val="18"/>
          <w:szCs w:val="18"/>
        </w:rPr>
        <w:t> Naveen Lamba, Sanju Tiwari, Manas Gaur. Hallucinations in LLMs: A Lifecycle-Based Survey of Causes, Detection, Mitigation, and Prevention[EB/OL]. 2026[2026-10-15]. https://arxiv.org/abs/2608.26168v1.</w:t>
      </w:r>
    </w:p>
    <w:p w14:paraId="646AEE7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[21]</w:t>
      </w:r>
      <w:r>
        <w:rPr>
          <w:rFonts w:ascii="Times New Roman" w:hAnsi="Times New Roman" w:eastAsia="华文中宋"/>
          <w:color w:val="000000"/>
          <w:sz w:val="18"/>
          <w:szCs w:val="18"/>
        </w:rPr>
        <w:tab/>
      </w:r>
      <w:r>
        <w:rPr>
          <w:rFonts w:ascii="Times New Roman" w:hAnsi="Times New Roman" w:eastAsia="华文中宋"/>
          <w:color w:val="000000"/>
          <w:sz w:val="18"/>
          <w:szCs w:val="18"/>
        </w:rPr>
        <w:t> Alex Mallen, Akari Asai, Victor Zhong, et al. When Not to Trust Language Models: Investigating Effectiveness of Parametric and Non-Parametric Memories[C]//Proceedings of the 61st Annual Meeting of the Association for Computational Linguistics (Volume 1: Long Papers). 2023: 9802-9822. DOI: 10.18653/v1/2023.acl-long.546.</w:t>
      </w:r>
    </w:p>
    <w:p w14:paraId="00FCE19F">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[22]</w:t>
      </w:r>
      <w:r>
        <w:rPr>
          <w:rFonts w:ascii="Times New Roman" w:hAnsi="Times New Roman" w:eastAsia="华文中宋"/>
          <w:color w:val="000000"/>
          <w:sz w:val="18"/>
          <w:szCs w:val="18"/>
        </w:rPr>
        <w:tab/>
      </w:r>
      <w:r>
        <w:rPr>
          <w:rFonts w:ascii="Times New Roman" w:hAnsi="Times New Roman" w:eastAsia="华文中宋"/>
          <w:color w:val="000000"/>
          <w:sz w:val="18"/>
          <w:szCs w:val="18"/>
        </w:rPr>
        <w:t> Shayne Longpre, Kartik Perisetla, Anthony Chen, et al. Entity-Based Knowledge Conflicts in Question Answering[C]//Proceedings of the 2021 Conference on Empirical Methods in Natural Language Processing. 2021: 7052-7063. DOI: 10.18653/v1/2021.emnlp-main.565.</w:t>
      </w:r>
    </w:p>
    <w:p w14:paraId="65EC3CE4">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[23]</w:t>
      </w:r>
      <w:r>
        <w:rPr>
          <w:rFonts w:ascii="Times New Roman" w:hAnsi="Times New Roman" w:eastAsia="华文中宋"/>
          <w:color w:val="000000"/>
          <w:sz w:val="18"/>
          <w:szCs w:val="18"/>
        </w:rPr>
        <w:tab/>
      </w:r>
      <w:r>
        <w:rPr>
          <w:rFonts w:ascii="Times New Roman" w:hAnsi="Times New Roman" w:eastAsia="华文中宋"/>
          <w:color w:val="000000"/>
          <w:sz w:val="18"/>
          <w:szCs w:val="18"/>
        </w:rPr>
        <w:t> Ori Yoran, Tomer Wolfson, Ori Ram, et al. Making Retrieval-Augmented Language Models Robust to Irrelevant Context[EB/OL]. 2024[2026-10-15]. https://arxiv.org/abs/2310.01558v2.</w:t>
      </w:r>
    </w:p>
    <w:p w14:paraId="3B255E9B">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[24]</w:t>
      </w:r>
      <w:r>
        <w:rPr>
          <w:rFonts w:ascii="Times New Roman" w:hAnsi="Times New Roman" w:eastAsia="华文中宋"/>
          <w:color w:val="000000"/>
          <w:sz w:val="18"/>
          <w:szCs w:val="18"/>
        </w:rPr>
        <w:tab/>
      </w:r>
      <w:r>
        <w:rPr>
          <w:rFonts w:ascii="Times New Roman" w:hAnsi="Times New Roman" w:eastAsia="华文中宋"/>
          <w:color w:val="000000"/>
          <w:sz w:val="18"/>
          <w:szCs w:val="18"/>
        </w:rPr>
        <w:t> Nelson F. Liu, Kevin Lin, John Hewitt, et al. Lost in the Middle: How Language Models Use Long Contexts[EB/OL]. 2023[2026-10-15]. https://arxiv.org/abs/2307.03172v3.</w:t>
      </w:r>
    </w:p>
    <w:p w14:paraId="06249844">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[25]</w:t>
      </w:r>
      <w:r>
        <w:rPr>
          <w:rFonts w:ascii="Times New Roman" w:hAnsi="Times New Roman" w:eastAsia="华文中宋"/>
          <w:color w:val="000000"/>
          <w:sz w:val="18"/>
          <w:szCs w:val="18"/>
        </w:rPr>
        <w:tab/>
      </w:r>
      <w:r>
        <w:rPr>
          <w:rFonts w:ascii="Times New Roman" w:hAnsi="Times New Roman" w:eastAsia="华文中宋"/>
          <w:color w:val="000000"/>
          <w:sz w:val="18"/>
          <w:szCs w:val="18"/>
        </w:rPr>
        <w:t> Ruijun Huang, Zhiqiao Kang, Yuxuan Zhu, et al. MeasHalu: Mitigation of Scientific Measurement Hallucinations for Large Language Models with Enhanced Reasoning[EB/OL]. 2026[2026-10-15]. https://arxiv.org/abs/2604.16929v1.</w:t>
      </w:r>
    </w:p>
    <w:p w14:paraId="77EC24E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[26]</w:t>
      </w:r>
      <w:r>
        <w:rPr>
          <w:rFonts w:ascii="Times New Roman" w:hAnsi="Times New Roman" w:eastAsia="华文中宋"/>
          <w:color w:val="000000"/>
          <w:sz w:val="18"/>
          <w:szCs w:val="18"/>
        </w:rPr>
        <w:tab/>
      </w:r>
      <w:r>
        <w:rPr>
          <w:rFonts w:ascii="Times New Roman" w:hAnsi="Times New Roman" w:eastAsia="华文中宋"/>
          <w:color w:val="000000"/>
          <w:sz w:val="18"/>
          <w:szCs w:val="18"/>
        </w:rPr>
        <w:t> Yuji Zhang, Qingyun Wang, Cheng Qian, et al. Atomic Reasoning for Scientific Table Claim Verification[EB/OL]. 2025[2026-10-15]. https://arxiv.org/abs/2506.06972v1.</w:t>
      </w:r>
    </w:p>
    <w:p w14:paraId="513217BE">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[27]</w:t>
      </w:r>
      <w:r>
        <w:rPr>
          <w:rFonts w:ascii="Times New Roman" w:hAnsi="Times New Roman" w:eastAsia="华文中宋"/>
          <w:color w:val="000000"/>
          <w:sz w:val="18"/>
          <w:szCs w:val="18"/>
        </w:rPr>
        <w:tab/>
      </w:r>
      <w:r>
        <w:rPr>
          <w:rFonts w:ascii="Times New Roman" w:hAnsi="Times New Roman" w:eastAsia="华文中宋"/>
          <w:color w:val="000000"/>
          <w:sz w:val="18"/>
          <w:szCs w:val="18"/>
        </w:rPr>
        <w:t> Yash Kumar Lal, Manikanta Bandham, Mohammad Saqib Hasan, et al. MuSciClaims: Multimodal Scientific Claim Verification[EB/OL]. 2025[2026-10-15]. https://arxiv.org/abs/2506.04585v2.</w:t>
      </w:r>
    </w:p>
    <w:p w14:paraId="2C904A65">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[28]</w:t>
      </w:r>
      <w:r>
        <w:rPr>
          <w:rFonts w:ascii="Times New Roman" w:hAnsi="Times New Roman" w:eastAsia="华文中宋"/>
          <w:color w:val="000000"/>
          <w:sz w:val="18"/>
          <w:szCs w:val="18"/>
        </w:rPr>
        <w:tab/>
      </w:r>
      <w:r>
        <w:rPr>
          <w:rFonts w:ascii="Times New Roman" w:hAnsi="Times New Roman" w:eastAsia="华文中宋"/>
          <w:color w:val="000000"/>
          <w:sz w:val="18"/>
          <w:szCs w:val="18"/>
        </w:rPr>
        <w:t> Jun He, Deying Yu. Stored Is Not Supported: Typed Provenance and Assertion Guardrails for Persistent AI Agents[EB/OL]. 2026[2026-10-15]. https://arxiv.org/abs/2609.02127v1.</w:t>
      </w:r>
    </w:p>
    <w:p w14:paraId="259D1C15">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[29]</w:t>
      </w:r>
      <w:r>
        <w:rPr>
          <w:rFonts w:ascii="Times New Roman" w:hAnsi="Times New Roman" w:eastAsia="华文中宋"/>
          <w:color w:val="000000"/>
          <w:sz w:val="18"/>
          <w:szCs w:val="18"/>
        </w:rPr>
        <w:tab/>
      </w:r>
      <w:r>
        <w:rPr>
          <w:rFonts w:ascii="Times New Roman" w:hAnsi="Times New Roman" w:eastAsia="华文中宋"/>
          <w:color w:val="000000"/>
          <w:sz w:val="18"/>
          <w:szCs w:val="18"/>
        </w:rPr>
        <w:t> Jie Huang, Xinyun Chen, Swaroop Mishra, et al. Large Language Models Cannot Self-Correct Reasoning Yet[EB/OL]. 2024[2026-10-15]. https://arxiv.org/abs/2310.01798v2.</w:t>
      </w:r>
    </w:p>
    <w:p w14:paraId="057B327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[30]</w:t>
      </w:r>
      <w:r>
        <w:rPr>
          <w:rFonts w:ascii="Times New Roman" w:hAnsi="Times New Roman" w:eastAsia="华文中宋"/>
          <w:color w:val="000000"/>
          <w:sz w:val="18"/>
          <w:szCs w:val="18"/>
        </w:rPr>
        <w:tab/>
      </w:r>
      <w:r>
        <w:rPr>
          <w:rFonts w:ascii="Times New Roman" w:hAnsi="Times New Roman" w:eastAsia="华文中宋"/>
          <w:color w:val="000000"/>
          <w:sz w:val="18"/>
          <w:szCs w:val="18"/>
        </w:rPr>
        <w:t> Diandian Guo, Cong Cao, Fangfang Yuan, et al. Self-Authored Verification Is Unreliable in Heuristic Self-Improving Agents[EB/OL]. 2026[2026-10-15]. https://arxiv.org/abs/2607.24300v1.</w:t>
      </w:r>
    </w:p>
    <w:p w14:paraId="2E5D587B">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[31]</w:t>
      </w:r>
      <w:r>
        <w:rPr>
          <w:rFonts w:ascii="Times New Roman" w:hAnsi="Times New Roman" w:eastAsia="华文中宋"/>
          <w:color w:val="000000"/>
          <w:sz w:val="18"/>
          <w:szCs w:val="18"/>
        </w:rPr>
        <w:tab/>
      </w:r>
      <w:r>
        <w:rPr>
          <w:rFonts w:ascii="Times New Roman" w:hAnsi="Times New Roman" w:eastAsia="华文中宋"/>
          <w:color w:val="000000"/>
          <w:sz w:val="18"/>
          <w:szCs w:val="18"/>
        </w:rPr>
        <w:t> Zhaxi Zerong, Chenxi Li, Xinyi Liu, et al. A Systematic Survey of Claim Verification: Corpora, Systems, and Case Studies[C]//Findings of the Association for Computational Linguistics: EMNLP 2025. 2025: 21452-21474. DOI: 10.18653/v1/2025.findings-emnlp.1170.</w:t>
      </w:r>
    </w:p>
    <w:p w14:paraId="3120C9F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[32]</w:t>
      </w:r>
      <w:r>
        <w:rPr>
          <w:rFonts w:ascii="Times New Roman" w:hAnsi="Times New Roman" w:eastAsia="华文中宋"/>
          <w:color w:val="000000"/>
          <w:sz w:val="18"/>
          <w:szCs w:val="18"/>
        </w:rPr>
        <w:tab/>
      </w:r>
      <w:r>
        <w:rPr>
          <w:rFonts w:ascii="Times New Roman" w:hAnsi="Times New Roman" w:eastAsia="华文中宋"/>
          <w:color w:val="000000"/>
          <w:sz w:val="18"/>
          <w:szCs w:val="18"/>
        </w:rPr>
        <w:t> Alphaeus Dmonte, Roland R Oruche, Marcos Zampieri, et al. Claim Verification in the Age of Large Language Models: A Survey[C]//Proceedings of the 64th Annual Meeting of the Association for Computational Linguistics (Volume 4: Student Research Workshop). 2026: 15-29. DOI: 10.18653/v1/2026.acl-srw.2.</w:t>
      </w:r>
    </w:p>
    <w:p w14:paraId="5DF849A4">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[33]</w:t>
      </w:r>
      <w:r>
        <w:rPr>
          <w:rFonts w:ascii="Times New Roman" w:hAnsi="Times New Roman" w:eastAsia="华文中宋"/>
          <w:color w:val="000000"/>
          <w:sz w:val="18"/>
          <w:szCs w:val="18"/>
        </w:rPr>
        <w:tab/>
      </w:r>
      <w:r>
        <w:rPr>
          <w:rFonts w:ascii="Times New Roman" w:hAnsi="Times New Roman" w:eastAsia="华文中宋"/>
          <w:color w:val="000000"/>
          <w:sz w:val="18"/>
          <w:szCs w:val="18"/>
        </w:rPr>
        <w:t> Khashayar Khajavi, Shaghayegh Sadeghi, Rise Adhikari, et al. CiteCheck: Retrieval-Grounded Detection of LLM Citation Hallucinations in Scientific Text[EB/OL]. 2026[2026-10-15]. https://arxiv.org/abs/2605.27700v2.</w:t>
      </w:r>
    </w:p>
    <w:p w14:paraId="06CAA2A5">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[34]</w:t>
      </w:r>
      <w:r>
        <w:rPr>
          <w:rFonts w:ascii="Times New Roman" w:hAnsi="Times New Roman" w:eastAsia="华文中宋"/>
          <w:color w:val="000000"/>
          <w:sz w:val="18"/>
          <w:szCs w:val="18"/>
        </w:rPr>
        <w:tab/>
      </w:r>
      <w:r>
        <w:rPr>
          <w:rFonts w:ascii="Times New Roman" w:hAnsi="Times New Roman" w:eastAsia="华文中宋"/>
          <w:color w:val="000000"/>
          <w:sz w:val="18"/>
          <w:szCs w:val="18"/>
        </w:rPr>
        <w:t> Shaghayegh Sadeghi, Khashayar Khajavi, Rise Adhikari, et al. DeepSciVerify: Verifying Scientific Claim--Citation Alignment via LLM-Driven Evidence Escalation[EB/OL]. 2026[2026-10-15]. https://arxiv.org/abs/2605.27710v1.</w:t>
      </w:r>
    </w:p>
    <w:p w14:paraId="4D8684C3">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[35]</w:t>
      </w:r>
      <w:r>
        <w:rPr>
          <w:rFonts w:ascii="Times New Roman" w:hAnsi="Times New Roman" w:eastAsia="华文中宋"/>
          <w:color w:val="000000"/>
          <w:sz w:val="18"/>
          <w:szCs w:val="18"/>
        </w:rPr>
        <w:tab/>
      </w:r>
      <w:r>
        <w:rPr>
          <w:rFonts w:ascii="Times New Roman" w:hAnsi="Times New Roman" w:eastAsia="华文中宋"/>
          <w:color w:val="000000"/>
          <w:sz w:val="18"/>
          <w:szCs w:val="18"/>
        </w:rPr>
        <w:t> Bhanu Prakash Vangala, Sajid Mahmud, Pawan Neupane, et al. HalluMat: Detecting Hallucinations in LLM-Generated Materials Science Content Through Multi-Stage Verification[EB/OL]. 2025[2026-10-15]. https://arxiv.org/abs/2512.22396v1.</w:t>
      </w:r>
    </w:p>
    <w:p w14:paraId="6650126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[36]</w:t>
      </w:r>
      <w:r>
        <w:rPr>
          <w:rFonts w:ascii="Times New Roman" w:hAnsi="Times New Roman" w:eastAsia="华文中宋"/>
          <w:color w:val="000000"/>
          <w:sz w:val="18"/>
          <w:szCs w:val="18"/>
        </w:rPr>
        <w:tab/>
      </w:r>
      <w:r>
        <w:rPr>
          <w:rFonts w:ascii="Times New Roman" w:hAnsi="Times New Roman" w:eastAsia="华文中宋"/>
          <w:color w:val="000000"/>
          <w:sz w:val="18"/>
          <w:szCs w:val="18"/>
        </w:rPr>
        <w:t> Dominic Okonkwo, Adetayo Okunoye, Ismailcem Budak Arpinar. HypoKG: Evidence-Disciplined Biomedical Hypothesis Generation Beyond Endpoint Knowledge[EB/OL]. 2026[2026-10-15]. https://arxiv.org/abs/2609.12260v1.</w:t>
      </w:r>
    </w:p>
    <w:p w14:paraId="5621338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[37]</w:t>
      </w:r>
      <w:r>
        <w:rPr>
          <w:rFonts w:ascii="Times New Roman" w:hAnsi="Times New Roman" w:eastAsia="华文中宋"/>
          <w:color w:val="000000"/>
          <w:sz w:val="18"/>
          <w:szCs w:val="18"/>
        </w:rPr>
        <w:tab/>
      </w:r>
      <w:r>
        <w:rPr>
          <w:rFonts w:ascii="Times New Roman" w:hAnsi="Times New Roman" w:eastAsia="华文中宋"/>
          <w:color w:val="000000"/>
          <w:sz w:val="18"/>
          <w:szCs w:val="18"/>
        </w:rPr>
        <w:t> Ninghan Zhong, Ahmet Ege Tanriverdi, Kaan Kale, et al. VeryTrace: Verifying Reasoning Traces through Compilable Formalism and Structured Verification[EB/OL]. 2026[2026-10-15]. https://arxiv.org/abs/2606.24124v1.</w:t>
      </w:r>
    </w:p>
    <w:p w14:paraId="0540ECFE">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[38]</w:t>
      </w:r>
      <w:r>
        <w:rPr>
          <w:rFonts w:ascii="Times New Roman" w:hAnsi="Times New Roman" w:eastAsia="华文中宋"/>
          <w:color w:val="000000"/>
          <w:sz w:val="18"/>
          <w:szCs w:val="18"/>
        </w:rPr>
        <w:tab/>
      </w:r>
      <w:r>
        <w:rPr>
          <w:rFonts w:ascii="Times New Roman" w:hAnsi="Times New Roman" w:eastAsia="华文中宋"/>
          <w:color w:val="000000"/>
          <w:sz w:val="18"/>
          <w:szCs w:val="18"/>
        </w:rPr>
        <w:t> Zhongxiang Sun, Jiahao Yan, Hongkang Zhao, et al. What Did the Agent Actually Do? Evidence-Grounded Oversight for Long-Horizon Agents[EB/OL]. 2026[2026-10-15]. https://arxiv.org/abs/2610.06406v1.</w:t>
      </w:r>
    </w:p>
    <w:p w14:paraId="7803DEA4">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[39]</w:t>
      </w:r>
      <w:r>
        <w:rPr>
          <w:rFonts w:ascii="Times New Roman" w:hAnsi="Times New Roman" w:eastAsia="华文中宋"/>
          <w:color w:val="000000"/>
          <w:sz w:val="18"/>
          <w:szCs w:val="18"/>
        </w:rPr>
        <w:tab/>
      </w:r>
      <w:r>
        <w:rPr>
          <w:rFonts w:ascii="Times New Roman" w:hAnsi="Times New Roman" w:eastAsia="华文中宋"/>
          <w:color w:val="000000"/>
          <w:sz w:val="18"/>
          <w:szCs w:val="18"/>
        </w:rPr>
        <w:t> Potsawee Manakul, Adian Liusie, Mark J. F. Gales. SelfCheckGPT: Zero-Resource Black-Box Hallucination Detection for Generative Large Language Models[EB/OL]. 2023[2026-10-15]. https://arxiv.org/abs/2303.08896v3.</w:t>
      </w:r>
    </w:p>
    <w:p w14:paraId="2A59DB41">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[40]</w:t>
      </w:r>
      <w:r>
        <w:rPr>
          <w:rFonts w:ascii="Times New Roman" w:hAnsi="Times New Roman" w:eastAsia="华文中宋"/>
          <w:color w:val="000000"/>
          <w:sz w:val="18"/>
          <w:szCs w:val="18"/>
        </w:rPr>
        <w:tab/>
      </w:r>
      <w:r>
        <w:rPr>
          <w:rFonts w:ascii="Times New Roman" w:hAnsi="Times New Roman" w:eastAsia="华文中宋"/>
          <w:color w:val="000000"/>
          <w:sz w:val="18"/>
          <w:szCs w:val="18"/>
        </w:rPr>
        <w:t> Akari Asai, Zeqiu Wu, Yizhong Wang, et al. Self-RAG: Learning to Retrieve, Generate, and Critique through Self-Reflection[EB/OL]. 2023[2026-10-15]. https://arxiv.org/abs/2310.11511v1.</w:t>
      </w:r>
    </w:p>
    <w:p w14:paraId="5C225870">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[41]</w:t>
      </w:r>
      <w:r>
        <w:rPr>
          <w:rFonts w:ascii="Times New Roman" w:hAnsi="Times New Roman" w:eastAsia="华文中宋"/>
          <w:color w:val="000000"/>
          <w:sz w:val="18"/>
          <w:szCs w:val="18"/>
        </w:rPr>
        <w:tab/>
      </w:r>
      <w:r>
        <w:rPr>
          <w:rFonts w:ascii="Times New Roman" w:hAnsi="Times New Roman" w:eastAsia="华文中宋"/>
          <w:color w:val="000000"/>
          <w:sz w:val="18"/>
          <w:szCs w:val="18"/>
        </w:rPr>
        <w:t> Aviral Kumar, Vincent Zhuang, Rishabh Agarwal, et al. Training Language Models to Self-Correct via Reinforcement Learning[EB/OL]. 2024[2026-10-15]. https://arxiv.org/abs/2409.12917v2.</w:t>
      </w:r>
    </w:p>
    <w:p w14:paraId="677C56FA">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[42]</w:t>
      </w:r>
      <w:r>
        <w:rPr>
          <w:rFonts w:ascii="Times New Roman" w:hAnsi="Times New Roman" w:eastAsia="华文中宋"/>
          <w:color w:val="000000"/>
          <w:sz w:val="18"/>
          <w:szCs w:val="18"/>
        </w:rPr>
        <w:tab/>
      </w:r>
      <w:r>
        <w:rPr>
          <w:rFonts w:ascii="Times New Roman" w:hAnsi="Times New Roman" w:eastAsia="华文中宋"/>
          <w:color w:val="000000"/>
          <w:sz w:val="18"/>
          <w:szCs w:val="18"/>
        </w:rPr>
        <w:t> Ayush Rajesh Jhaveri, Anthony GX-Chen, Ilia Sucholutsky, et al. Failing to Falsify: Evaluating and Mitigating Confirmation Bias in Language Models[EB/OL]. 2026[2026-10-15]. https://arxiv.org/abs/2604.02485v1.</w:t>
      </w:r>
    </w:p>
    <w:p w14:paraId="10D5D124">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[43]</w:t>
      </w:r>
      <w:r>
        <w:rPr>
          <w:rFonts w:ascii="Times New Roman" w:hAnsi="Times New Roman" w:eastAsia="华文中宋"/>
          <w:color w:val="000000"/>
          <w:sz w:val="18"/>
          <w:szCs w:val="18"/>
        </w:rPr>
        <w:tab/>
      </w:r>
      <w:r>
        <w:rPr>
          <w:rFonts w:ascii="Times New Roman" w:hAnsi="Times New Roman" w:eastAsia="华文中宋"/>
          <w:color w:val="000000"/>
          <w:sz w:val="18"/>
          <w:szCs w:val="18"/>
        </w:rPr>
        <w:t> Jakub Lála, Odhran O'Donoghue, Aleksandar Shtedritski, et al. PaperQA: Retrieval-Augmented Generative Agent for Scientific Research[EB/OL]. 2023[2026-10-15]. https://arxiv.org/abs/2312.07559v2.</w:t>
      </w:r>
    </w:p>
    <w:p w14:paraId="452EC7F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[44]</w:t>
      </w:r>
      <w:r>
        <w:rPr>
          <w:rFonts w:ascii="Times New Roman" w:hAnsi="Times New Roman" w:eastAsia="华文中宋"/>
          <w:color w:val="000000"/>
          <w:sz w:val="18"/>
          <w:szCs w:val="18"/>
        </w:rPr>
        <w:tab/>
      </w:r>
      <w:r>
        <w:rPr>
          <w:rFonts w:ascii="Times New Roman" w:hAnsi="Times New Roman" w:eastAsia="华文中宋"/>
          <w:color w:val="000000"/>
          <w:sz w:val="18"/>
          <w:szCs w:val="18"/>
        </w:rPr>
        <w:t> Akari Asai, Jacqueline He, Rulin Shao, et al. OpenScholar: Synthesizing Scientific Literature with Retrieval-augmented LMs[EB/OL]. 2024[2026-10-15]. https://arxiv.org/abs/2411.14199v1.</w:t>
      </w:r>
    </w:p>
    <w:p w14:paraId="520A00B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[45]</w:t>
      </w:r>
      <w:r>
        <w:rPr>
          <w:rFonts w:ascii="Times New Roman" w:hAnsi="Times New Roman" w:eastAsia="华文中宋"/>
          <w:color w:val="000000"/>
          <w:sz w:val="18"/>
          <w:szCs w:val="18"/>
        </w:rPr>
        <w:tab/>
      </w:r>
      <w:r>
        <w:rPr>
          <w:rFonts w:ascii="Times New Roman" w:hAnsi="Times New Roman" w:eastAsia="华文中宋"/>
          <w:color w:val="000000"/>
          <w:sz w:val="18"/>
          <w:szCs w:val="18"/>
        </w:rPr>
        <w:t> Michael D. Skarlinski, Sam Cox, Jon M. Laurent, et al. Language agents achieve superhuman synthesis of scientific knowledge[EB/OL]. 2024[2026-10-15]. https://arxiv.org/abs/2409.13740v2.</w:t>
      </w:r>
    </w:p>
    <w:p w14:paraId="4253661F">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[46]</w:t>
      </w:r>
      <w:r>
        <w:rPr>
          <w:rFonts w:ascii="Times New Roman" w:hAnsi="Times New Roman" w:eastAsia="华文中宋"/>
          <w:color w:val="000000"/>
          <w:sz w:val="18"/>
          <w:szCs w:val="18"/>
        </w:rPr>
        <w:tab/>
      </w:r>
      <w:r>
        <w:rPr>
          <w:rFonts w:ascii="Times New Roman" w:hAnsi="Times New Roman" w:eastAsia="华文中宋"/>
          <w:color w:val="000000"/>
          <w:sz w:val="18"/>
          <w:szCs w:val="18"/>
        </w:rPr>
        <w:t> Bing Yan, Gregory Wolfe, Stefano Martiniani, et al. AskChem: Claim-Centered Infrastructure for Chemistry Literature Synthesis[EB/OL]. 2026[2026-10-15]. https://arxiv.org/abs/2607.28618v1.</w:t>
      </w:r>
    </w:p>
    <w:p w14:paraId="005A18E3">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[47]</w:t>
      </w:r>
      <w:r>
        <w:rPr>
          <w:rFonts w:ascii="Times New Roman" w:hAnsi="Times New Roman" w:eastAsia="华文中宋"/>
          <w:color w:val="000000"/>
          <w:sz w:val="18"/>
          <w:szCs w:val="18"/>
        </w:rPr>
        <w:tab/>
      </w:r>
      <w:r>
        <w:rPr>
          <w:rFonts w:ascii="Times New Roman" w:hAnsi="Times New Roman" w:eastAsia="华文中宋"/>
          <w:color w:val="000000"/>
          <w:sz w:val="18"/>
          <w:szCs w:val="18"/>
        </w:rPr>
        <w:t> Weijia Shi, Xiaochuang Han, Mike Lewis, et al. Trusting Your Evidence: Hallucinate Less with Context-aware Decoding[EB/OL]. 2023[2026-10-15]. https://arxiv.org/abs/2305.14739v1.</w:t>
      </w:r>
    </w:p>
    <w:p w14:paraId="1649FC66">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[48]</w:t>
      </w:r>
      <w:r>
        <w:rPr>
          <w:rFonts w:ascii="Times New Roman" w:hAnsi="Times New Roman" w:eastAsia="华文中宋"/>
          <w:color w:val="000000"/>
          <w:sz w:val="18"/>
          <w:szCs w:val="18"/>
        </w:rPr>
        <w:tab/>
      </w:r>
      <w:r>
        <w:rPr>
          <w:rFonts w:ascii="Times New Roman" w:hAnsi="Times New Roman" w:eastAsia="华文中宋"/>
          <w:color w:val="000000"/>
          <w:sz w:val="18"/>
          <w:szCs w:val="18"/>
        </w:rPr>
        <w:t> Shrinidhi Kumbhar, Venkatesh Mishra, Kevin Coutinho, et al. Hypothesis Generation for Materials Discovery and Design Using Goal-Driven and Constraint-Guided LLM Agents[EB/OL]. 2025[2026-10-15]. https://arxiv.org/abs/2501.13299v2.</w:t>
      </w:r>
    </w:p>
    <w:p w14:paraId="3396AFD3">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[49]</w:t>
      </w:r>
      <w:r>
        <w:rPr>
          <w:rFonts w:ascii="Times New Roman" w:hAnsi="Times New Roman" w:eastAsia="华文中宋"/>
          <w:color w:val="000000"/>
          <w:sz w:val="18"/>
          <w:szCs w:val="18"/>
        </w:rPr>
        <w:tab/>
      </w:r>
      <w:r>
        <w:rPr>
          <w:rFonts w:ascii="Times New Roman" w:hAnsi="Times New Roman" w:eastAsia="华文中宋"/>
          <w:color w:val="000000"/>
          <w:sz w:val="18"/>
          <w:szCs w:val="18"/>
        </w:rPr>
        <w:t> Jie Ma, Binfei Chu, Jie Gao, et al. One Reflection Is Not Enough: Self-Correcting Autonomous Research via Multi-Hypothesis Failure Attribution[EB/OL]. 2026[2026-10-15]. https://arxiv.org/abs/2606.31478v1.</w:t>
      </w:r>
    </w:p>
    <w:p w14:paraId="32DC0F9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[50]</w:t>
      </w:r>
      <w:r>
        <w:rPr>
          <w:rFonts w:ascii="Times New Roman" w:hAnsi="Times New Roman" w:eastAsia="华文中宋"/>
          <w:color w:val="000000"/>
          <w:sz w:val="18"/>
          <w:szCs w:val="18"/>
        </w:rPr>
        <w:tab/>
      </w:r>
      <w:r>
        <w:rPr>
          <w:rFonts w:ascii="Times New Roman" w:hAnsi="Times New Roman" w:eastAsia="华文中宋"/>
          <w:color w:val="000000"/>
          <w:sz w:val="18"/>
          <w:szCs w:val="18"/>
        </w:rPr>
        <w:t> Enjun Du, Hange Zhou, Chenxu Du, et al. LedgerMind: A Structured Evidence Runtime for Auditable Multimodal Agent Trajectories[EB/OL]. 2026[2026-10-15]. https://arxiv.org/abs/2607.28374v1.</w:t>
      </w:r>
    </w:p>
    <w:p w14:paraId="67F6A26C">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[51]</w:t>
      </w:r>
      <w:r>
        <w:rPr>
          <w:rFonts w:ascii="Times New Roman" w:hAnsi="Times New Roman" w:eastAsia="华文中宋"/>
          <w:color w:val="000000"/>
          <w:sz w:val="18"/>
          <w:szCs w:val="18"/>
        </w:rPr>
        <w:tab/>
      </w:r>
      <w:r>
        <w:rPr>
          <w:rFonts w:ascii="Times New Roman" w:hAnsi="Times New Roman" w:eastAsia="华文中宋"/>
          <w:color w:val="000000"/>
          <w:sz w:val="18"/>
          <w:szCs w:val="18"/>
        </w:rPr>
        <w:t> Luyu Gao, Zhuyun Dai, Panupong Pasupat, et al. RARR: Researching and Revising What Language Models Say, Using Language Models[EB/OL]. 2023[2026-10-15]. https://arxiv.org/abs/2210.08726v3.</w:t>
      </w:r>
    </w:p>
    <w:p w14:paraId="2C979867">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[52]</w:t>
      </w:r>
      <w:r>
        <w:rPr>
          <w:rFonts w:ascii="Times New Roman" w:hAnsi="Times New Roman" w:eastAsia="华文中宋"/>
          <w:color w:val="000000"/>
          <w:sz w:val="18"/>
          <w:szCs w:val="18"/>
        </w:rPr>
        <w:tab/>
      </w:r>
      <w:r>
        <w:rPr>
          <w:rFonts w:ascii="Times New Roman" w:hAnsi="Times New Roman" w:eastAsia="华文中宋"/>
          <w:color w:val="000000"/>
          <w:sz w:val="18"/>
          <w:szCs w:val="18"/>
        </w:rPr>
        <w:t> Bohan Su, Pengze Li, Yuchen Lu, et al. PEARL: Auditable Repair for Scientific Reasoning Graph Extraction[EB/OL]. 2026[2026-10-15]. https://arxiv.org/abs/2607.17917v1.</w:t>
      </w:r>
    </w:p>
    <w:p w14:paraId="4AE415B6">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[53]</w:t>
      </w:r>
      <w:r>
        <w:rPr>
          <w:rFonts w:ascii="Times New Roman" w:hAnsi="Times New Roman" w:eastAsia="华文中宋"/>
          <w:color w:val="000000"/>
          <w:sz w:val="18"/>
          <w:szCs w:val="18"/>
        </w:rPr>
        <w:tab/>
      </w:r>
      <w:r>
        <w:rPr>
          <w:rFonts w:ascii="Times New Roman" w:hAnsi="Times New Roman" w:eastAsia="华文中宋"/>
          <w:color w:val="000000"/>
          <w:sz w:val="18"/>
          <w:szCs w:val="18"/>
        </w:rPr>
        <w:t> Akash Bonagiri, Devang Borkar, Gerard Janno Anderias, et al. CausalFlow: Causal Attribution and Counterfactual Repair for LLM Agent Failures[EB/OL]. 2026[2026-10-15]. https://arxiv.org/abs/2605.25338v1.</w:t>
      </w:r>
    </w:p>
    <w:p w14:paraId="464A4E2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[54]</w:t>
      </w:r>
      <w:r>
        <w:rPr>
          <w:rFonts w:ascii="Times New Roman" w:hAnsi="Times New Roman" w:eastAsia="华文中宋"/>
          <w:color w:val="000000"/>
          <w:sz w:val="18"/>
          <w:szCs w:val="18"/>
        </w:rPr>
        <w:tab/>
      </w:r>
      <w:r>
        <w:rPr>
          <w:rFonts w:ascii="Times New Roman" w:hAnsi="Times New Roman" w:eastAsia="华文中宋"/>
          <w:color w:val="000000"/>
          <w:sz w:val="18"/>
          <w:szCs w:val="18"/>
        </w:rPr>
        <w:t> Caili Yu, Yiqi Wang, Jiaqi Zhang, et al. From Faulty Memories to Corrected Actions: Dependency-Guided Rollback Repair for Memory-Augmented Agents[EB/OL]. 2026[2026-10-15]. https://arxiv.org/abs/2608.10502v1.</w:t>
      </w:r>
    </w:p>
    <w:p w14:paraId="7DFD47E5">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[55]</w:t>
      </w:r>
      <w:r>
        <w:rPr>
          <w:rFonts w:ascii="Times New Roman" w:hAnsi="Times New Roman" w:eastAsia="华文中宋"/>
          <w:color w:val="000000"/>
          <w:sz w:val="18"/>
          <w:szCs w:val="18"/>
        </w:rPr>
        <w:tab/>
      </w:r>
      <w:r>
        <w:rPr>
          <w:rFonts w:ascii="Times New Roman" w:hAnsi="Times New Roman" w:eastAsia="华文中宋"/>
          <w:color w:val="000000"/>
          <w:sz w:val="18"/>
          <w:szCs w:val="18"/>
        </w:rPr>
        <w:t> Irene Testini, José Hernández-Orallo, Lorenzo Pacchiardi. Measuring Data Science Automation: A Survey of Evaluation Tools for AI Assistants and Agents[EB/OL]. 2025[2026-10-15]. https://arxiv.org/abs/2506.08800v2.</w:t>
      </w:r>
    </w:p>
    <w:p w14:paraId="1650CAA2">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[56]</w:t>
      </w:r>
      <w:r>
        <w:rPr>
          <w:rFonts w:ascii="Times New Roman" w:hAnsi="Times New Roman" w:eastAsia="华文中宋"/>
          <w:color w:val="000000"/>
          <w:sz w:val="18"/>
          <w:szCs w:val="18"/>
        </w:rPr>
        <w:tab/>
      </w:r>
      <w:r>
        <w:rPr>
          <w:rFonts w:ascii="Times New Roman" w:hAnsi="Times New Roman" w:eastAsia="华文中宋"/>
          <w:color w:val="000000"/>
          <w:sz w:val="18"/>
          <w:szCs w:val="18"/>
        </w:rPr>
        <w:t> Deepa Tilwani, Yash Saxena, Seyedali Mohammadi, et al. Abstention vs. Hallucination: Benchmarking LLM Source Attribution for Scientific Citations[EB/OL]. 2026[2026-10-15]. https://arxiv.org/abs/2405.02228v5.</w:t>
      </w:r>
    </w:p>
    <w:p w14:paraId="441716FF">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[57]</w:t>
      </w:r>
      <w:r>
        <w:rPr>
          <w:rFonts w:ascii="Times New Roman" w:hAnsi="Times New Roman" w:eastAsia="华文中宋"/>
          <w:color w:val="000000"/>
          <w:sz w:val="18"/>
          <w:szCs w:val="18"/>
        </w:rPr>
        <w:tab/>
      </w:r>
      <w:r>
        <w:rPr>
          <w:rFonts w:ascii="Times New Roman" w:hAnsi="Times New Roman" w:eastAsia="华文中宋"/>
          <w:color w:val="000000"/>
          <w:sz w:val="18"/>
          <w:szCs w:val="18"/>
        </w:rPr>
        <w:t> Patrik Reizinger, Wieland Brendel. HALLMARK: Diagnosing Three Failure Modes in LLM Citation Verifiers[EB/OL]. 2026[2026-10-15]. https://arxiv.org/abs/2607.18360v1.</w:t>
      </w:r>
    </w:p>
    <w:p w14:paraId="4745CECA">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[58]</w:t>
      </w:r>
      <w:r>
        <w:rPr>
          <w:rFonts w:ascii="Times New Roman" w:hAnsi="Times New Roman" w:eastAsia="华文中宋"/>
          <w:color w:val="000000"/>
          <w:sz w:val="18"/>
          <w:szCs w:val="18"/>
        </w:rPr>
        <w:tab/>
      </w:r>
      <w:r>
        <w:rPr>
          <w:rFonts w:ascii="Times New Roman" w:hAnsi="Times New Roman" w:eastAsia="华文中宋"/>
          <w:color w:val="000000"/>
          <w:sz w:val="18"/>
          <w:szCs w:val="18"/>
        </w:rPr>
        <w:t> Cheng Niu, Yuanhao Wu, Juno Zhu, et al. RAGTruth: A Hallucination Corpus for Developing Trustworthy Retrieval-Augmented Language Models[EB/OL]. 2024[2026-10-15]. https://arxiv.org/abs/2401.00396v2.</w:t>
      </w:r>
    </w:p>
    <w:p w14:paraId="1C31481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[59]</w:t>
      </w:r>
      <w:r>
        <w:rPr>
          <w:rFonts w:ascii="Times New Roman" w:hAnsi="Times New Roman" w:eastAsia="华文中宋"/>
          <w:color w:val="000000"/>
          <w:sz w:val="18"/>
          <w:szCs w:val="18"/>
        </w:rPr>
        <w:tab/>
      </w:r>
      <w:r>
        <w:rPr>
          <w:rFonts w:ascii="Times New Roman" w:hAnsi="Times New Roman" w:eastAsia="华文中宋"/>
          <w:color w:val="000000"/>
          <w:sz w:val="18"/>
          <w:szCs w:val="18"/>
        </w:rPr>
        <w:t> Tzu-Ling Lin, Dong-Ting Yao, Teng-Fang Hsiao, et al. HalluPeer: A Taxonomy-driven Benchmark for Detecting Hallucinations in Scientific Peer Reviews[EB/OL]. 2026[2026-10-15]. https://arxiv.org/abs/2609.03580v1.</w:t>
      </w:r>
    </w:p>
    <w:p w14:paraId="01D9220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[60]</w:t>
      </w:r>
      <w:r>
        <w:rPr>
          <w:rFonts w:ascii="Times New Roman" w:hAnsi="Times New Roman" w:eastAsia="华文中宋"/>
          <w:color w:val="000000"/>
          <w:sz w:val="18"/>
          <w:szCs w:val="18"/>
        </w:rPr>
        <w:tab/>
      </w:r>
      <w:r>
        <w:rPr>
          <w:rFonts w:ascii="Times New Roman" w:hAnsi="Times New Roman" w:eastAsia="华文中宋"/>
          <w:color w:val="000000"/>
          <w:sz w:val="18"/>
          <w:szCs w:val="18"/>
        </w:rPr>
        <w:t> Fuyi Yang, Chenchen Ye, Mingyu Derek Ma, et al. BioVerge: A Comprehensive Benchmark and Study of Self-Evaluating Agents for Biomedical Hypothesis Generation[EB/OL]. 2025[2026-10-15]. https://arxiv.org/abs/2511.08866v1.</w:t>
      </w:r>
    </w:p>
    <w:p w14:paraId="1A7065C3">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[61]</w:t>
      </w:r>
      <w:r>
        <w:rPr>
          <w:rFonts w:ascii="Times New Roman" w:hAnsi="Times New Roman" w:eastAsia="华文中宋"/>
          <w:color w:val="000000"/>
          <w:sz w:val="18"/>
          <w:szCs w:val="18"/>
        </w:rPr>
        <w:tab/>
      </w:r>
      <w:r>
        <w:rPr>
          <w:rFonts w:ascii="Times New Roman" w:hAnsi="Times New Roman" w:eastAsia="华文中宋"/>
          <w:color w:val="000000"/>
          <w:sz w:val="18"/>
          <w:szCs w:val="18"/>
        </w:rPr>
        <w:t> Kexin Huang, Ying Jin, Ryan Li, et al. Automated Hypothesis Validation with Agentic Sequential Falsifications[EB/OL]. 2025[2026-10-15]. https://arxiv.org/abs/2502.09858v1.</w:t>
      </w:r>
    </w:p>
    <w:p w14:paraId="5C5B7056">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[62]</w:t>
      </w:r>
      <w:r>
        <w:rPr>
          <w:rFonts w:ascii="Times New Roman" w:hAnsi="Times New Roman" w:eastAsia="华文中宋"/>
          <w:color w:val="000000"/>
          <w:sz w:val="18"/>
          <w:szCs w:val="18"/>
        </w:rPr>
        <w:tab/>
      </w:r>
      <w:r>
        <w:rPr>
          <w:rFonts w:ascii="Times New Roman" w:hAnsi="Times New Roman" w:eastAsia="华文中宋"/>
          <w:color w:val="000000"/>
          <w:sz w:val="18"/>
          <w:szCs w:val="18"/>
        </w:rPr>
        <w:t> Abbi Abdel-Rehim, Hector Zenil, Oghenejokpeme Orhobor, et al. Scientific Hypothesis Generation by Large Language Models: Laboratory Validation in Breast Cancer Treatment[EB/OL]. 2025[2026-10-15]. https://arxiv.org/abs/2405.12258v3.</w:t>
      </w:r>
    </w:p>
    <w:p w14:paraId="7148E1A7">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[63]</w:t>
      </w:r>
      <w:r>
        <w:rPr>
          <w:rFonts w:ascii="Times New Roman" w:hAnsi="Times New Roman" w:eastAsia="华文中宋"/>
          <w:color w:val="000000"/>
          <w:sz w:val="18"/>
          <w:szCs w:val="18"/>
        </w:rPr>
        <w:tab/>
      </w:r>
      <w:r>
        <w:rPr>
          <w:rFonts w:ascii="Times New Roman" w:hAnsi="Times New Roman" w:eastAsia="华文中宋"/>
          <w:color w:val="000000"/>
          <w:sz w:val="18"/>
          <w:szCs w:val="18"/>
        </w:rPr>
        <w:t> Gilles Wainrib, Barbara Bodinier, Haitem Dakhli, et al. Can AI Scientist Agents Learn from Lab-in-the-Loop Feedback? Evidence from Iterative Perturbation Discovery[EB/OL]. 2026[2026-10-15]. https://arxiv.org/abs/2603.26177v1.</w:t>
      </w:r>
    </w:p>
    <w:p w14:paraId="5217A62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[64]</w:t>
      </w:r>
      <w:r>
        <w:rPr>
          <w:rFonts w:ascii="Times New Roman" w:hAnsi="Times New Roman" w:eastAsia="华文中宋"/>
          <w:color w:val="000000"/>
          <w:sz w:val="18"/>
          <w:szCs w:val="18"/>
        </w:rPr>
        <w:tab/>
      </w:r>
      <w:r>
        <w:rPr>
          <w:rFonts w:ascii="Times New Roman" w:hAnsi="Times New Roman" w:eastAsia="华文中宋"/>
          <w:color w:val="000000"/>
          <w:sz w:val="18"/>
          <w:szCs w:val="18"/>
        </w:rPr>
        <w:t> Odhran O'Donoghue, Aleksandar Shtedritski, John Ginger, et al. BioPlanner: Automatic Evaluation of LLMs on Protocol Planning in Biology[EB/OL]. 2023[2026-10-15]. https://arxiv.org/abs/2310.10632v1.</w:t>
      </w:r>
    </w:p>
    <w:p w14:paraId="5F940223">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[65]</w:t>
      </w:r>
      <w:r>
        <w:rPr>
          <w:rFonts w:ascii="Times New Roman" w:hAnsi="Times New Roman" w:eastAsia="华文中宋"/>
          <w:color w:val="000000"/>
          <w:sz w:val="18"/>
          <w:szCs w:val="18"/>
        </w:rPr>
        <w:tab/>
      </w:r>
      <w:r>
        <w:rPr>
          <w:rFonts w:ascii="Times New Roman" w:hAnsi="Times New Roman" w:eastAsia="华文中宋"/>
          <w:color w:val="000000"/>
          <w:sz w:val="18"/>
          <w:szCs w:val="18"/>
        </w:rPr>
        <w:t> Jon M. Laurent, Joseph D. Janizek, Michael Ruzo, et al. LAB-Bench: Measuring Capabilities of Language Models for Biology Research[EB/OL]. 2024[2026-10-15]. https://arxiv.org/abs/2407.10362v3.</w:t>
      </w:r>
    </w:p>
    <w:p w14:paraId="5DACAE96">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[66]</w:t>
      </w:r>
      <w:r>
        <w:rPr>
          <w:rFonts w:ascii="Times New Roman" w:hAnsi="Times New Roman" w:eastAsia="华文中宋"/>
          <w:color w:val="000000"/>
          <w:sz w:val="18"/>
          <w:szCs w:val="18"/>
        </w:rPr>
        <w:tab/>
      </w:r>
      <w:r>
        <w:rPr>
          <w:rFonts w:ascii="Times New Roman" w:hAnsi="Times New Roman" w:eastAsia="华文中宋"/>
          <w:color w:val="000000"/>
          <w:sz w:val="18"/>
          <w:szCs w:val="18"/>
        </w:rPr>
        <w:t> Bodhisattwa Prasad Majumder, Harshit Surana, Dhruv Agarwal, et al. DiscoveryBench: Towards Data-Driven Discovery with Large Language Models[EB/OL]. 2024[2026-10-15]. https://arxiv.org/abs/2407.01725v1.</w:t>
      </w:r>
    </w:p>
    <w:p w14:paraId="74C8ECD8">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[67]</w:t>
      </w:r>
      <w:r>
        <w:rPr>
          <w:rFonts w:ascii="Times New Roman" w:hAnsi="Times New Roman" w:eastAsia="华文中宋"/>
          <w:color w:val="000000"/>
          <w:sz w:val="18"/>
          <w:szCs w:val="18"/>
        </w:rPr>
        <w:tab/>
      </w:r>
      <w:r>
        <w:rPr>
          <w:rFonts w:ascii="Times New Roman" w:hAnsi="Times New Roman" w:eastAsia="华文中宋"/>
          <w:color w:val="000000"/>
          <w:sz w:val="18"/>
          <w:szCs w:val="18"/>
        </w:rPr>
        <w:t> Peter Jansen, Marc-Alexandre Côté, Tushar Khot, et al. DISCOVERYWORLD: A Virtual Environment for Developing and Evaluating Automated Scientific Discovery Agents[EB/OL]. 2024[2026-10-15]. https://arxiv.org/abs/2406.06769v2.</w:t>
      </w:r>
    </w:p>
    <w:p w14:paraId="2046B4C4">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[68]</w:t>
      </w:r>
      <w:r>
        <w:rPr>
          <w:rFonts w:ascii="Times New Roman" w:hAnsi="Times New Roman" w:eastAsia="华文中宋"/>
          <w:color w:val="000000"/>
          <w:sz w:val="18"/>
          <w:szCs w:val="18"/>
        </w:rPr>
        <w:tab/>
      </w:r>
      <w:r>
        <w:rPr>
          <w:rFonts w:ascii="Times New Roman" w:hAnsi="Times New Roman" w:eastAsia="华文中宋"/>
          <w:color w:val="000000"/>
          <w:sz w:val="18"/>
          <w:szCs w:val="18"/>
        </w:rPr>
        <w:t> Ziru Chen, Shijie Chen, Yuting Ning, et al. ScienceAgentBench: Toward Rigorous Assessment of Language Agents for Data-Driven Scientific Discovery[EB/OL]. 2025[2026-10-15]. https://arxiv.org/abs/2410.05080v3.</w:t>
      </w:r>
    </w:p>
    <w:p w14:paraId="6D41A24B">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[69]</w:t>
      </w:r>
      <w:r>
        <w:rPr>
          <w:rFonts w:ascii="Times New Roman" w:hAnsi="Times New Roman" w:eastAsia="华文中宋"/>
          <w:color w:val="000000"/>
          <w:sz w:val="18"/>
          <w:szCs w:val="18"/>
        </w:rPr>
        <w:tab/>
      </w:r>
      <w:r>
        <w:rPr>
          <w:rFonts w:ascii="Times New Roman" w:hAnsi="Times New Roman" w:eastAsia="华文中宋"/>
          <w:color w:val="000000"/>
          <w:sz w:val="18"/>
          <w:szCs w:val="18"/>
        </w:rPr>
        <w:t> Xinshun Feng, Ziqi Miao, Lijun Li, et al. Tracing the Cascade: A Topology-Aware Evaluation Framework for Scientific Agent Hallucinations[EB/OL]. 2026[2026-10-15]. https://arxiv.org/abs/2608.00711v1.</w:t>
      </w:r>
    </w:p>
    <w:p w14:paraId="3AA06FB0">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[70]</w:t>
      </w:r>
      <w:r>
        <w:rPr>
          <w:rFonts w:ascii="Times New Roman" w:hAnsi="Times New Roman" w:eastAsia="华文中宋"/>
          <w:color w:val="000000"/>
          <w:sz w:val="18"/>
          <w:szCs w:val="18"/>
        </w:rPr>
        <w:tab/>
      </w:r>
      <w:r>
        <w:rPr>
          <w:rFonts w:ascii="Times New Roman" w:hAnsi="Times New Roman" w:eastAsia="华文中宋"/>
          <w:color w:val="000000"/>
          <w:sz w:val="18"/>
          <w:szCs w:val="18"/>
        </w:rPr>
        <w:t> TruthInsight-AI. TruthInsightBench: An Evidence-Grounded Benchmark for Automated Evaluation of Open-Ended Scientific Discovery Agents[EB/OL]. 2026[2026-10-15]. https://arxiv.org/abs/2609.05079v2.</w:t>
      </w:r>
    </w:p>
    <w:p w14:paraId="42319C4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[71]</w:t>
      </w:r>
      <w:r>
        <w:rPr>
          <w:rFonts w:ascii="Times New Roman" w:hAnsi="Times New Roman" w:eastAsia="华文中宋"/>
          <w:color w:val="000000"/>
          <w:sz w:val="18"/>
          <w:szCs w:val="18"/>
        </w:rPr>
        <w:tab/>
      </w:r>
      <w:r>
        <w:rPr>
          <w:rFonts w:ascii="Times New Roman" w:hAnsi="Times New Roman" w:eastAsia="华文中宋"/>
          <w:color w:val="000000"/>
          <w:sz w:val="18"/>
          <w:szCs w:val="18"/>
        </w:rPr>
        <w:t> Sewon Min, Kalpesh Krishna, Xinxi Lyu, et al. FActScore: Fine-grained Atomic Evaluation of Factual Precision in Long Form Text Generation[EB/OL]. 2023[2026-10-15]. https://arxiv.org/abs/2305.14251v2.</w:t>
      </w:r>
    </w:p>
    <w:p w14:paraId="68221A1D">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[72]</w:t>
      </w:r>
      <w:r>
        <w:rPr>
          <w:rFonts w:ascii="Times New Roman" w:hAnsi="Times New Roman" w:eastAsia="华文中宋"/>
          <w:color w:val="000000"/>
          <w:sz w:val="18"/>
          <w:szCs w:val="18"/>
        </w:rPr>
        <w:tab/>
      </w:r>
      <w:r>
        <w:rPr>
          <w:rFonts w:ascii="Times New Roman" w:hAnsi="Times New Roman" w:eastAsia="华文中宋"/>
          <w:color w:val="000000"/>
          <w:sz w:val="18"/>
          <w:szCs w:val="18"/>
        </w:rPr>
        <w:t> Tianyu Gao, Howard Yen, Jiatong Yu, et al. Enabling Large Language Models to Generate Text with Citations[EB/OL]. 2023[2026-10-15]. https://arxiv.org/abs/2305.14627v2.</w:t>
      </w:r>
    </w:p>
    <w:p w14:paraId="08AA8180">
      <w:pPr>
        <w:pStyle w:val="25"/>
        <w:keepNext/>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[73]</w:t>
      </w:r>
      <w:r>
        <w:rPr>
          <w:rFonts w:ascii="Times New Roman" w:hAnsi="Times New Roman" w:eastAsia="华文中宋"/>
          <w:color w:val="000000"/>
          <w:sz w:val="18"/>
          <w:szCs w:val="18"/>
        </w:rPr>
        <w:tab/>
      </w:r>
      <w:r>
        <w:rPr>
          <w:rFonts w:ascii="Times New Roman" w:hAnsi="Times New Roman" w:eastAsia="华文中宋"/>
          <w:color w:val="000000"/>
          <w:sz w:val="18"/>
          <w:szCs w:val="18"/>
        </w:rPr>
        <w:t> 叶旭明, 周健, 柏澍晗, 等. 大语言模型推理优化方法综述[J/OL]. 计算机研究与发展, 2026(2026-08-19)[2026-10-15]. https://crad.ict.ac.cn/article/doi/10.7544/issn1000-1239.202660068. DOI: 10.7544/issn1000-1239.202660068.</w:t>
      </w:r>
    </w:p>
    <w:p w14:paraId="03807396">
      <w:pPr>
        <w:pStyle w:val="25"/>
        <w:keepNext w:val="0"/>
        <w:keepLines/>
        <w:widowControl/>
        <w:tabs>
          <w:tab w:val="left" w:pos="510"/>
        </w:tabs>
        <w:spacing w:before="0" w:after="0" w:line="320" w:lineRule="exact"/>
        <w:ind w:left="510" w:hanging="510"/>
        <w:jc w:val="left"/>
      </w:pPr>
      <w:r>
        <w:rPr>
          <w:rFonts w:ascii="Times New Roman" w:hAnsi="Times New Roman" w:eastAsia="华文中宋"/>
          <w:color w:val="000000"/>
          <w:sz w:val="18"/>
          <w:szCs w:val="18"/>
        </w:rPr>
        <w:t>YE Xuming, ZHOU Jian, BAI Shuhan, et al. Survey on inference optimization for large language models[J/OL]. Journal of Computer Research and Development, 2026(2026-08-19)[2026-10-15]. https://crad.ict.ac.cn/article/doi/10.7544/issn1000-1239.202660068.</w:t>
      </w:r>
    </w:p>
    <w:p w14:paraId="3A91E0F4">
      <w:pPr>
        <w:keepNext w:val="0"/>
        <w:widowControl/>
        <w:spacing w:before="0" w:after="0" w:line="20" w:lineRule="exact"/>
        <w:ind w:left="0" w:right="0" w:firstLine="0" w:firstLineChars="0"/>
        <w:sectPr>
          <w:type w:val="continuous"/>
          <w:pgSz w:w="11906" w:h="16838"/>
          <w:pgMar w:top="1191" w:right="1020" w:bottom="1757" w:left="1134" w:header="850" w:footer="567" w:gutter="0"/>
          <w:cols w:space="420" w:num="2"/>
          <w:docGrid w:linePitch="312" w:charSpace="-2601"/>
        </w:sectPr>
      </w:pPr>
    </w:p>
    <w:p w14:paraId="76CAF161">
      <w:pPr>
        <w:pStyle w:val="16"/>
        <w:keepNext/>
        <w:widowControl/>
        <w:spacing w:before="120" w:after="0" w:line="260" w:lineRule="atLeast"/>
        <w:ind w:left="0" w:right="0" w:firstLine="0" w:firstLineChars="0"/>
      </w:pPr>
      <w:r>
        <w:rPr>
          <w:rFonts w:ascii="Times New Roman" w:hAnsi="Times New Roman" w:eastAsia="华文中宋"/>
          <w:b/>
          <w:color w:val="000000"/>
          <w:sz w:val="18"/>
          <w:szCs w:val="18"/>
        </w:rPr>
        <w:t>作者联系方式（投稿信息）</w:t>
      </w:r>
    </w:p>
    <w:p w14:paraId="59FCA130">
      <w:pPr>
        <w:pStyle w:val="16"/>
        <w:keepNext w:val="0"/>
        <w:widowControl/>
        <w:spacing w:before="0" w:after="0" w:line="260" w:lineRule="atLeast"/>
        <w:ind w:left="0" w:right="0" w:firstLine="0" w:firstLineChars="0"/>
      </w:pPr>
      <w:r>
        <w:rPr>
          <w:rFonts w:ascii="Times New Roman" w:hAnsi="Times New Roman" w:eastAsia="华文中宋"/>
          <w:b w:val="0"/>
          <w:color w:val="000000"/>
          <w:sz w:val="18"/>
          <w:szCs w:val="18"/>
        </w:rPr>
        <w:t>第一作者：【姓名、长期有效的手机/电话、E-mail待补】</w:t>
      </w:r>
    </w:p>
    <w:p w14:paraId="17631763">
      <w:pPr>
        <w:pStyle w:val="16"/>
        <w:keepNext w:val="0"/>
        <w:widowControl/>
        <w:spacing w:before="0" w:after="0" w:line="260" w:lineRule="atLeast"/>
        <w:ind w:left="0" w:right="0" w:firstLine="0" w:firstLineChars="0"/>
      </w:pPr>
      <w:r>
        <w:rPr>
          <w:rFonts w:ascii="Times New Roman" w:hAnsi="Times New Roman" w:eastAsia="华文中宋"/>
          <w:b w:val="0"/>
          <w:color w:val="000000"/>
          <w:sz w:val="18"/>
          <w:szCs w:val="18"/>
        </w:rPr>
        <w:t>第二作者：【如适用，姓名、长期有效的手机/电话、E-mail待补】</w:t>
      </w:r>
    </w:p>
    <w:p w14:paraId="5104937B">
      <w:pPr>
        <w:pStyle w:val="16"/>
        <w:keepNext w:val="0"/>
        <w:widowControl/>
        <w:spacing w:before="0" w:after="0" w:line="260" w:lineRule="atLeast"/>
        <w:ind w:left="0" w:right="0" w:firstLine="0" w:firstLineChars="0"/>
      </w:pPr>
      <w:r>
        <w:rPr>
          <w:rFonts w:ascii="Times New Roman" w:hAnsi="Times New Roman" w:eastAsia="华文中宋"/>
          <w:b w:val="0"/>
          <w:color w:val="000000"/>
          <w:sz w:val="18"/>
          <w:szCs w:val="18"/>
        </w:rPr>
        <w:t>第三作者：【如适用，姓名、长期有效的手机/电话、E-mail待补】</w:t>
      </w:r>
    </w:p>
    <w:sectPr>
      <w:type w:val="continuous"/>
      <w:pgSz w:w="11906" w:h="16838"/>
      <w:pgMar w:top="1191" w:right="1020" w:bottom="1757" w:left="1134" w:header="850" w:footer="567" w:gutter="0"/>
      <w:cols w:space="420" w:num="1"/>
      <w:docGrid w:linePitch="312" w:charSpace="-260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Verdana">
    <w:panose1 w:val="020B0604030504040204"/>
    <w:charset w:val="00"/>
    <w:family w:val="auto"/>
    <w:pitch w:val="default"/>
    <w:sig w:usb0="A00006FF" w:usb1="4000205B" w:usb2="00000010" w:usb3="00000000" w:csb0="2000019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BED2D">
    <w:pPr>
      <w:widowControl/>
      <w:pBdr>
        <w:top w:val="single" w:color="000000" w:sz="4" w:space="4"/>
      </w:pBdr>
      <w:spacing w:before="0" w:after="0" w:line="210" w:lineRule="exact"/>
      <w:ind w:left="0" w:right="0" w:firstLine="0" w:firstLineChars="0"/>
      <w:jc w:val="left"/>
    </w:pPr>
    <w:r>
      <w:rPr>
        <w:rFonts w:ascii="Times New Roman" w:hAnsi="Times New Roman" w:eastAsia="华文中宋"/>
        <w:color w:val="000000"/>
        <w:sz w:val="16"/>
        <w:szCs w:val="16"/>
      </w:rPr>
      <w:t>收稿日期：　　　　　　　　修回日期：</w:t>
    </w:r>
  </w:p>
  <w:p w14:paraId="149AC79E">
    <w:pPr>
      <w:widowControl/>
      <w:spacing w:before="0" w:after="0" w:line="210" w:lineRule="exact"/>
      <w:ind w:left="0" w:right="0" w:firstLine="0" w:firstLineChars="0"/>
      <w:jc w:val="left"/>
    </w:pPr>
    <w:r>
      <w:rPr>
        <w:rFonts w:ascii="Times New Roman" w:hAnsi="Times New Roman" w:eastAsia="华文中宋"/>
        <w:b/>
        <w:color w:val="000000"/>
        <w:sz w:val="16"/>
        <w:szCs w:val="16"/>
      </w:rPr>
      <w:t>作者简介：</w:t>
    </w:r>
    <w:r>
      <w:rPr>
        <w:rFonts w:ascii="Times New Roman" w:hAnsi="Times New Roman" w:eastAsia="华文中宋"/>
        <w:color w:val="000000"/>
        <w:sz w:val="16"/>
        <w:szCs w:val="16"/>
      </w:rPr>
      <w:t>【第一作者姓名、出生年份、性别、学位/职称、主研方向及其他作者学位/职称待补】</w:t>
    </w:r>
  </w:p>
  <w:p w14:paraId="5A1A39D7">
    <w:pPr>
      <w:widowControl/>
      <w:spacing w:before="0" w:after="0" w:line="210" w:lineRule="exact"/>
      <w:ind w:left="0" w:right="0" w:firstLine="0" w:firstLineChars="0"/>
      <w:jc w:val="left"/>
    </w:pPr>
    <w:r>
      <w:rPr>
        <w:rFonts w:ascii="Times New Roman" w:hAnsi="Times New Roman" w:eastAsia="华文中宋"/>
        <w:b/>
        <w:color w:val="000000"/>
        <w:sz w:val="16"/>
        <w:szCs w:val="16"/>
      </w:rPr>
      <w:t>通信作者E-mail：</w:t>
    </w:r>
    <w:r>
      <w:rPr>
        <w:rFonts w:ascii="Times New Roman" w:hAnsi="Times New Roman" w:eastAsia="华文中宋"/>
        <w:color w:val="000000"/>
        <w:sz w:val="16"/>
        <w:szCs w:val="16"/>
      </w:rPr>
      <w:t>【待补，与署名中的唯一通信作者一致】</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360A1">
    <w:pPr>
      <w:widowControl/>
      <w:pBdr>
        <w:bottom w:val="single" w:color="000000" w:sz="4" w:space="2"/>
      </w:pBdr>
      <w:tabs>
        <w:tab w:val="right" w:pos="9609"/>
      </w:tabs>
      <w:spacing w:before="0" w:after="0" w:line="200" w:lineRule="atLeast"/>
      <w:ind w:left="0" w:right="0" w:firstLine="0" w:firstLineChars="0"/>
      <w:jc w:val="left"/>
    </w:pPr>
    <w:r>
      <w:rPr>
        <w:rFonts w:ascii="Times New Roman" w:hAnsi="Times New Roman" w:eastAsia="华文中宋"/>
        <w:color w:val="000000"/>
        <w:sz w:val="16"/>
        <w:szCs w:val="16"/>
      </w:rPr>
      <w:t>计算机工程</w:t>
    </w:r>
    <w:r>
      <w:tab/>
    </w:r>
    <w:r>
      <w:fldChar w:fldCharType="begin"/>
    </w:r>
    <w:r>
      <w:instrText xml:space="preserve">PAGE</w:instrText>
    </w:r>
    <w:r>
      <w:fldChar w:fldCharType="separate"/>
    </w:r>
    <w:r>
      <w:t>1</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A4A53">
    <w:pPr>
      <w:widowControl/>
      <w:pBdr>
        <w:bottom w:val="single" w:color="000000" w:sz="4" w:space="2"/>
      </w:pBdr>
      <w:tabs>
        <w:tab w:val="right" w:pos="9609"/>
      </w:tabs>
      <w:spacing w:before="0" w:after="0" w:line="200" w:lineRule="atLeast"/>
      <w:ind w:left="0" w:right="0" w:firstLine="0" w:firstLineChars="0"/>
      <w:jc w:val="left"/>
    </w:pPr>
    <w:r>
      <w:rPr>
        <w:rFonts w:hint="eastAsia" w:eastAsia="宋体"/>
        <w:lang w:eastAsia="zh-CN"/>
      </w:rPr>
      <w:t>第</w:t>
    </w:r>
    <w:r>
      <w:rPr>
        <w:rFonts w:hint="eastAsia" w:ascii="Times New Roman" w:eastAsia="宋体"/>
        <w:lang w:val="en-US" w:eastAsia="zh-CN"/>
      </w:rPr>
      <w:t xml:space="preserve">X卷 第X期 / XX年X月 / </w:t>
    </w:r>
    <w:r>
      <w:rPr>
        <w:rFonts w:ascii="Times New Roman" w:hAnsi="Times New Roman" w:eastAsia="华文中宋"/>
        <w:color w:val="000000"/>
        <w:sz w:val="16"/>
        <w:szCs w:val="16"/>
      </w:rPr>
      <w:t>计算机工程</w:t>
    </w:r>
    <w:r>
      <w:tab/>
    </w:r>
    <w:r>
      <w:fldChar w:fldCharType="begin"/>
    </w:r>
    <w:r>
      <w:instrText xml:space="preserve">PAGE</w:instrText>
    </w:r>
    <w:r>
      <w:fldChar w:fldCharType="separate"/>
    </w:r>
    <w: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3E4003"/>
    <w:rsid w:val="2B0826B5"/>
    <w:rsid w:val="3D8A714B"/>
    <w:rsid w:val="4049295F"/>
    <w:rsid w:val="768F25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spacing w:before="120" w:beforeLines="50" w:after="120" w:afterLines="50" w:line="300" w:lineRule="exact"/>
      <w:jc w:val="left"/>
      <w:outlineLvl w:val="0"/>
    </w:pPr>
    <w:rPr>
      <w:rFonts w:eastAsia="华文中宋"/>
      <w:b/>
      <w:bCs/>
      <w:spacing w:val="4"/>
      <w:w w:val="95"/>
      <w:sz w:val="24"/>
    </w:rPr>
  </w:style>
  <w:style w:type="paragraph" w:styleId="3">
    <w:name w:val="heading 2"/>
    <w:basedOn w:val="1"/>
    <w:next w:val="1"/>
    <w:qFormat/>
    <w:uiPriority w:val="0"/>
    <w:pPr>
      <w:spacing w:before="50" w:beforeLines="50" w:line="300" w:lineRule="exact"/>
      <w:jc w:val="left"/>
      <w:outlineLvl w:val="1"/>
    </w:pPr>
    <w:rPr>
      <w:rFonts w:eastAsia="华文中宋"/>
      <w:b/>
      <w:bCs/>
      <w:spacing w:val="4"/>
      <w:w w:val="95"/>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alloon Text"/>
    <w:basedOn w:val="1"/>
    <w:link w:val="13"/>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8">
    <w:name w:val="Table Simple 1"/>
    <w:basedOn w:val="7"/>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10">
    <w:name w:val="page number"/>
    <w:basedOn w:val="9"/>
    <w:qFormat/>
    <w:uiPriority w:val="0"/>
  </w:style>
  <w:style w:type="character" w:styleId="11">
    <w:name w:val="Hyperlink"/>
    <w:basedOn w:val="9"/>
    <w:qFormat/>
    <w:uiPriority w:val="0"/>
    <w:rPr>
      <w:color w:val="0000FF"/>
      <w:u w:val="single"/>
    </w:rPr>
  </w:style>
  <w:style w:type="character" w:customStyle="1" w:styleId="12">
    <w:name w:val="标题 1 字符"/>
    <w:link w:val="2"/>
    <w:qFormat/>
    <w:uiPriority w:val="0"/>
    <w:rPr>
      <w:rFonts w:eastAsia="华文中宋"/>
      <w:b/>
      <w:bCs/>
      <w:spacing w:val="4"/>
      <w:w w:val="95"/>
      <w:kern w:val="2"/>
      <w:sz w:val="24"/>
      <w:szCs w:val="24"/>
      <w:lang w:val="en-US" w:eastAsia="zh-CN" w:bidi="ar-SA"/>
    </w:rPr>
  </w:style>
  <w:style w:type="character" w:customStyle="1" w:styleId="13">
    <w:name w:val="批注框文本 字符"/>
    <w:basedOn w:val="9"/>
    <w:link w:val="4"/>
    <w:qFormat/>
    <w:uiPriority w:val="0"/>
    <w:rPr>
      <w:kern w:val="2"/>
      <w:sz w:val="18"/>
      <w:szCs w:val="18"/>
    </w:rPr>
  </w:style>
  <w:style w:type="character" w:customStyle="1" w:styleId="14">
    <w:name w:val="页眉 字符"/>
    <w:link w:val="6"/>
    <w:qFormat/>
    <w:uiPriority w:val="0"/>
    <w:rPr>
      <w:rFonts w:eastAsia="宋体"/>
      <w:kern w:val="2"/>
      <w:sz w:val="18"/>
      <w:szCs w:val="18"/>
      <w:lang w:val="en-US" w:eastAsia="zh-CN" w:bidi="ar-SA"/>
    </w:rPr>
  </w:style>
  <w:style w:type="character" w:customStyle="1" w:styleId="15">
    <w:name w:val="&lt;e摘要关键词基金&gt; Char"/>
    <w:link w:val="16"/>
    <w:qFormat/>
    <w:uiPriority w:val="0"/>
    <w:rPr>
      <w:rFonts w:eastAsia="华文中宋"/>
      <w:kern w:val="2"/>
      <w:sz w:val="18"/>
      <w:szCs w:val="24"/>
      <w:lang w:val="en-US" w:eastAsia="zh-CN" w:bidi="ar-SA"/>
    </w:rPr>
  </w:style>
  <w:style w:type="paragraph" w:customStyle="1" w:styleId="16">
    <w:name w:val="&lt;e摘要关键词基金&gt;"/>
    <w:basedOn w:val="1"/>
    <w:link w:val="15"/>
    <w:qFormat/>
    <w:uiPriority w:val="0"/>
    <w:pPr>
      <w:spacing w:line="300" w:lineRule="exact"/>
    </w:pPr>
    <w:rPr>
      <w:rFonts w:eastAsia="华文中宋"/>
      <w:sz w:val="18"/>
    </w:rPr>
  </w:style>
  <w:style w:type="character" w:customStyle="1" w:styleId="17">
    <w:name w:val="5.5.5.5 Char"/>
    <w:link w:val="18"/>
    <w:qFormat/>
    <w:uiPriority w:val="0"/>
    <w:rPr>
      <w:rFonts w:eastAsia="宋体"/>
      <w:sz w:val="24"/>
      <w:szCs w:val="24"/>
      <w:lang w:val="en-US" w:eastAsia="zh-CN" w:bidi="ar-SA"/>
    </w:rPr>
  </w:style>
  <w:style w:type="paragraph" w:customStyle="1" w:styleId="18">
    <w:name w:val="5.5.5.5"/>
    <w:basedOn w:val="1"/>
    <w:link w:val="17"/>
    <w:qFormat/>
    <w:uiPriority w:val="0"/>
    <w:pPr>
      <w:adjustRightInd w:val="0"/>
      <w:spacing w:before="50" w:beforeLines="50" w:after="50" w:afterLines="50" w:line="300" w:lineRule="auto"/>
      <w:jc w:val="right"/>
      <w:textAlignment w:val="baseline"/>
    </w:pPr>
    <w:rPr>
      <w:kern w:val="0"/>
      <w:sz w:val="24"/>
    </w:rPr>
  </w:style>
  <w:style w:type="character" w:customStyle="1" w:styleId="19">
    <w:name w:val="&lt;f文章正文&gt; Char"/>
    <w:link w:val="20"/>
    <w:qFormat/>
    <w:uiPriority w:val="0"/>
    <w:rPr>
      <w:rFonts w:eastAsia="华文中宋"/>
      <w:spacing w:val="6"/>
      <w:w w:val="95"/>
      <w:kern w:val="2"/>
      <w:sz w:val="21"/>
      <w:szCs w:val="21"/>
      <w:lang w:val="en-US" w:eastAsia="zh-CN" w:bidi="ar-SA"/>
    </w:rPr>
  </w:style>
  <w:style w:type="paragraph" w:customStyle="1" w:styleId="20">
    <w:name w:val="&lt;f文章正文&gt;"/>
    <w:basedOn w:val="1"/>
    <w:link w:val="19"/>
    <w:qFormat/>
    <w:uiPriority w:val="0"/>
    <w:pPr>
      <w:spacing w:line="300" w:lineRule="atLeast"/>
      <w:ind w:firstLine="200" w:firstLineChars="200"/>
    </w:pPr>
    <w:rPr>
      <w:rFonts w:eastAsia="华文中宋"/>
      <w:spacing w:val="6"/>
      <w:w w:val="95"/>
      <w:szCs w:val="21"/>
    </w:rPr>
  </w:style>
  <w:style w:type="character" w:customStyle="1" w:styleId="21">
    <w:name w:val="空一点 Char"/>
    <w:link w:val="22"/>
    <w:qFormat/>
    <w:uiPriority w:val="0"/>
    <w:rPr>
      <w:rFonts w:eastAsia="华文中宋"/>
      <w:spacing w:val="6"/>
      <w:w w:val="95"/>
      <w:kern w:val="2"/>
      <w:sz w:val="10"/>
      <w:szCs w:val="10"/>
      <w:lang w:val="en-US" w:eastAsia="zh-CN" w:bidi="ar-SA"/>
    </w:rPr>
  </w:style>
  <w:style w:type="paragraph" w:customStyle="1" w:styleId="22">
    <w:name w:val="空一点"/>
    <w:basedOn w:val="20"/>
    <w:next w:val="20"/>
    <w:link w:val="21"/>
    <w:qFormat/>
    <w:uiPriority w:val="0"/>
    <w:pPr>
      <w:ind w:firstLine="206"/>
    </w:pPr>
    <w:rPr>
      <w:sz w:val="10"/>
      <w:szCs w:val="10"/>
    </w:rPr>
  </w:style>
  <w:style w:type="paragraph" w:customStyle="1" w:styleId="23">
    <w:name w:val="&lt;v表名&gt;"/>
    <w:basedOn w:val="20"/>
    <w:next w:val="20"/>
    <w:qFormat/>
    <w:uiPriority w:val="0"/>
    <w:pPr>
      <w:shd w:val="solid" w:color="FFFFFF" w:fill="FFFFFF"/>
      <w:spacing w:before="30" w:beforeLines="30" w:line="0" w:lineRule="atLeast"/>
      <w:ind w:firstLine="0" w:firstLineChars="0"/>
      <w:jc w:val="center"/>
    </w:pPr>
    <w:rPr>
      <w:b/>
      <w:bCs/>
      <w:sz w:val="18"/>
    </w:rPr>
  </w:style>
  <w:style w:type="paragraph" w:customStyle="1" w:styleId="24">
    <w:name w:val=" Char Char Char Char"/>
    <w:basedOn w:val="1"/>
    <w:qFormat/>
    <w:uiPriority w:val="0"/>
    <w:pPr>
      <w:widowControl/>
      <w:spacing w:after="160" w:line="240" w:lineRule="exact"/>
      <w:jc w:val="left"/>
    </w:pPr>
    <w:rPr>
      <w:rFonts w:ascii="Verdana" w:hAnsi="Verdana"/>
      <w:kern w:val="0"/>
      <w:sz w:val="20"/>
      <w:szCs w:val="21"/>
      <w:lang w:eastAsia="en-US"/>
    </w:rPr>
  </w:style>
  <w:style w:type="paragraph" w:customStyle="1" w:styleId="25">
    <w:name w:val="G参考文献样式"/>
    <w:basedOn w:val="16"/>
    <w:next w:val="20"/>
    <w:qFormat/>
    <w:uiPriority w:val="0"/>
    <w:pPr>
      <w:spacing w:line="320" w:lineRule="exact"/>
      <w:ind w:left="220" w:hanging="220" w:hangingChars="220"/>
    </w:pPr>
  </w:style>
  <w:style w:type="paragraph" w:customStyle="1" w:styleId="26">
    <w:name w:val="代码"/>
    <w:basedOn w:val="1"/>
    <w:qFormat/>
    <w:uiPriority w:val="0"/>
    <w:pPr>
      <w:spacing w:line="240" w:lineRule="exact"/>
      <w:ind w:firstLine="200" w:firstLineChars="200"/>
    </w:pPr>
    <w:rPr>
      <w:rFonts w:eastAsia="华文中宋"/>
      <w:sz w:val="16"/>
      <w:szCs w:val="16"/>
    </w:rPr>
  </w:style>
  <w:style w:type="paragraph" w:customStyle="1" w:styleId="27">
    <w:name w:val="&lt;图中字体&gt;"/>
    <w:basedOn w:val="20"/>
    <w:next w:val="20"/>
    <w:qFormat/>
    <w:uiPriority w:val="0"/>
    <w:pPr>
      <w:ind w:firstLine="0" w:firstLineChars="0"/>
      <w:jc w:val="center"/>
    </w:pPr>
    <w:rPr>
      <w:sz w:val="15"/>
    </w:rPr>
  </w:style>
  <w:style w:type="paragraph" w:customStyle="1" w:styleId="28">
    <w:name w:val="样式 标题 1&lt;j一级节号&gt; + 段前: 0.5行"/>
    <w:basedOn w:val="2"/>
    <w:next w:val="20"/>
    <w:qFormat/>
    <w:uiPriority w:val="0"/>
    <w:pPr>
      <w:spacing w:before="24"/>
    </w:pPr>
    <w:rPr>
      <w:rFonts w:cs="宋体"/>
      <w:szCs w:val="20"/>
    </w:rPr>
  </w:style>
  <w:style w:type="paragraph" w:customStyle="1" w:styleId="29">
    <w:name w:val="&lt;b英文大标题&gt;"/>
    <w:basedOn w:val="30"/>
    <w:qFormat/>
    <w:uiPriority w:val="0"/>
    <w:pPr>
      <w:spacing w:before="70" w:beforeLines="70" w:line="400" w:lineRule="exact"/>
    </w:pPr>
    <w:rPr>
      <w:sz w:val="32"/>
    </w:rPr>
  </w:style>
  <w:style w:type="paragraph" w:customStyle="1" w:styleId="30">
    <w:name w:val="&lt;c作者姓名&gt;"/>
    <w:basedOn w:val="31"/>
    <w:qFormat/>
    <w:uiPriority w:val="0"/>
    <w:pPr>
      <w:spacing w:before="50" w:beforeLines="50" w:line="280" w:lineRule="exact"/>
    </w:pPr>
    <w:rPr>
      <w:rFonts w:eastAsia="华文中宋"/>
      <w:sz w:val="21"/>
    </w:rPr>
  </w:style>
  <w:style w:type="paragraph" w:customStyle="1" w:styleId="31">
    <w:name w:val="&lt;a文章大标题&gt;"/>
    <w:basedOn w:val="1"/>
    <w:qFormat/>
    <w:uiPriority w:val="0"/>
    <w:pPr>
      <w:spacing w:before="70" w:beforeLines="70" w:line="440" w:lineRule="exact"/>
      <w:jc w:val="center"/>
      <w:textAlignment w:val="center"/>
    </w:pPr>
    <w:rPr>
      <w:rFonts w:eastAsia="华文楷体"/>
      <w:b/>
      <w:bCs/>
      <w:sz w:val="44"/>
    </w:rPr>
  </w:style>
  <w:style w:type="paragraph" w:customStyle="1" w:styleId="32">
    <w:name w:val="&lt;8号字体&gt;"/>
    <w:basedOn w:val="20"/>
    <w:next w:val="20"/>
    <w:qFormat/>
    <w:uiPriority w:val="0"/>
    <w:pPr>
      <w:spacing w:line="240" w:lineRule="exact"/>
    </w:pPr>
    <w:rPr>
      <w:sz w:val="16"/>
    </w:rPr>
  </w:style>
  <w:style w:type="paragraph" w:customStyle="1" w:styleId="33">
    <w:name w:val="Title"/>
    <w:basedOn w:val="1"/>
    <w:next w:val="1"/>
    <w:qFormat/>
    <w:uiPriority w:val="0"/>
    <w:pPr>
      <w:keepNext/>
      <w:keepLines/>
      <w:overflowPunct w:val="0"/>
      <w:snapToGrid w:val="0"/>
      <w:spacing w:before="240" w:after="100"/>
      <w:outlineLvl w:val="0"/>
    </w:pPr>
    <w:rPr>
      <w:rFonts w:eastAsia="黑体"/>
      <w:b/>
      <w:sz w:val="24"/>
      <w:szCs w:val="20"/>
    </w:rPr>
  </w:style>
  <w:style w:type="paragraph" w:customStyle="1" w:styleId="34">
    <w:name w:val="&lt;t图名&gt;"/>
    <w:basedOn w:val="20"/>
    <w:next w:val="20"/>
    <w:qFormat/>
    <w:uiPriority w:val="0"/>
    <w:pPr>
      <w:spacing w:before="20" w:beforeLines="20" w:after="30" w:afterLines="30" w:line="0" w:lineRule="atLeast"/>
      <w:ind w:firstLine="0" w:firstLineChars="0"/>
      <w:jc w:val="center"/>
    </w:pPr>
    <w:rPr>
      <w:b/>
      <w:sz w:val="18"/>
    </w:rPr>
  </w:style>
  <w:style w:type="paragraph" w:customStyle="1" w:styleId="35">
    <w:name w:val="摘要基金"/>
    <w:basedOn w:val="1"/>
    <w:qFormat/>
    <w:uiPriority w:val="0"/>
    <w:pPr>
      <w:spacing w:line="260" w:lineRule="exact"/>
    </w:pPr>
    <w:rPr>
      <w:rFonts w:eastAsia="华文中宋"/>
      <w:sz w:val="16"/>
      <w:szCs w:val="16"/>
    </w:rPr>
  </w:style>
  <w:style w:type="paragraph" w:styleId="36">
    <w:name w:val="List Paragraph"/>
    <w:basedOn w:val="1"/>
    <w:qFormat/>
    <w:uiPriority w:val="34"/>
    <w:pPr>
      <w:ind w:firstLine="420" w:firstLineChars="200"/>
    </w:pPr>
    <w:rPr>
      <w:rFonts w:ascii="Calibri" w:hAnsi="Calibri"/>
      <w:szCs w:val="22"/>
    </w:rPr>
  </w:style>
  <w:style w:type="paragraph" w:customStyle="1" w:styleId="37">
    <w:name w:val="b工程英文大标题"/>
    <w:basedOn w:val="1"/>
    <w:qFormat/>
    <w:uiPriority w:val="0"/>
    <w:pPr>
      <w:spacing w:before="70" w:beforeLines="70" w:line="400" w:lineRule="exact"/>
      <w:jc w:val="center"/>
      <w:textAlignment w:val="center"/>
    </w:pPr>
    <w:rPr>
      <w:rFonts w:eastAsia="华文中宋"/>
      <w:b/>
      <w:bCs/>
      <w:sz w:val="32"/>
    </w:rPr>
  </w:style>
  <w:style w:type="paragraph" w:customStyle="1" w:styleId="38">
    <w:name w:val="a工程文章大标题"/>
    <w:basedOn w:val="1"/>
    <w:qFormat/>
    <w:uiPriority w:val="0"/>
    <w:pPr>
      <w:spacing w:before="70" w:beforeLines="70" w:line="440" w:lineRule="exact"/>
      <w:jc w:val="center"/>
      <w:textAlignment w:val="center"/>
    </w:pPr>
    <w:rPr>
      <w:rFonts w:eastAsia="华文楷体"/>
      <w:b/>
      <w:bCs/>
      <w:sz w:val="44"/>
    </w:rPr>
  </w:style>
  <w:style w:type="paragraph" w:customStyle="1" w:styleId="39">
    <w:name w:val="&lt;d作者单位&gt;"/>
    <w:basedOn w:val="16"/>
    <w:qFormat/>
    <w:uiPriority w:val="0"/>
    <w:pPr>
      <w:spacing w:after="40" w:afterLines="4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4683</Words>
  <Characters>6704</Characters>
  <Lines>0</Lines>
  <Paragraphs>0</Paragraphs>
  <TotalTime>2737</TotalTime>
  <ScaleCrop>false</ScaleCrop>
  <LinksUpToDate>false</LinksUpToDate>
  <CharactersWithSpaces>6996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WPS_1776698816</dc:creator>
  <cp:lastModifiedBy>WPS_1776698816</cp:lastModifiedBy>
  <dcterms:modified xsi:type="dcterms:W3CDTF">2026-10-18T07:17:50Z</dcterms:modified>
  <dc:subject>按用户提供的《计算机工程》模板排版的综述初稿</dc:subject>
  <dc:title>面向科学研究的大语言模型幻觉检测与治理</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eyJoZGlkIjoiODlmOTQxYmNjOGQ0YzEyYWRmYmJiY2VjZDJkMDFmY2MiLCJ1c2VySWQiOiIxODI0MzU1NTE0In0=</vt:lpwstr>
  </property>
  <property fmtid="{D5CDD505-2E9C-101B-9397-08002B2CF9AE}" pid="3" name="KSOProductBuildVer">
    <vt:lpwstr>2052-12.1.0.29161</vt:lpwstr>
  </property>
  <property fmtid="{D5CDD505-2E9C-101B-9397-08002B2CF9AE}" pid="4" name="ICV">
    <vt:lpwstr>2BD9194EDA524A129821256A257F37D7_12</vt:lpwstr>
  </property>
</Properties>
</file>