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科学发现工作流中的大模型幻觉：失效模式、核验与缓解</w:t>
      </w:r>
    </w:p>
    <w:p>
      <w:pPr>
        <w:pStyle w:val="OutlineMeta"/>
      </w:pPr>
      <w:r>
        <w:rPr>
          <w:b/>
        </w:rPr>
        <w:t>《计算机工程》“数据科学与工程”专题综述｜详细大纲｜2026年10月10日</w:t>
      </w:r>
    </w:p>
    <w:p>
      <w:pPr>
        <w:pStyle w:val="Heading1"/>
      </w:pPr>
      <w:r>
        <w:t>选题定位与预期贡献</w:t>
      </w:r>
    </w:p>
    <w:p>
      <w:pPr/>
      <w:r>
        <w:t>本文聚焦大语言模型及其智能体参与科学发现时产生的失实科学断言、无依据推断和不实执行报告，围绕文献证据获取与综合、科学假设形成与推理、实验规划与执行、科学数据分析与结论报告四个阶段组织研究。以生命科学、化学与材料、计算科研为主要实例，分析科学主张在各阶段所需的支持依据，以及这些依据在传递、执行和修订中如何失效。</w:t>
      </w:r>
    </w:p>
    <w:p>
      <w:pPr/>
      <w:r>
        <w:t>全文围绕一个问题展开：</w:t>
      </w:r>
      <w:r>
        <w:rPr>
          <w:b/>
        </w:rPr>
        <w:t>一项科学主张经过文献、推理、实验和分析后，哪些内容已经得到核验，哪些仍依赖尚未满足的前提？</w:t>
      </w:r>
      <w:r>
        <w:t xml:space="preserve"> 对科研使用者，文章应能帮助其定位当前任务中的幻觉风险并选择核验方式；对研究者，文章应能帮助其判断已有方法解决了什么问题、评价结果可以支持多强的结论。</w:t>
      </w:r>
    </w:p>
    <w:p>
      <w:pPr/>
      <w:r>
        <w:t>拟形成三项综合贡献：</w:t>
      </w:r>
    </w:p>
    <w:p>
      <w:pPr>
        <w:pStyle w:val="OutlineList"/>
      </w:pPr>
      <w:r>
        <w:t xml:space="preserve">1. </w:t>
      </w:r>
      <w:r>
        <w:rPr>
          <w:b/>
        </w:rPr>
        <w:t>形成科研任务与幻觉判据之间的对应关系。</w:t>
      </w:r>
      <w:r>
        <w:t xml:space="preserve"> 在事实性与忠实性概念基础上，将判断对象落实到引文、科学条件、机理前提、实验记录、计算产物和结论，说明相似文本错误在不同阶段为何需要不同证据。</w:t>
      </w:r>
    </w:p>
    <w:p>
      <w:pPr>
        <w:pStyle w:val="OutlineList"/>
      </w:pPr>
      <w:r>
        <w:t xml:space="preserve">2. </w:t>
      </w:r>
      <w:r>
        <w:rPr>
          <w:b/>
        </w:rPr>
        <w:t>比较核验与缓解方法的适用条件和保证范围。</w:t>
      </w:r>
      <w:r>
        <w:t xml:space="preserve"> 结合问题建模、成因证据、外部资源依赖及实际评价，区分来源核实、内容支持、约束满足、执行完成和科学结论成立等不同层次。</w:t>
      </w:r>
    </w:p>
    <w:p>
      <w:pPr>
        <w:pStyle w:val="OutlineList"/>
      </w:pPr>
      <w:r>
        <w:t xml:space="preserve">3. </w:t>
      </w:r>
      <w:r>
        <w:rPr>
          <w:b/>
        </w:rPr>
        <w:t>综合跨阶段传播、修复和评价中的共性问题。</w:t>
      </w:r>
      <w:r>
        <w:t xml:space="preserve"> 分析证据及验证状态在交接中的丢失，比较局部纠错与下游重新验证的关系，并从现有方法的具体局限提出研究方向。</w:t>
      </w:r>
    </w:p>
    <w:p>
      <w:pPr/>
      <w:r>
        <w:t>已有科学发现综述采用过工作流视角，智能体幻觉综述也讨论过传播与记忆问题；Xcientist、SCHEMA、SciRigor等研究进一步涉及证据、过程和结论的关联。因此，本文的价值定位为上述问题的系统综合与方法比较，不作“首个工作流框架”或“完备新分类”的主张。[S1,S3–S5,S7,L11,L26,N14]</w:t>
      </w:r>
    </w:p>
    <w:p>
      <w:pPr/>
      <w:r>
        <w:t>本文以大模型可观察的输出及其被下游采用的内容为研究对象。明确标注的待验证假设保留为科学探索；纯预测误差、普通程序错误、未伴随失实陈述的任务失败，以及独立于科学发现任务的临床诊疗问答，不作为主体。实际湿实验、计算实验、虚拟环境和回顾性数据评价分别讨论。</w:t>
      </w:r>
    </w:p>
    <w:p>
      <w:pPr/>
      <w:r>
        <w:t>文献编号采用S（相关综述）、L（科学任务与方法）、A（假设与实验核验）和N（专题补充研究），供讨论和写作定位；正式稿统一改为期刊要求的顺序编号。完整题名、来源、原文位置、主要归属及使用边界见</w:t>
      </w:r>
      <w:hyperlink r:id="rId11">
        <w:r>
          <w:rPr>
            <w:color w:val="315A7A"/>
          </w:rPr>
          <w:t>文献调研清单-工作流版</w:t>
        </w:r>
      </w:hyperlink>
      <w:r>
        <w:t>。</w:t>
      </w:r>
    </w:p>
    <w:p>
      <w:pPr>
        <w:pStyle w:val="Heading1"/>
      </w:pPr>
      <w:r>
        <w:t>1 引言</w:t>
      </w:r>
    </w:p>
    <w:p>
      <w:pPr>
        <w:pStyle w:val="Heading2"/>
      </w:pPr>
      <w:r>
        <w:t>1.1 科学发现中的大模型应用与幻觉问题</w:t>
      </w:r>
    </w:p>
    <w:p>
      <w:pPr/>
      <w:r>
        <w:t>介绍大模型从科学文献问答逐步参与假设生成、工具调用、实验分析和研究报告的变化。由此说明：科研中的生成内容既可能直接进入最终报告，也可能成为下一个研究动作的前提；一次失实转述可能改变候选筛选、实验条件和结果解释。[S2,S3,S7,N01–N03,N12,N13]</w:t>
      </w:r>
    </w:p>
    <w:p>
      <w:pPr/>
      <w:r>
        <w:t>用一个简短案例引出问题：文献中的“在特定细胞系和剂量下观察到效应”，在综合时被改写成一般性作用，随后进入机理说明与实验计划，最终被报告为得到广泛验证。该案例作为说明性示意，不赋予虚构统计结果，也不据此认定整个过程只存在一个原因。实际问题证据分别引用科学总结过度泛化、假设依据核验和实验报告失实研究。[L04,A01,N13]</w:t>
      </w:r>
    </w:p>
    <w:p>
      <w:pPr/>
      <w:r>
        <w:t>从案例中提炼科学场景的三个特点：结论依赖对象、条件和证据强度；证据同时存在于文献、数据、程序、图表与实验记录中；阶段间转换会改变内容的身份，例如从候选解释变为实施依据、从测量结果变为科学结论。这些特点决定了通用文本一致性检查只能覆盖部分问题。</w:t>
      </w:r>
    </w:p>
    <w:p>
      <w:pPr>
        <w:pStyle w:val="Heading2"/>
      </w:pPr>
      <w:r>
        <w:t>1.2 相关综述与本文的切入点</w:t>
      </w:r>
    </w:p>
    <w:p>
      <w:pPr/>
      <w:r>
        <w:t>分别概述通用幻觉综述、科学大模型与科学智能体综述、智能体幻觉综述。通用综述提供定义、成因及技术基础；科学综述提供任务、数据和系统图谱；智能体幻觉综述提供执行、记忆及传播问题的分析。本文在这些基础上，集中比较科学任务中幻觉的判定依据和方法的验证范围。[S1–S7]</w:t>
      </w:r>
    </w:p>
    <w:p>
      <w:pPr/>
      <w:r>
        <w:t>说明工作流划分的作用：帮助读者从正在执行的科研任务进入问题，使文献综合、假设筛选、实验审计和结论核验获得明确位置。在每个阶段内综合“问题表现—成因证据—核验与缓解—剩余局限”，避免正文变为科学系统名录。</w:t>
      </w:r>
    </w:p>
    <w:p>
      <w:pPr>
        <w:pStyle w:val="Heading2"/>
      </w:pPr>
      <w:r>
        <w:t>1.3 综述范围、文献来源与文章结构</w:t>
      </w:r>
    </w:p>
    <w:p>
      <w:pPr/>
      <w:r>
        <w:t>交代以2019年至正式检索截止日的研究为主体，按需纳入较早的基础方法；采用学术数据库检索、已有综述的参考文献追踪及原文核对。正文中的检索表述应与实际完成范围一致：本大纲配套的是截至2026年10月10日的定向补检索与选段核读，后续更新检索日期、版本和筛选记录。</w:t>
      </w:r>
    </w:p>
    <w:p>
      <w:pPr/>
      <w:r>
        <w:t>区分四类文献用途：直接研究科学幻觉或支持关系的工作；支撑特定科学任务的系统与能力基准；可迁移的通用核验、检索和纠错方法；用于划定范围的相关综述。列出纳入与排除原则，并概述第2—7章关系。</w:t>
      </w:r>
    </w:p>
    <w:p>
      <w:pPr>
        <w:pStyle w:val="Heading1"/>
      </w:pPr>
      <w:r>
        <w:t>2 幻觉的基本概念与科学工作流</w:t>
      </w:r>
    </w:p>
    <w:p>
      <w:pPr>
        <w:pStyle w:val="Heading2"/>
      </w:pPr>
      <w:r>
        <w:t>2.1 大模型幻觉的定义与边界</w:t>
      </w:r>
    </w:p>
    <w:p>
      <w:pPr/>
      <w:r>
        <w:t>梳理大模型幻觉的代表性定义，并采用以下工作性界定：</w:t>
      </w:r>
      <w:r>
        <w:rPr>
          <w:b/>
        </w:rPr>
        <w:t>大模型在给定科研任务中生成或采用的事实陈述、推断和过程报告，与可核验事实、给定材料、已声明前提或实际执行记录不一致，或将缺乏相应支持的内容表述为已经成立。</w:t>
      </w:r>
      <w:r>
        <w:t xml:space="preserve"> 判断时同时说明任务要求、参照范围、时间和证据可得性。[S1,S4]</w:t>
      </w:r>
    </w:p>
    <w:p>
      <w:pPr/>
      <w:r>
        <w:t>在本节内阐明与相关概念的边界：</w:t>
      </w:r>
    </w:p>
    <w:p>
      <w:pPr>
        <w:pStyle w:val="OutlineList"/>
      </w:pPr>
      <w:r>
        <w:t xml:space="preserve">1. </w:t>
      </w:r>
      <w:r>
        <w:rPr>
          <w:b/>
        </w:rPr>
        <w:t>科学未知与探索性假设。</w:t>
      </w:r>
      <w:r>
        <w:t xml:space="preserve"> “可能存在某种机制，尚待验证”具有明确的探索身份；即使后续被否定，也不能仅凭未证实或不成立判为幻觉。应分别核查假设本身、用于支持它的已知前提，以及模型是否虚构了验证状态。[A01,A03,N11]</w:t>
      </w:r>
    </w:p>
    <w:p>
      <w:pPr>
        <w:pStyle w:val="OutlineList"/>
      </w:pPr>
      <w:r>
        <w:t xml:space="preserve">2. </w:t>
      </w:r>
      <w:r>
        <w:rPr>
          <w:b/>
        </w:rPr>
        <w:t>计算、规划和执行失败。</w:t>
      </w:r>
      <w:r>
        <w:t xml:space="preserve"> 代码报错、实验失败或计划未完成可以是能力问题；只有在生成内容中出现虚构结果、错误说明或不实完成声明时，才按相应对象讨论幻觉。作者将某种失败称为hallucination，也需检查其定义是否与本文一致。[L16,L20,A04]</w:t>
      </w:r>
    </w:p>
    <w:p>
      <w:pPr>
        <w:pStyle w:val="OutlineList"/>
      </w:pPr>
      <w:r>
        <w:t xml:space="preserve">3. </w:t>
      </w:r>
      <w:r>
        <w:rPr>
          <w:b/>
        </w:rPr>
        <w:t>证据不足与证据反驳。</w:t>
      </w:r>
      <w:r>
        <w:t xml:space="preserve"> 未检索到论文、知识图谱缺边、缺少执行日志，分别可能来自覆盖不足、知识未收录和记录不完整；这些状态不能直接证明论文不存在、关系为假或实验未发生。若模型在此情况下仍声称“已有明确证据”，可核查的是其支持声明。[L01,A01,N04,N14]</w:t>
      </w:r>
    </w:p>
    <w:p>
      <w:pPr>
        <w:pStyle w:val="OutlineList"/>
      </w:pPr>
      <w:r>
        <w:t xml:space="preserve">4. </w:t>
      </w:r>
      <w:r>
        <w:rPr>
          <w:b/>
        </w:rPr>
        <w:t>忠实报告与科学有效性。</w:t>
      </w:r>
      <w:r>
        <w:t xml:space="preserve"> 忠实复述一篇论文不保证其结论客观正确；准确报告一次计算，也不保证研究设计能够识别目标效应。复现性、方法有效性与结论支持关系应分别判断。[L26,N16]</w:t>
      </w:r>
    </w:p>
    <w:p>
      <w:pPr/>
      <w:r>
        <w:t>给出三组最小对照：不存在的参考文献与无法获取全文；“已有研究证实”与“据此提出待验证假设”；“计划进行实验”与“已完成实验且得到某结果”。借此说明本文核查的是可定位的陈述及其依据，而非根据语言流畅程度判断真假。</w:t>
      </w:r>
    </w:p>
    <w:p>
      <w:pPr>
        <w:pStyle w:val="Heading2"/>
      </w:pPr>
      <w:r>
        <w:t>2.2 科研环境下大模型幻觉的分类原则</w:t>
      </w:r>
    </w:p>
    <w:p>
      <w:pPr/>
      <w:r>
        <w:rPr>
          <w:b/>
        </w:rPr>
        <w:t>事实性与忠实性是本文采用的基础分类视角。</w:t>
      </w:r>
      <w:r>
        <w:t xml:space="preserve"> 事实性关注生成内容与可核验事实是否一致；忠实性关注输出是否符合给定材料、任务指令和已声明的推理前提。在科研中，同一错误可以同时涉及两者，例如把原文中的实验剂量改写为另一个数值，既偏离来源，也可能构成失实陈述。[S1]</w:t>
      </w:r>
    </w:p>
    <w:p>
      <w:pPr/>
      <w:r>
        <w:t>进一步说明intrinsic／extrinsic是相对于给定来源的关系划分，不能分别等同于事实性／忠实性；尤其来源外新增内容可能正确、错误或暂不可判定，需结合任务是否要求依据来源作答来判断。本文保留这些概念作为分析标签，以科研任务作为主体章节的组织轴。</w:t>
      </w:r>
    </w:p>
    <w:p>
      <w:pPr/>
      <w:r>
        <w:t>每类问题使用三个可交叉的核验问题进行描述：</w:t>
      </w:r>
      <w:r>
        <w:rPr>
          <w:b/>
        </w:rPr>
        <w:t>来源与记录是否真实、可核验；内容、条件与任务约束是否一致；推断与结论强度是否得到支持。</w:t>
      </w:r>
      <w:r>
        <w:t xml:space="preserve"> 它们是跨论文比较的观察角度，可以同时适用于同一案例，不宣称互斥、完备或构成新的基础理论。</w:t>
      </w:r>
    </w:p>
    <w:p>
      <w:pPr/>
      <w:r>
        <w:t>区分三个层次：错误表现是“虚构引用”“遗漏条件”“夸大完成状态”等可观察内容；发生位置是检索、推理、执行或报告等环节；成因是知识缺口、检索遗漏、上下文利用不足、状态混淆等解释。灾难性遗忘不能仅从一次答错倒推，需要训练前后或知识保持实验；检索不足也需要检查可用语料、返回证据和生成输入。成因随各阶段的实证文献讨论，不作为事实性之下与错误表现并列的子类。</w:t>
      </w:r>
    </w:p>
    <w:p>
      <w:pPr>
        <w:pStyle w:val="Heading2"/>
      </w:pPr>
      <w:r>
        <w:t>2.3 科学工作流与文献归属</w:t>
      </w:r>
    </w:p>
    <w:p>
      <w:pPr/>
      <w:r>
        <w:t>说明四个阶段及其输入输出：文献阶段将外部资料转为带来源的证据；假设阶段将已有知识与问题约束转为待验证解释；实验阶段将方案转为操作、程序及可检查的执行产物；分析报告阶段将数据和产物转为定量结果与科学结论。研究中可以从分析返回实验，也可以通过新证据修改假设，四个阶段并非固定的单向流水线。</w:t>
      </w:r>
    </w:p>
    <w:p>
      <w:pPr/>
      <w:r>
        <w:t>阶段划分依据是</w:t>
      </w:r>
      <w:r>
        <w:rPr>
          <w:b/>
        </w:rPr>
        <w:t>当前任务的主要输入、输出及评价对象</w:t>
      </w:r>
      <w:r>
        <w:t>。论文主要贡献解决什么任务，就在哪一节完整介绍；跨阶段能力在第4章比较，其他章节只引用相关结果。例如，DiscoveryBench虽将输出称为hypothesis，但输入已经包含数据，其主要位置是数据分析与结论形成；MuSciClaims依据已有论文图像核验主张，主要放入文献证据理解；SciRigor核验同次运行的计算、图表和结论，主要归于分析报告。[L28,N09,L26]</w:t>
      </w:r>
    </w:p>
    <w:p>
      <w:pPr/>
      <w:r>
        <w:t>用图1展示四阶段的主要产物和所需核验依据，并标出迭代返回关系。说明跨阶段共同维护的对象包括来源标识、原文片段、实验条件、数据版本、执行产物，以及“待验证／已观察／经何种方式验证”的状态。</w:t>
      </w:r>
    </w:p>
    <w:p>
      <w:pPr>
        <w:pStyle w:val="Heading2"/>
      </w:pPr>
      <w:r>
        <w:t>2.4 问题建模与方法比较维度</w:t>
      </w:r>
    </w:p>
    <w:p>
      <w:pPr/>
      <w:r>
        <w:t>概括文献中四种常见建模方式，说明它们决定了“检查什么”和“结果意味着什么”：</w:t>
      </w:r>
    </w:p>
    <w:p>
      <w:pPr>
        <w:pStyle w:val="OutlineList"/>
      </w:pPr>
      <w:r>
        <w:t xml:space="preserve">1. </w:t>
      </w:r>
      <w:r>
        <w:rPr>
          <w:b/>
        </w:rPr>
        <w:t>断言—证据关系判断。</w:t>
      </w:r>
      <w:r>
        <w:t xml:space="preserve"> 输入陈述与来源，预测支持、反驳或信息不足；适合文献转述和引用核验，边界来自来源覆盖和支持关系判定。[L01,N05]</w:t>
      </w:r>
    </w:p>
    <w:p>
      <w:pPr>
        <w:pStyle w:val="OutlineList"/>
      </w:pPr>
      <w:r>
        <w:t xml:space="preserve">2. </w:t>
      </w:r>
      <w:r>
        <w:rPr>
          <w:b/>
        </w:rPr>
        <w:t>结构化对象与约束核验。</w:t>
      </w:r>
      <w:r>
        <w:t xml:space="preserve"> 将量值、单位、实体关系、实验步骤或推理变量结构化，再检查条件一致性；效果同时依赖转换是否忠实、约束是否充分。[N06,L06,L16]</w:t>
      </w:r>
    </w:p>
    <w:p>
      <w:pPr>
        <w:pStyle w:val="OutlineList"/>
      </w:pPr>
      <w:r>
        <w:t xml:space="preserve">3. </w:t>
      </w:r>
      <w:r>
        <w:rPr>
          <w:b/>
        </w:rPr>
        <w:t>执行过程与任务契约对照。</w:t>
      </w:r>
      <w:r>
        <w:t xml:space="preserve"> 将计划、代码、工具返回和产物与预先声明的任务要求比较；能够检查方法实现与完成声明，仍需明确允许的实现差异和实际执行证据。[A04,N14]</w:t>
      </w:r>
    </w:p>
    <w:p>
      <w:pPr>
        <w:pStyle w:val="OutlineList"/>
      </w:pPr>
      <w:r>
        <w:t xml:space="preserve">4. </w:t>
      </w:r>
      <w:r>
        <w:rPr>
          <w:b/>
        </w:rPr>
        <w:t>数据到结论的支持路径审计。</w:t>
      </w:r>
      <w:r>
        <w:t xml:space="preserve"> 重建数据、处理、结果、图表与主张之间的依赖，分别检查产物和连接关系；其保证受可观察记录和科学参照的限制。[L26]</w:t>
      </w:r>
    </w:p>
    <w:p>
      <w:pPr/>
      <w:r>
        <w:t>后文比较方法时统一记录核验对象、可用证据、判定器、干预位置、评价任务及剩余不确定性。以上属于对已有研究的综合组织，不作为本文提出并验证的新算法。</w:t>
      </w:r>
    </w:p>
    <w:p>
      <w:pPr>
        <w:pStyle w:val="Heading1"/>
      </w:pPr>
      <w:r>
        <w:t>3 科学发现各阶段的幻觉与应对方法</w:t>
      </w:r>
    </w:p>
    <w:p>
      <w:pPr/>
      <w:r>
        <w:t>本章为全文主体。每个阶段先交代科研任务和容易混淆的边界，再按具体问题综合成因证据、核验与缓解方法，最后比较该阶段现有方法的共同前提。通用训练、检索、解码和纠错方法仅在对应问题处介绍；对缺少科学任务验证的方法明确注明迁移范围。</w:t>
      </w:r>
    </w:p>
    <w:p>
      <w:pPr>
        <w:pStyle w:val="Heading2"/>
      </w:pPr>
      <w:r>
        <w:t>3.1 文献证据获取与综合</w:t>
      </w:r>
    </w:p>
    <w:p>
      <w:pPr/>
      <w:r>
        <w:t>本阶段需要将已有研究转为可定位、保留条件且能够支持后续使用的证据。主要风险包括虚构来源、引文与主张不匹配、量值和条件抽取失真，以及跨论文综合时把异质结果合并为过强结论。</w:t>
      </w:r>
    </w:p>
    <w:p>
      <w:pPr>
        <w:pStyle w:val="Heading3"/>
      </w:pPr>
      <w:r>
        <w:t>3.1.1 来源真实性与引文支持关系</w:t>
      </w:r>
    </w:p>
    <w:p>
      <w:pPr/>
      <w:r>
        <w:t>区分参考文献不存在、题名或作者等元数据错误、真实文献被错误归属，以及引用真实但不能支持具体陈述。前三类检查来源身份，后一类检查语义支持，两者需要不同评价单元。对预印本与正式版题名变化、合法作者缩写和暂时检索失败，保留人工复核或不确定状态。[N04,N07,N17]</w:t>
      </w:r>
    </w:p>
    <w:p>
      <w:pPr/>
      <w:r>
        <w:t>比较基于学术数据库的标识符解析、多源候选检索与元数据匹配，以及断言拆分、证据片段定位和支持关系判定。CiteCheck用于参考文献层面的真实性和元数据核查；SciFact与DeepSciVerify用于断言—文献支持判断。后者由摘要升级到全文片段的策略，可用于讨论核验深度和成本，但摘要阶段的错误确定判断也可能阻止升级。[N04,L01,N05]</w:t>
      </w:r>
    </w:p>
    <w:p>
      <w:pPr/>
      <w:r>
        <w:t>本节形成的比较结论应围绕：核验到“论文存在”还是“论文支持这句话”；依赖哪个检索库；无法找到来源时怎样处理；误报和漏报分别落在哪些引用类型。引入ALCE的引用支持率与完整性评价时，交代其通用问答背景。[N18]</w:t>
      </w:r>
    </w:p>
    <w:p>
      <w:pPr>
        <w:pStyle w:val="Heading3"/>
      </w:pPr>
      <w:r>
        <w:t>3.1.2 科学条件、量值及跨模态证据的忠实提取</w:t>
      </w:r>
    </w:p>
    <w:p>
      <w:pPr/>
      <w:r>
        <w:t>讨论实体混淆、数量与单位错配、测量对象和属性关联错误，以及细胞系、材料组成、剂量、温度、时间或样本范围等限定条件丢失。条件遗漏是否构成幻觉，应结合遗漏是否改变了陈述的适用范围和后续用途判断，避免把所有压缩性省略都记作错误。[L02,L04,N06]</w:t>
      </w:r>
    </w:p>
    <w:p>
      <w:pPr/>
      <w:r>
        <w:t>比较保留原文跨度的结构化抽取、带条件的原子断言、量值校验器，以及面向特定错误的监督微调与奖励设计。以AskChem讨论条件化证据组织，以MeasHalu讨论量值和关系抽取的训练干预；格式奖励、解析成功和抽取F1需要与真正的事实支持分开解释。[L02,N06]</w:t>
      </w:r>
    </w:p>
    <w:p>
      <w:pPr/>
      <w:r>
        <w:t>纳入图、表和图注共同支持主张的研究。MuSciClaims适合分析证据定位和图文结合；AtomicTableLLM适合分析单元格定位、数值运算与表格主张核验。其参照分别是给定图像或表格，不能自动扩展为对原始实验的验证。[N09,N10]</w:t>
      </w:r>
    </w:p>
    <w:p>
      <w:pPr>
        <w:pStyle w:val="Heading3"/>
      </w:pPr>
      <w:r>
        <w:t>3.1.3 多文献检索、证据利用与综合</w:t>
      </w:r>
    </w:p>
    <w:p>
      <w:pPr/>
      <w:r>
        <w:t>区分相关证据未收录、已经收录但没有检索到、已被检索但未进入有效上下文，以及证据已在输入中却未被正确使用。对应比较语料覆盖、检索粒度、重排序、长上下文位置和参数知识与外部材料冲突。受控通用研究可提供诊断设计，但科学场景中的成因仍需任务证据。[N22,N27–N30]</w:t>
      </w:r>
    </w:p>
    <w:p>
      <w:pPr/>
      <w:r>
        <w:t>以PaperQA、PaperQA2和OpenScholar比较全文检索、证据压缩、引用追踪、反馈检索、领域数据与模型训练。比较同一问题在“找到原文”“保留关键条件”“生成有支持的综合回答”三步上的证据，不仅列最终问答分数。[N01–N03]</w:t>
      </w:r>
    </w:p>
    <w:p>
      <w:pPr/>
      <w:r>
        <w:t>对相互矛盾的文献，讨论研究对象、条件和设计差异是否足以解释冲突；无法解释时应呈现证据分歧。Self-RAG、抗无关上下文训练及上下文感知解码可作为技术基础，分别比较其检索决策、证据筛选和生成约束。上下文忠实性提升仍以来源本身可靠、适用为前提。[N21,N26,N27]</w:t>
      </w:r>
    </w:p>
    <w:p>
      <w:pPr>
        <w:pStyle w:val="Heading3"/>
      </w:pPr>
      <w:r>
        <w:t>3.1.4 方法比较与阶段小结</w:t>
      </w:r>
    </w:p>
    <w:p>
      <w:pPr/>
      <w:r>
        <w:t>围绕“来源可核实—片段可定位—条件被保留—综合主张受支持”比较各方法的覆盖范围。引用真实性、检索召回、抽取准确率与综合回答支持率分别报告；同一来源被多个检索器返回也不增加独立证据数量。</w:t>
      </w:r>
    </w:p>
    <w:p>
      <w:pPr/>
      <w:r>
        <w:t>本阶段输出给后续研究的内容应能回接原文并保留适用条件。现有工作的共同缺口是，检索或引用环节的局部改进未必保证下游假设仍沿用同一条件；这构成第4章讨论证据维护的起点。</w:t>
      </w:r>
    </w:p>
    <w:p>
      <w:pPr>
        <w:pStyle w:val="Heading2"/>
      </w:pPr>
      <w:r>
        <w:t>3.2 科学假设形成与推理</w:t>
      </w:r>
    </w:p>
    <w:p>
      <w:pPr/>
      <w:r>
        <w:t>本阶段需要允许提出超出已知事实的候选解释，同时限制对既有知识、机理依据和验证状态的失实陈述。因此，对候选是否有探索价值、推理前提是否可靠以及假设是否被实验证实，分别组织评价。</w:t>
      </w:r>
    </w:p>
    <w:p>
      <w:pPr>
        <w:pStyle w:val="Heading3"/>
      </w:pPr>
      <w:r>
        <w:t>3.2.1 假设新颖性与支撑前提的真实性</w:t>
      </w:r>
    </w:p>
    <w:p>
      <w:pPr/>
      <w:r>
        <w:t>讨论两类需要区分的输出：尚未验证的新关系，以及用于论证该关系的文献、已知效应或生物学前提。新假设可能合理而理由失实，也可能理由忠实但不足以推出结论。典型问题是虚构已有发现、将相关关系写成因果作用、把图谱缺失关系当成已知不存在。[A01,A03,L03]</w:t>
      </w:r>
    </w:p>
    <w:p>
      <w:pPr/>
      <w:r>
        <w:t>以TruthHypo／KnowHD比较时间划分、关系预测和理由中的原子断言核验；以BioVerge补充新颖性与后续发现一致性的评价。明确未来文献出现的关系只能提供特定回顾性支持，知识图谱没有收录的关系不能直接作为科学否定真值。两类指标也不能互相替代。</w:t>
      </w:r>
    </w:p>
    <w:p>
      <w:pPr/>
      <w:r>
        <w:t>本节比较重点是：检查对象为候选结论还是论证前提；正负标签如何构造；模型是否见过后续知识；评价能否区分“尚无证据”和“已有反驳”。</w:t>
      </w:r>
    </w:p>
    <w:p>
      <w:pPr>
        <w:pStyle w:val="Heading3"/>
      </w:pPr>
      <w:r>
        <w:t>3.2.2 机理推理、条件与领域约束</w:t>
      </w:r>
    </w:p>
    <w:p>
      <w:pPr/>
      <w:r>
        <w:t>讨论在机理链条中省略必要中介、拼接不同条件下的作用关系、将间接路径写成确定机制，以及量纲、参数范围和前置条件不一致。区分文本中声称的推理与模型内部实际计算，不根据一条可读推理链认定其为模型真正的思考过程。</w:t>
      </w:r>
    </w:p>
    <w:p>
      <w:pPr/>
      <w:r>
        <w:t>比较知识图谱引导检索与逐步支持检查、显式标记证据强弱、目标和约束引导的候选修订，以及可执行或形式化的局部检查。KG-CoI、HypoKG、MATDESIGN用于科学任务比较；VeryTrace作为结构化推理验证的技术参照。[A02,L03,L10,L06]</w:t>
      </w:r>
    </w:p>
    <w:p>
      <w:pPr/>
      <w:r>
        <w:t>重点分析图谱覆盖、边的语义、自然语言到形式表示的转换，以及验证器所采用的领域规则。图路径可达、数值计算通过、多模型评审一致，分别提供局部信息；只有明确的证据关系和科学前提，才能支撑相应机理断言。</w:t>
      </w:r>
    </w:p>
    <w:p>
      <w:pPr>
        <w:pStyle w:val="Heading3"/>
      </w:pPr>
      <w:r>
        <w:t>3.2.3 假设筛选与验证强度</w:t>
      </w:r>
    </w:p>
    <w:p>
      <w:pPr/>
      <w:r>
        <w:t>比较文献或图谱支持、模型评分、模拟预测、回顾性数据验证与新开展实验的不同作用。它们可用于排除明显矛盾、提高筛选效率或检验特定预测，但不能统一标作“假设已验证”。应说明每种证据对应的研究对象、条件和时间范围。[A01,A03,L25,N11]</w:t>
      </w:r>
    </w:p>
    <w:p>
      <w:pPr/>
      <w:r>
        <w:t>将乳腺癌药物组合的实验研究作为实际实验参照，讨论模型提出候选与实验结果反馈之间的关系。该研究的细胞系和剂量条件限制了可支持结论的范围；实验中出现有效候选，也不能证明模型给出的全部机制解释成立。[N11]</w:t>
      </w:r>
    </w:p>
    <w:p>
      <w:pPr/>
      <w:r>
        <w:t>对于低支持但可检验的假设，比较保留探索身份、补充关键证据、请求专家判断和暂不作确定结论等处理方式。筛选阈值需要同时考虑遗漏潜在发现和接受错误前提的代价，避免只按与已有知识的相似程度评价探索价值。</w:t>
      </w:r>
    </w:p>
    <w:p>
      <w:pPr>
        <w:pStyle w:val="Heading3"/>
      </w:pPr>
      <w:r>
        <w:t>3.2.4 方法比较与阶段小结</w:t>
      </w:r>
    </w:p>
    <w:p>
      <w:pPr/>
      <w:r>
        <w:t>综合比较各方法对前提支持、推理约束、候选价值和实验验证的覆盖。假设理由中的受支持断言比例、候选命中率、专家新颖性评分及实验结果应分别解释；评分器与生成器共享知识或模型时，讨论相关误差。</w:t>
      </w:r>
    </w:p>
    <w:p>
      <w:pPr/>
      <w:r>
        <w:t>本阶段应输出有清晰依据、假设身份和待检验预测的候选。需要重点归纳的张力是：过强的已有知识约束可能抑制探索，过弱的前提约束又会使探索建立在失实知识之上。研究方向由此落到假设与理由的分离评价，而非笼统追求“减少所有不确定输出”。</w:t>
      </w:r>
    </w:p>
    <w:p>
      <w:pPr>
        <w:pStyle w:val="Heading2"/>
      </w:pPr>
      <w:r>
        <w:t>3.3 实验规划与执行</w:t>
      </w:r>
    </w:p>
    <w:p>
      <w:pPr/>
      <w:r>
        <w:t>本阶段将科学意图转为可实施的方案、工具动作和执行产物。幻觉研究的核心对象包括方案中的失实操作知识、对工具状态的错误描述，以及与实际方法和产物不符的完成声明。</w:t>
      </w:r>
    </w:p>
    <w:p>
      <w:pPr>
        <w:pStyle w:val="Heading3"/>
      </w:pPr>
      <w:r>
        <w:t>3.3.1 实验方案与科学目标的对应</w:t>
      </w:r>
    </w:p>
    <w:p>
      <w:pPr/>
      <w:r>
        <w:t>讨论不存在的试剂或工具、错误的材料和候选库约束、缺失必要对照，以及以不能回答原问题的方案声称完成验证。需要区分方案本身不充分与模型对方案能力的失实描述；材料和设备不满足前提时，流程文字合理也不等于实验可实施。[L16,L17,L25]</w:t>
      </w:r>
    </w:p>
    <w:p>
      <w:pPr/>
      <w:r>
        <w:t>比较结构化协议表示、步骤和前后置条件检查、工具文档检索、候选集合约束，以及领域专家复核。BioPlanner用于协议规划与自动评价；LAB-Bench提供生物研究任务和协议理解能力的参照。选择题中找到正确修复项，与实际生成并执行修复后的协议分别讨论。[L16,L17]</w:t>
      </w:r>
    </w:p>
    <w:p>
      <w:pPr/>
      <w:r>
        <w:t>利用扰动发现研究澄清一个边界：其“gene hallucinations”涉及真实基因超出任务允许的筛选库，不宜改写为模型虚构了不存在的基因。此类问题主要对应任务约束与候选可执行性。[L25]</w:t>
      </w:r>
    </w:p>
    <w:p>
      <w:pPr>
        <w:pStyle w:val="Heading3"/>
      </w:pPr>
      <w:r>
        <w:t>3.3.2 工具使用与真实执行状态</w:t>
      </w:r>
    </w:p>
    <w:p>
      <w:pPr/>
      <w:r>
        <w:t>讨论工具选择与参数错误、误读返回状态、把计划当作执行、把调用受理当作实验完成，以及将模拟或历史数据查询描述为新实验。对日志缺失保留“当前无法核实”，只有存在相应不一致证据时才认定完成声明失实。</w:t>
      </w:r>
    </w:p>
    <w:p>
      <w:pPr/>
      <w:r>
        <w:t>以ChemCrow和早期自主化学研究比较工具增强、设备接口、外部返回和实验产物；以DiscoveryWorld说明可控环境中动作、状态和科学解释的评价。分别标记真实实验、规则模拟和计算任务，避免把模拟环境的可观测性假设直接移用到实验室。[N12,L18,L19]</w:t>
      </w:r>
    </w:p>
    <w:p>
      <w:pPr/>
      <w:r>
        <w:t>方法比较围绕动作前约束、工具返回解析、状态确认、失败后反馈修订展开。需要检查的条件是：工具结果是否对应本次请求；返回的是计划、预测还是测量；是否具有可复核的运行标识和产物；验证器是否独立获取了执行依据。</w:t>
      </w:r>
    </w:p>
    <w:p>
      <w:pPr>
        <w:pStyle w:val="Heading3"/>
      </w:pPr>
      <w:r>
        <w:t>3.3.3 实验实现、对照设置与验证声明</w:t>
      </w:r>
    </w:p>
    <w:p>
      <w:pPr/>
      <w:r>
        <w:t>讨论计算科研中方法说明与代码实现不一致、悄然减少样本或训练预算、更换数据或基线、仅完成部分实验却声称完成全部验证等问题。诚实报告的方法简化或负面结果本身不构成幻觉；需判断声明是否仍对应实际开展的工作。[A04,N13,N14]</w:t>
      </w:r>
    </w:p>
    <w:p>
      <w:pPr/>
      <w:r>
        <w:t>比较执行测试、代码和协议语义审计、实验契约、产物清单及独立验收。ABE-Ralph用于区分“程序可运行”与“实验忠实于所述方法”；Xcientist用于讨论方案变更、实现记录和结论的同步维护。The AI Scientist自报的虚构消融表格和硬件信息，可作为报告环节失实的具体案例。[A04,N14,N13]</w:t>
      </w:r>
    </w:p>
    <w:p>
      <w:pPr/>
      <w:r>
        <w:t>ABE-Ralph中的全部失败类型不直接迁入幻觉分类，例如输出字段命名不符合接口约定可以是接口问题，缩小规模后的真实负面结果可以是有效发现。仅纳入其与失实方法、过程或验证声明有关的部分。</w:t>
      </w:r>
    </w:p>
    <w:p>
      <w:pPr>
        <w:pStyle w:val="Heading3"/>
      </w:pPr>
      <w:r>
        <w:t>3.3.4 方法比较与阶段小结</w:t>
      </w:r>
    </w:p>
    <w:p>
      <w:pPr/>
      <w:r>
        <w:t>按“步骤符合要求—工具动作有效—实际执行可核实—实验足以检验主张”比较不同方法。协议评分、代码执行成功率、科学任务完成率与完成声明的真实性分别统计；修复方案仍需在最终版本上验证。</w:t>
      </w:r>
    </w:p>
    <w:p>
      <w:pPr/>
      <w:r>
        <w:t>本阶段的文献基础以协议规划、化学系统示范及计算实验审计为主。真实湿实验中的持续状态核验和大规模幻觉评价仍较薄弱，因此保留一个完整阶段，但不继续扩张为设备、试剂、操作、测量等多个独立综述章节。</w:t>
      </w:r>
    </w:p>
    <w:p>
      <w:pPr>
        <w:pStyle w:val="Heading2"/>
      </w:pPr>
      <w:r>
        <w:t>3.4 科学数据分析与结论报告</w:t>
      </w:r>
    </w:p>
    <w:p>
      <w:pPr/>
      <w:r>
        <w:t>本阶段将数据、代码和图表转为科学发现。核心风险是产物表面完整，却缺少支撑主张的分析步骤、统计条件或同次运行依据。</w:t>
      </w:r>
    </w:p>
    <w:p>
      <w:pPr>
        <w:pStyle w:val="Heading3"/>
      </w:pPr>
      <w:r>
        <w:t>3.4.1 数据处理与定量推断</w:t>
      </w:r>
    </w:p>
    <w:p>
      <w:pPr/>
      <w:r>
        <w:t>讨论虚构变量、样本数或统计量，误用数据列、分组和单位，未执行分析却报告显著性，以及对统计方法的使用作失实说明。普通计算错误按任务失败记录；其进入结果陈述并改变事实或支持关系时，进一步分析幻觉问题。[L24,L26,N16]</w:t>
      </w:r>
    </w:p>
    <w:p>
      <w:pPr/>
      <w:r>
        <w:t>比较代码执行与数值重算、数据和分析规则检查、针对统计及因果问题的任务评价，以及结果与分析步骤的对应。QRData提供统计和因果推理的能力参照，DISCERN提供分层诊断资源，ScienceAgentBench提供科学代码与任务结果评价。它们的成绩不直接等同于科研幻觉率。[N16,L24,L20]</w:t>
      </w:r>
    </w:p>
    <w:p>
      <w:pPr/>
      <w:r>
        <w:t>成因分析区分数据描述理解、方法选择、程序实现和结果解释。若研究只观察到最终答错，保留归因不确定性；通过替换数据说明、给定正确代码或显式提供结果等对照，才能进一步缩小问题位置。</w:t>
      </w:r>
    </w:p>
    <w:p>
      <w:pPr>
        <w:pStyle w:val="Heading3"/>
      </w:pPr>
      <w:r>
        <w:t>3.4.2 图表、计算结果与科学主张的对齐</w:t>
      </w:r>
    </w:p>
    <w:p>
      <w:pPr/>
      <w:r>
        <w:t>讨论图表与计算产物不一致、单位或坐标变换不一致、报告引用旧版本结果，以及句子看似正确但缺少当前运行的计算支持。与第3.1节读取已有图表的任务区分，本节关注系统自己生成的数据处理、图表和结论之间的对应。</w:t>
      </w:r>
    </w:p>
    <w:p>
      <w:pPr/>
      <w:r>
        <w:t>以SciRigor为主要研究，分析从可观察产物重建数据—计算—结果—图表—主张支持路径的方法，以及节点正确性与连接有效性的区别。原子事实核验可借鉴FActScore，但人物传记中的知识源支持指标不能直接承担科学分析的全部评价。[L26,N19]</w:t>
      </w:r>
    </w:p>
    <w:p>
      <w:pPr/>
      <w:r>
        <w:t>讨论数值登记与报告约束。SAGE使用测量值清单和表格数值检查抑制未测量结果；其保证集中在特定数字和条件名，正文中的方法名称、因果解释及研究设计仍需其他核验。数值能回接文件，也不自动说明文件来自正确的分析。[N15]</w:t>
      </w:r>
    </w:p>
    <w:p>
      <w:pPr>
        <w:pStyle w:val="Heading3"/>
      </w:pPr>
      <w:r>
        <w:t>3.4.3 因果解释、适用范围与研究报告</w:t>
      </w:r>
    </w:p>
    <w:p>
      <w:pPr/>
      <w:r>
        <w:t>讨论把相关性写成因果效应、把局部或单一数据集结果推广到更广泛对象、忽略不确定性、选择性描述结果，以及把探索性分析写成完成验证的结论。报告中的来源、条件和结论强度应沿用本研究实际获得的支持。[L26,L28,N16]</w:t>
      </w:r>
    </w:p>
    <w:p>
      <w:pPr/>
      <w:r>
        <w:t>比较结构化结论表示、条件和变量关系检查、反证或稳健性分析、结果驱动报告以及专家复核。DiscoveryBench用于讨论数据驱动发现中的条件、变量与关系；其参考假设匹配分数不能穷尽同一数据可能支持的所有发现。因果解释涉及研究设计和识别前提时，程序执行和语言一致性均不足以单独定案。[L28,N16]</w:t>
      </w:r>
    </w:p>
    <w:p>
      <w:pPr/>
      <w:r>
        <w:t>科学总结过度泛化主要在第3.1节介绍，本节仅联系其“限定条件丢失”的问题；HalluPeer作为研究文本审阅的补充，讨论如何区分可核查事实与评价意见，避免将审稿场景扩展为新的主体阶段。[L04,L27]</w:t>
      </w:r>
    </w:p>
    <w:p>
      <w:pPr>
        <w:pStyle w:val="Heading3"/>
      </w:pPr>
      <w:r>
        <w:t>3.4.4 方法比较与阶段小结</w:t>
      </w:r>
    </w:p>
    <w:p>
      <w:pPr/>
      <w:r>
        <w:t>沿“数据与处理—数值与图表—主张—适用范围”比较方法覆盖。执行通过、参考结果一致、报告忠实和结论有效是不同层次；必须说明每项指标实际测量其中哪一层。</w:t>
      </w:r>
    </w:p>
    <w:p>
      <w:pPr/>
      <w:r>
        <w:t>本阶段的关键问题在于完整支持关系的核验。需要综合比较记录充分性、计算验证能力和语义判断误差，而非把所有检查结果平均成一个未经解释的可靠性分数。</w:t>
      </w:r>
    </w:p>
    <w:p>
      <w:pPr>
        <w:pStyle w:val="Heading1"/>
      </w:pPr>
      <w:r>
        <w:t>4 跨阶段证据维护、错误传播与修复</w:t>
      </w:r>
    </w:p>
    <w:p>
      <w:pPr/>
      <w:r>
        <w:t>本章处理单个阶段难以独立解决的问题：某条证据被摘要、改写、存入记忆、用于执行后，后续使用者是否仍知道它来自哪里、在什么条件下成立，以及经过了哪一种验证。</w:t>
      </w:r>
    </w:p>
    <w:p>
      <w:pPr>
        <w:pStyle w:val="Heading2"/>
      </w:pPr>
      <w:r>
        <w:t>4.1 来源、条件与验证状态的维护</w:t>
      </w:r>
    </w:p>
    <w:p>
      <w:pPr/>
      <w:r>
        <w:t>比较带来源和条件的断言记录、类型化来源、版本与依赖管理、实验契约及产物登记。AskChem说明文献证据的组织，Stored Is Not Supported提供支持资格与撤销规则的表示参照，Xcientist说明跨文献、设计、实现和报告保留关联的系统方式。[L02,L05,N14]</w:t>
      </w:r>
    </w:p>
    <w:p>
      <w:pPr/>
      <w:r>
        <w:t>重点讨论三个交接问题：摘要是否保留原始条件；假设写入记忆后是否仍带有待验证状态；工具或数据产物更新后，旧的验证结论是否仍被复用。记录机制的价值需要落实到更容易核查、减少错误复用或支持有效修复，不能仅凭存在证据图宣称科学可靠性提高。</w:t>
      </w:r>
    </w:p>
    <w:p>
      <w:pPr/>
      <w:r>
        <w:t>解释Xcientist中“确认不一致”与“无法核实”的区别。其audit CDR包含两者，改善可审计性不应直接改写成同等幅度降低了已确认幻觉率。这一案例用于说明文献比较必须追溯指标定义。[N14]</w:t>
      </w:r>
    </w:p>
    <w:p>
      <w:pPr>
        <w:pStyle w:val="Heading2"/>
      </w:pPr>
      <w:r>
        <w:t>4.2 错误传播与成因诊断</w:t>
      </w:r>
    </w:p>
    <w:p>
      <w:pPr/>
      <w:r>
        <w:t>归纳三种跨阶段问题：条件在压缩中丢失，假设在记忆中被升级为事实，局部计算或执行结果被赋予超出其范围的验证含义。对已有研究提供的证据分别记录为自然轨迹观察、受控扰动、局部替换后的下游变化或端到端对照。</w:t>
      </w:r>
    </w:p>
    <w:p>
      <w:pPr/>
      <w:r>
        <w:t>以SCHEMA讨论轨迹断言核验、拓扑相关性和局部编辑诊断；以CausalFlow讨论替换局部步骤并重跑下游的可迁移方法。图结构中心性、最早发现的不受支持位置及一次编辑后的成功，都不能独立证明唯一根因。[L11,L22]</w:t>
      </w:r>
    </w:p>
    <w:p>
      <w:pPr/>
      <w:r>
        <w:t>将诊断层次分开：确定哪句话或哪项记录不受支持，识别该错误影响了哪些后续产物，进一步解释它为何发生。前两层可以通过外部记录开展，模型内部生成机制则需要额外的实验或机制证据。</w:t>
      </w:r>
    </w:p>
    <w:p>
      <w:pPr>
        <w:pStyle w:val="Heading2"/>
      </w:pPr>
      <w:r>
        <w:t>4.3 反馈纠错、依赖修复与结论更新</w:t>
      </w:r>
    </w:p>
    <w:p>
      <w:pPr/>
      <w:r>
        <w:t>比较补充检索、局部文本修订、替换推理前提、重新执行分析，以及依据依赖关系撤回或重验结论。RARR提供检索后修订与内容保持的通用参照；依赖回滚研究处理已知错误记忆后的影响传播；SAGE提供科学任务中的多候选诊断与分层修复案例。[N23,L21,N15]</w:t>
      </w:r>
    </w:p>
    <w:p>
      <w:pPr/>
      <w:r>
        <w:t>讨论反馈来源：模型自评、另一模型意见、规则检查、程序运行和实际观测分别提供何种新增信息。结合关于无外部反馈自我纠错的研究与SCoRe，说明结论受模型、训练、任务和预算限制；不能把“自我反思”或“多智能体一致”当作可靠性的充分依据。[N24,L23]</w:t>
      </w:r>
    </w:p>
    <w:p>
      <w:pPr/>
      <w:r>
        <w:t>以回顾性扰动发现研究讨论观测反馈与假设更新，同时标明其未进行新湿实验。比较修复时要求保留的内容：仍由独立证据支持的结论、真实负面结果以及尚未解决的不确定性。[L25]</w:t>
      </w:r>
    </w:p>
    <w:p>
      <w:pPr/>
      <w:r>
        <w:t>修复评价至少区分原错误是否消除、正确内容是否被误改、依赖产物是否更新、最终版本是否重新核验，以及额外检索或实验成本。图2仅用一个条件丢失案例展示上述关联。</w:t>
      </w:r>
    </w:p>
    <w:p>
      <w:pPr>
        <w:pStyle w:val="Heading1"/>
      </w:pPr>
      <w:r>
        <w:t>5 评价资源、判据与方法可比性</w:t>
      </w:r>
    </w:p>
    <w:p>
      <w:pPr>
        <w:pStyle w:val="Heading2"/>
      </w:pPr>
      <w:r>
        <w:t>5.1 评价对象与资源覆盖</w:t>
      </w:r>
    </w:p>
    <w:p>
      <w:pPr/>
      <w:r>
        <w:t>按照评价对象组织资源：参考文献、断言—证据对、科学条件及结构化关系、假设及理由、协议和执行产物、数据分析主张、跨阶段轨迹。区分专门的幻觉或支持关系评价与一般能力评价，避免将后者整体统计为幻觉基准。</w:t>
      </w:r>
    </w:p>
    <w:p>
      <w:pPr/>
      <w:r>
        <w:t>表1拟选择下列代表性资源。正式稿保留最能支撑比较的条目，完整目录作为调研材料；表内不并列不同基准上的最高分。</w:t>
      </w:r>
    </w:p>
    <w:tbl>
      <w:tblPr>
        <w:tblStyle w:val="TableGrid"/>
        <w:tblW w:type="auto" w:w="0"/>
        <w:jc w:val="center"/>
        <w:tblLayout w:type="fixed"/>
        <w:tblLook w:firstColumn="1" w:firstRow="1" w:lastColumn="0" w:lastRow="0" w:noHBand="0" w:noVBand="1" w:val="04A0"/>
      </w:tblPr>
      <w:tblGrid>
        <w:gridCol w:w="1531"/>
        <w:gridCol w:w="2211"/>
        <w:gridCol w:w="2665"/>
        <w:gridCol w:w="3231"/>
      </w:tblGrid>
      <w:tr>
        <w:trPr>
          <w:cantSplit/>
          <w:tblHeader/>
        </w:trPr>
        <w:tc>
          <w:tcPr>
            <w:tcW w:type="dxa" w:w="1531"/>
            <w:vAlign w:val="center"/>
            <w:shd w:fill="EAF0F5"/>
          </w:tcPr>
          <w:p>
            <w:pPr>
              <w:pStyle w:val="OutlineTable"/>
            </w:pPr>
            <w:r>
              <w:rPr>
                <w:b/>
              </w:rPr>
              <w:t>评价对象</w:t>
            </w:r>
          </w:p>
        </w:tc>
        <w:tc>
          <w:tcPr>
            <w:tcW w:type="dxa" w:w="2211"/>
            <w:vAlign w:val="center"/>
            <w:shd w:fill="EAF0F5"/>
          </w:tcPr>
          <w:p>
            <w:pPr>
              <w:pStyle w:val="OutlineTable"/>
            </w:pPr>
            <w:r>
              <w:rPr>
                <w:b/>
              </w:rPr>
              <w:t>代表资源</w:t>
            </w:r>
          </w:p>
        </w:tc>
        <w:tc>
          <w:tcPr>
            <w:tcW w:type="dxa" w:w="2665"/>
            <w:vAlign w:val="center"/>
            <w:shd w:fill="EAF0F5"/>
          </w:tcPr>
          <w:p>
            <w:pPr>
              <w:pStyle w:val="OutlineTable"/>
            </w:pPr>
            <w:r>
              <w:rPr>
                <w:b/>
              </w:rPr>
              <w:t>主要参照及判据</w:t>
            </w:r>
          </w:p>
        </w:tc>
        <w:tc>
          <w:tcPr>
            <w:tcW w:type="dxa" w:w="3231"/>
            <w:vAlign w:val="center"/>
            <w:shd w:fill="EAF0F5"/>
          </w:tcPr>
          <w:p>
            <w:pPr>
              <w:pStyle w:val="OutlineTable"/>
            </w:pPr>
            <w:r>
              <w:rPr>
                <w:b/>
              </w:rPr>
              <w:t>可说明的范围与限制</w:t>
            </w:r>
          </w:p>
        </w:tc>
      </w:tr>
      <w:tr>
        <w:trPr>
          <w:cantSplit/>
        </w:trPr>
        <w:tc>
          <w:tcPr>
            <w:tcW w:type="dxa" w:w="1531"/>
            <w:vAlign w:val="center"/>
          </w:tcPr>
          <w:p>
            <w:pPr>
              <w:pStyle w:val="OutlineTable"/>
            </w:pPr>
            <w:r>
              <w:t>参考文献身份与归属</w:t>
            </w:r>
          </w:p>
        </w:tc>
        <w:tc>
          <w:tcPr>
            <w:tcW w:type="dxa" w:w="2211"/>
            <w:vAlign w:val="center"/>
          </w:tcPr>
          <w:p>
            <w:pPr>
              <w:pStyle w:val="OutlineTable"/>
            </w:pPr>
            <w:r>
              <w:t>CiteCheck、REASONS、HALLMARK [N04,N07,N17]</w:t>
            </w:r>
          </w:p>
        </w:tc>
        <w:tc>
          <w:tcPr>
            <w:tcW w:type="dxa" w:w="2665"/>
            <w:vAlign w:val="center"/>
          </w:tcPr>
          <w:p>
            <w:pPr>
              <w:pStyle w:val="OutlineTable"/>
            </w:pPr>
            <w:r>
              <w:t>学术元数据、引用实例及受控扰动；字段匹配、错误检测和弃答</w:t>
            </w:r>
          </w:p>
        </w:tc>
        <w:tc>
          <w:tcPr>
            <w:tcW w:type="dxa" w:w="3231"/>
            <w:vAlign w:val="center"/>
          </w:tcPr>
          <w:p>
            <w:pPr>
              <w:pStyle w:val="OutlineTable"/>
            </w:pPr>
            <w:r>
              <w:t>不直接检查被引文献是否支持具体科学结论；未检索到需谨慎解释</w:t>
            </w:r>
          </w:p>
        </w:tc>
      </w:tr>
      <w:tr>
        <w:trPr>
          <w:cantSplit/>
        </w:trPr>
        <w:tc>
          <w:tcPr>
            <w:tcW w:type="dxa" w:w="1531"/>
            <w:vAlign w:val="center"/>
          </w:tcPr>
          <w:p>
            <w:pPr>
              <w:pStyle w:val="OutlineTable"/>
            </w:pPr>
            <w:r>
              <w:t>文献断言与来源支持</w:t>
            </w:r>
          </w:p>
        </w:tc>
        <w:tc>
          <w:tcPr>
            <w:tcW w:type="dxa" w:w="2211"/>
            <w:vAlign w:val="center"/>
          </w:tcPr>
          <w:p>
            <w:pPr>
              <w:pStyle w:val="OutlineTable"/>
            </w:pPr>
            <w:r>
              <w:t>SciFact、DeepSciVerify [L01,N05]</w:t>
            </w:r>
          </w:p>
        </w:tc>
        <w:tc>
          <w:tcPr>
            <w:tcW w:type="dxa" w:w="2665"/>
            <w:vAlign w:val="center"/>
          </w:tcPr>
          <w:p>
            <w:pPr>
              <w:pStyle w:val="OutlineTable"/>
            </w:pPr>
            <w:r>
              <w:t>给定摘要或全文片段；支持／反驳／信息不足</w:t>
            </w:r>
          </w:p>
        </w:tc>
        <w:tc>
          <w:tcPr>
            <w:tcW w:type="dxa" w:w="3231"/>
            <w:vAlign w:val="center"/>
          </w:tcPr>
          <w:p>
            <w:pPr>
              <w:pStyle w:val="OutlineTable"/>
            </w:pPr>
            <w:r>
              <w:t>受证据覆盖与裁判限制，不能替代独立科学真值</w:t>
            </w:r>
          </w:p>
        </w:tc>
      </w:tr>
      <w:tr>
        <w:trPr>
          <w:cantSplit/>
        </w:trPr>
        <w:tc>
          <w:tcPr>
            <w:tcW w:type="dxa" w:w="1531"/>
            <w:vAlign w:val="center"/>
          </w:tcPr>
          <w:p>
            <w:pPr>
              <w:pStyle w:val="OutlineTable"/>
            </w:pPr>
            <w:r>
              <w:t>文献综合回答</w:t>
            </w:r>
          </w:p>
        </w:tc>
        <w:tc>
          <w:tcPr>
            <w:tcW w:type="dxa" w:w="2211"/>
            <w:vAlign w:val="center"/>
          </w:tcPr>
          <w:p>
            <w:pPr>
              <w:pStyle w:val="OutlineTable"/>
            </w:pPr>
            <w:r>
              <w:t>LitQA/LitQA2、ScholarQABench [N01–N03]</w:t>
            </w:r>
          </w:p>
        </w:tc>
        <w:tc>
          <w:tcPr>
            <w:tcW w:type="dxa" w:w="2665"/>
            <w:vAlign w:val="center"/>
          </w:tcPr>
          <w:p>
            <w:pPr>
              <w:pStyle w:val="OutlineTable"/>
            </w:pPr>
            <w:r>
              <w:t>原文、参考答案和专家判断；回答正确、引用与覆盖</w:t>
            </w:r>
          </w:p>
        </w:tc>
        <w:tc>
          <w:tcPr>
            <w:tcW w:type="dxa" w:w="3231"/>
            <w:vAlign w:val="center"/>
          </w:tcPr>
          <w:p>
            <w:pPr>
              <w:pStyle w:val="OutlineTable"/>
            </w:pPr>
            <w:r>
              <w:t>多项指标反映不同能力，不能将问答分数直接称为幻觉率</w:t>
            </w:r>
          </w:p>
        </w:tc>
      </w:tr>
      <w:tr>
        <w:trPr>
          <w:cantSplit/>
        </w:trPr>
        <w:tc>
          <w:tcPr>
            <w:tcW w:type="dxa" w:w="1531"/>
            <w:vAlign w:val="center"/>
          </w:tcPr>
          <w:p>
            <w:pPr>
              <w:pStyle w:val="OutlineTable"/>
            </w:pPr>
            <w:r>
              <w:t>科学量值与关系</w:t>
            </w:r>
          </w:p>
        </w:tc>
        <w:tc>
          <w:tcPr>
            <w:tcW w:type="dxa" w:w="2211"/>
            <w:vAlign w:val="center"/>
          </w:tcPr>
          <w:p>
            <w:pPr>
              <w:pStyle w:val="OutlineTable"/>
            </w:pPr>
            <w:r>
              <w:t>MeasHalu/MeasEval [N06]</w:t>
            </w:r>
          </w:p>
        </w:tc>
        <w:tc>
          <w:tcPr>
            <w:tcW w:type="dxa" w:w="2665"/>
            <w:vAlign w:val="center"/>
          </w:tcPr>
          <w:p>
            <w:pPr>
              <w:pStyle w:val="OutlineTable"/>
            </w:pPr>
            <w:r>
              <w:t>量值、单位、修饰及实体关系标注</w:t>
            </w:r>
          </w:p>
        </w:tc>
        <w:tc>
          <w:tcPr>
            <w:tcW w:type="dxa" w:w="3231"/>
            <w:vAlign w:val="center"/>
          </w:tcPr>
          <w:p>
            <w:pPr>
              <w:pStyle w:val="OutlineTable"/>
            </w:pPr>
            <w:r>
              <w:t>抽取正确性限定在标注范围；格式与结构得分需单独解释</w:t>
            </w:r>
          </w:p>
        </w:tc>
      </w:tr>
      <w:tr>
        <w:trPr>
          <w:cantSplit/>
        </w:trPr>
        <w:tc>
          <w:tcPr>
            <w:tcW w:type="dxa" w:w="1531"/>
            <w:vAlign w:val="center"/>
          </w:tcPr>
          <w:p>
            <w:pPr>
              <w:pStyle w:val="OutlineTable"/>
            </w:pPr>
            <w:r>
              <w:t>图表中的科学断言</w:t>
            </w:r>
          </w:p>
        </w:tc>
        <w:tc>
          <w:tcPr>
            <w:tcW w:type="dxa" w:w="2211"/>
            <w:vAlign w:val="center"/>
          </w:tcPr>
          <w:p>
            <w:pPr>
              <w:pStyle w:val="OutlineTable"/>
            </w:pPr>
            <w:r>
              <w:t>MuSciClaims、SciAtomic [N09,N10]</w:t>
            </w:r>
          </w:p>
        </w:tc>
        <w:tc>
          <w:tcPr>
            <w:tcW w:type="dxa" w:w="2665"/>
            <w:vAlign w:val="center"/>
          </w:tcPr>
          <w:p>
            <w:pPr>
              <w:pStyle w:val="OutlineTable"/>
            </w:pPr>
            <w:r>
              <w:t>图像／图注或表格；支持关系、证据定位和运算</w:t>
            </w:r>
          </w:p>
        </w:tc>
        <w:tc>
          <w:tcPr>
            <w:tcW w:type="dxa" w:w="3231"/>
            <w:vAlign w:val="center"/>
          </w:tcPr>
          <w:p>
            <w:pPr>
              <w:pStyle w:val="OutlineTable"/>
            </w:pPr>
            <w:r>
              <w:t>主要核验给定图表，不验证图表背后的完整实验</w:t>
            </w:r>
          </w:p>
        </w:tc>
      </w:tr>
      <w:tr>
        <w:trPr>
          <w:cantSplit/>
        </w:trPr>
        <w:tc>
          <w:tcPr>
            <w:tcW w:type="dxa" w:w="1531"/>
            <w:vAlign w:val="center"/>
          </w:tcPr>
          <w:p>
            <w:pPr>
              <w:pStyle w:val="OutlineTable"/>
            </w:pPr>
            <w:r>
              <w:t>假设及论证前提</w:t>
            </w:r>
          </w:p>
        </w:tc>
        <w:tc>
          <w:tcPr>
            <w:tcW w:type="dxa" w:w="2211"/>
            <w:vAlign w:val="center"/>
          </w:tcPr>
          <w:p>
            <w:pPr>
              <w:pStyle w:val="OutlineTable"/>
            </w:pPr>
            <w:r>
              <w:t>TruthHypo、BioVerge [A01,A03]</w:t>
            </w:r>
          </w:p>
        </w:tc>
        <w:tc>
          <w:tcPr>
            <w:tcW w:type="dxa" w:w="2665"/>
            <w:vAlign w:val="center"/>
          </w:tcPr>
          <w:p>
            <w:pPr>
              <w:pStyle w:val="OutlineTable"/>
            </w:pPr>
            <w:r>
              <w:t>时间划分知识、后续关系或发现、专家／模型判断</w:t>
            </w:r>
          </w:p>
        </w:tc>
        <w:tc>
          <w:tcPr>
            <w:tcW w:type="dxa" w:w="3231"/>
            <w:vAlign w:val="center"/>
          </w:tcPr>
          <w:p>
            <w:pPr>
              <w:pStyle w:val="OutlineTable"/>
            </w:pPr>
            <w:r>
              <w:t>知识缺边不等于否定；新颖性、支持度和实验成立分别讨论</w:t>
            </w:r>
          </w:p>
        </w:tc>
      </w:tr>
      <w:tr>
        <w:trPr>
          <w:cantSplit/>
        </w:trPr>
        <w:tc>
          <w:tcPr>
            <w:tcW w:type="dxa" w:w="1531"/>
            <w:vAlign w:val="center"/>
          </w:tcPr>
          <w:p>
            <w:pPr>
              <w:pStyle w:val="OutlineTable"/>
            </w:pPr>
            <w:r>
              <w:t>生物实验协议</w:t>
            </w:r>
          </w:p>
        </w:tc>
        <w:tc>
          <w:tcPr>
            <w:tcW w:type="dxa" w:w="2211"/>
            <w:vAlign w:val="center"/>
          </w:tcPr>
          <w:p>
            <w:pPr>
              <w:pStyle w:val="OutlineTable"/>
            </w:pPr>
            <w:r>
              <w:t>BioPlanner、LAB-Bench [L16,L17]</w:t>
            </w:r>
          </w:p>
        </w:tc>
        <w:tc>
          <w:tcPr>
            <w:tcW w:type="dxa" w:w="2665"/>
            <w:vAlign w:val="center"/>
          </w:tcPr>
          <w:p>
            <w:pPr>
              <w:pStyle w:val="OutlineTable"/>
            </w:pPr>
            <w:r>
              <w:t>结构化协议、研究任务答案及修复判断</w:t>
            </w:r>
          </w:p>
        </w:tc>
        <w:tc>
          <w:tcPr>
            <w:tcW w:type="dxa" w:w="3231"/>
            <w:vAlign w:val="center"/>
          </w:tcPr>
          <w:p>
            <w:pPr>
              <w:pStyle w:val="OutlineTable"/>
            </w:pPr>
            <w:r>
              <w:t>规划和理解能力资源，不能证明新湿实验已完成</w:t>
            </w:r>
          </w:p>
        </w:tc>
      </w:tr>
      <w:tr>
        <w:trPr>
          <w:cantSplit/>
        </w:trPr>
        <w:tc>
          <w:tcPr>
            <w:tcW w:type="dxa" w:w="1531"/>
            <w:vAlign w:val="center"/>
          </w:tcPr>
          <w:p>
            <w:pPr>
              <w:pStyle w:val="OutlineTable"/>
            </w:pPr>
            <w:r>
              <w:t>计算实验实现</w:t>
            </w:r>
          </w:p>
        </w:tc>
        <w:tc>
          <w:tcPr>
            <w:tcW w:type="dxa" w:w="2211"/>
            <w:vAlign w:val="center"/>
          </w:tcPr>
          <w:p>
            <w:pPr>
              <w:pStyle w:val="OutlineTable"/>
            </w:pPr>
            <w:r>
              <w:t>ScienceAgentBench、ABE-Ralph [L20,A04]</w:t>
            </w:r>
          </w:p>
        </w:tc>
        <w:tc>
          <w:tcPr>
            <w:tcW w:type="dxa" w:w="2665"/>
            <w:vAlign w:val="center"/>
          </w:tcPr>
          <w:p>
            <w:pPr>
              <w:pStyle w:val="OutlineTable"/>
            </w:pPr>
            <w:r>
              <w:t>任务要求、代码、运行产物及方法／协议检查</w:t>
            </w:r>
          </w:p>
        </w:tc>
        <w:tc>
          <w:tcPr>
            <w:tcW w:type="dxa" w:w="3231"/>
            <w:vAlign w:val="center"/>
          </w:tcPr>
          <w:p>
            <w:pPr>
              <w:pStyle w:val="OutlineTable"/>
            </w:pPr>
            <w:r>
              <w:t>执行成功与实验忠实性不同；如实失败不自动属于幻觉</w:t>
            </w:r>
          </w:p>
        </w:tc>
      </w:tr>
      <w:tr>
        <w:trPr>
          <w:cantSplit/>
        </w:trPr>
        <w:tc>
          <w:tcPr>
            <w:tcW w:type="dxa" w:w="1531"/>
            <w:vAlign w:val="center"/>
          </w:tcPr>
          <w:p>
            <w:pPr>
              <w:pStyle w:val="OutlineTable"/>
            </w:pPr>
            <w:r>
              <w:t>科学数据分析与发现</w:t>
            </w:r>
          </w:p>
        </w:tc>
        <w:tc>
          <w:tcPr>
            <w:tcW w:type="dxa" w:w="2211"/>
            <w:vAlign w:val="center"/>
          </w:tcPr>
          <w:p>
            <w:pPr>
              <w:pStyle w:val="OutlineTable"/>
            </w:pPr>
            <w:r>
              <w:t>QRData、DiscoveryBench、DISCERN [N16,L28,L24]</w:t>
            </w:r>
          </w:p>
        </w:tc>
        <w:tc>
          <w:tcPr>
            <w:tcW w:type="dxa" w:w="2665"/>
            <w:vAlign w:val="center"/>
          </w:tcPr>
          <w:p>
            <w:pPr>
              <w:pStyle w:val="OutlineTable"/>
            </w:pPr>
            <w:r>
              <w:t>数据、数值答案、参考发现或受控缺陷</w:t>
            </w:r>
          </w:p>
        </w:tc>
        <w:tc>
          <w:tcPr>
            <w:tcW w:type="dxa" w:w="3231"/>
            <w:vAlign w:val="center"/>
          </w:tcPr>
          <w:p>
            <w:pPr>
              <w:pStyle w:val="OutlineTable"/>
            </w:pPr>
            <w:r>
              <w:t>指标和分母不同，部分任务独立计分；不构成统一全流程评价</w:t>
            </w:r>
          </w:p>
        </w:tc>
      </w:tr>
      <w:tr>
        <w:trPr>
          <w:cantSplit/>
        </w:trPr>
        <w:tc>
          <w:tcPr>
            <w:tcW w:type="dxa" w:w="1531"/>
            <w:vAlign w:val="center"/>
          </w:tcPr>
          <w:p>
            <w:pPr>
              <w:pStyle w:val="OutlineTable"/>
            </w:pPr>
            <w:r>
              <w:t>同次运行的结论支持</w:t>
            </w:r>
          </w:p>
        </w:tc>
        <w:tc>
          <w:tcPr>
            <w:tcW w:type="dxa" w:w="2211"/>
            <w:vAlign w:val="center"/>
          </w:tcPr>
          <w:p>
            <w:pPr>
              <w:pStyle w:val="OutlineTable"/>
            </w:pPr>
            <w:r>
              <w:t>SciRigor [L26]</w:t>
            </w:r>
          </w:p>
        </w:tc>
        <w:tc>
          <w:tcPr>
            <w:tcW w:type="dxa" w:w="2665"/>
            <w:vAlign w:val="center"/>
          </w:tcPr>
          <w:p>
            <w:pPr>
              <w:pStyle w:val="OutlineTable"/>
            </w:pPr>
            <w:r>
              <w:t>数据、计算、结果、图表和原子结论的依赖路径</w:t>
            </w:r>
          </w:p>
        </w:tc>
        <w:tc>
          <w:tcPr>
            <w:tcW w:type="dxa" w:w="3231"/>
            <w:vAlign w:val="center"/>
          </w:tcPr>
          <w:p>
            <w:pPr>
              <w:pStyle w:val="OutlineTable"/>
            </w:pPr>
            <w:r>
              <w:t>检查可观察支持关系，仍受研究参照和记录完整性限制</w:t>
            </w:r>
          </w:p>
        </w:tc>
      </w:tr>
      <w:tr>
        <w:trPr>
          <w:cantSplit/>
        </w:trPr>
        <w:tc>
          <w:tcPr>
            <w:tcW w:type="dxa" w:w="1531"/>
            <w:vAlign w:val="center"/>
          </w:tcPr>
          <w:p>
            <w:pPr>
              <w:pStyle w:val="OutlineTable"/>
            </w:pPr>
            <w:r>
              <w:t>跨阶段轨迹与审计</w:t>
            </w:r>
          </w:p>
        </w:tc>
        <w:tc>
          <w:tcPr>
            <w:tcW w:type="dxa" w:w="2211"/>
            <w:vAlign w:val="center"/>
          </w:tcPr>
          <w:p>
            <w:pPr>
              <w:pStyle w:val="OutlineTable"/>
            </w:pPr>
            <w:r>
              <w:t>SCHEMA、Xcientist [L11,N14]</w:t>
            </w:r>
          </w:p>
        </w:tc>
        <w:tc>
          <w:tcPr>
            <w:tcW w:type="dxa" w:w="2665"/>
            <w:vAlign w:val="center"/>
          </w:tcPr>
          <w:p>
            <w:pPr>
              <w:pStyle w:val="OutlineTable"/>
            </w:pPr>
            <w:r>
              <w:t>轨迹断言、证据关系、产物与局部干预</w:t>
            </w:r>
          </w:p>
        </w:tc>
        <w:tc>
          <w:tcPr>
            <w:tcW w:type="dxa" w:w="3231"/>
            <w:vAlign w:val="center"/>
          </w:tcPr>
          <w:p>
            <w:pPr>
              <w:pStyle w:val="OutlineTable"/>
            </w:pPr>
            <w:r>
              <w:t>核验状态、传播影响和确认错误需要分列，不用一个总分替代</w:t>
            </w:r>
          </w:p>
        </w:tc>
      </w:tr>
    </w:tbl>
    <w:p>
      <w:pPr>
        <w:spacing w:after="20"/>
      </w:pPr>
    </w:p>
    <w:p>
      <w:pPr>
        <w:pStyle w:val="Heading2"/>
      </w:pPr>
      <w:r>
        <w:t>5.2 参照依据与指标含义</w:t>
      </w:r>
    </w:p>
    <w:p>
      <w:pPr/>
      <w:r>
        <w:t>比较人类专家、原文和结构化数据库、确定性程序、模型裁判以及新开展实验的判定能力与局限。说明同一断言在不同证据范围下可以处于不同状态；如果模型只看到摘要，就不能把“摘要不足以支持”直接表述为“全文不支持”。</w:t>
      </w:r>
    </w:p>
    <w:p>
      <w:pPr/>
      <w:r>
        <w:t>逐项说明引用存在率、断言支持率、核验准确率、误报率、条件保留率、执行成功率和任务完成率的分母。对“未知”“信息不足”“弃答”“无法审计”给出处理口径，避免简单并入错误。REASONS和HALLMARK用于讨论弃答、覆盖及低发生率下误报的影响；HalluMat用于提醒相似度和一致性分数需接受事实标签的独立检验。[N07,N17,N08]</w:t>
      </w:r>
    </w:p>
    <w:p>
      <w:pPr/>
      <w:r>
        <w:t>对于模型裁判，讨论生成器与裁判的共享偏差、自然错误与合成扰动的差异，以及专家复核的信息范围。自一致性可作为筛查信号，但反复生成相同内容也可能是稳定错误。[N20,N25,L27]</w:t>
      </w:r>
    </w:p>
    <w:p>
      <w:pPr>
        <w:pStyle w:val="Heading2"/>
      </w:pPr>
      <w:r>
        <w:t>5.3 局部改进与流程可靠性</w:t>
      </w:r>
    </w:p>
    <w:p>
      <w:pPr/>
      <w:r>
        <w:t>提出跨论文比较需要明确的条件：相同或可对应的任务和评价单元；可比的证据与工具访问；明确的模型及数据版本；一致的尝试次数、成功选择方式与成本口径；相同的判定和未知处理规则。条件不同的研究，以适用条件和失败模式比较为主。</w:t>
      </w:r>
    </w:p>
    <w:p>
      <w:pPr/>
      <w:r>
        <w:t>分析“局部通过”为何不足以推出“全流程可靠”：引用正确而条件被误用，执行真实而对照不充分，图表一致而数据处理错误，以及记录齐全但科学推断超出研究设计。以SciRigor、ABE-Ralph和Xcientist对照其实际核验范围。[L26,A04,N14]</w:t>
      </w:r>
    </w:p>
    <w:p>
      <w:pPr/>
      <w:r>
        <w:t>对反馈和修复方法，比较同预算重试、真实反馈与模型自评、修复前后各阶段产物变化。需要新增测量时，应说明该成本来自计算、人工复核还是实际实验。相关建议由已检索研究的评价局限归纳，不将大纲中的比较原则描述为已经建立并验证的新基准。</w:t>
      </w:r>
    </w:p>
    <w:p>
      <w:pPr>
        <w:pStyle w:val="Heading1"/>
      </w:pPr>
      <w:r>
        <w:t>6 挑战与研究方向</w:t>
      </w:r>
    </w:p>
    <w:p>
      <w:pPr>
        <w:pStyle w:val="Heading2"/>
      </w:pPr>
      <w:r>
        <w:t>6.1 探索新知识与防止无依据断言</w:t>
      </w:r>
    </w:p>
    <w:p>
      <w:pPr/>
      <w:r>
        <w:t>对应第3.2节的张力：知识核验可以排除失实前提，但以已知关系为唯一参照会限制新发现。研究方向是分别表示候选假设、已知前提、待检验预测和验证状态；分别评价候选价值与理由可靠性。需要观察的方法效果包括保留有价值的未知候选、减少错误事实支撑，以及后续证据到来时是否合理更新判断。[A01,A03,L03,N11]</w:t>
      </w:r>
    </w:p>
    <w:p>
      <w:pPr>
        <w:pStyle w:val="Heading2"/>
      </w:pPr>
      <w:r>
        <w:t>6.2 条件化、多模态证据的获取与使用</w:t>
      </w:r>
    </w:p>
    <w:p>
      <w:pPr/>
      <w:r>
        <w:t>对应第3.1和3.4节：证据可能分散于正文、图表、补充材料、代码和数据版本中；扩大检索范围又增加解析、冲突处理和上下文利用难度。研究方向是把条件与来源一同保存，对关键缺失信息进行有目标的补检，并以条件改变后判断是否相应变化来评价真实利用。[L02,N06,N09,N10,N22]</w:t>
      </w:r>
    </w:p>
    <w:p>
      <w:pPr/>
      <w:r>
        <w:t>对训练层的知识保持、长尾知识和灾难性遗忘保留分层诊断需求。直接科学任务证据不足的机制作为待检验解释，不与已通过干预验证的成因并列下结论。[N29,S1]</w:t>
      </w:r>
    </w:p>
    <w:p>
      <w:pPr>
        <w:pStyle w:val="Heading2"/>
      </w:pPr>
      <w:r>
        <w:t>6.3 跨阶段诊断与可验证修复</w:t>
      </w:r>
    </w:p>
    <w:p>
      <w:pPr/>
      <w:r>
        <w:t>对应第4章：最早观察到的不受支持环节不一定是唯一根因；局部修复后其他依赖可能仍然失效。研究方向是保留替代解释、记录不同支持路径、区分需要重算与可以保留的分支，并在最终版本上核验全部受影响主张。评价应兼顾修复成功、正确内容保持、新错误、传播范围和成本。[L11,L21,L22,N15]</w:t>
      </w:r>
    </w:p>
    <w:p>
      <w:pPr>
        <w:pStyle w:val="Heading2"/>
      </w:pPr>
      <w:r>
        <w:t>6.4 核验强度、可观测性与真实科研成本</w:t>
      </w:r>
    </w:p>
    <w:p>
      <w:pPr/>
      <w:r>
        <w:t>对应第3.3和第5章：真实实验通常无法像模拟环境一样获得完整状态，多源核验也可能昂贵。研究方向是明确最低必要记录，根据不确定性和任务影响选择核验深度，并在需要时引入专家或实验确认。应分别报告记录可得性、已确认错误和仍未确定的问题。[N05,N12,N14,A04]</w:t>
      </w:r>
    </w:p>
    <w:p>
      <w:pPr/>
      <w:r>
        <w:t>评价资源需要进一步覆盖自然发生的错误、无错误对照、负面实验结果、合法的方法变更和低发生率场景。当前可以以计算科研和有完整记录的实验案例开展比较，再逐步检验其向真实实验室工作的迁移条件。</w:t>
      </w:r>
    </w:p>
    <w:p>
      <w:pPr>
        <w:pStyle w:val="Heading1"/>
      </w:pPr>
      <w:r>
        <w:t>7 总结</w:t>
      </w:r>
    </w:p>
    <w:p>
      <w:pPr/>
      <w:r>
        <w:t>沿四个阶段概括幻觉表现、成因证据和主要核验方法，再归纳跨阶段证据维护与修复的共同要求。结论集中回答本文主问题：不同阶段的“得到支持”含义不同，可靠使用需要让科学主张与相应来源、条件和验证状态保持对应。</w:t>
      </w:r>
    </w:p>
    <w:p>
      <w:pPr/>
      <w:r>
        <w:t>总结现有方法的覆盖与局限：文献和计算场景已有较多可操作资源；假设评价仍面临科学未知与知识覆盖的冲突；实际实验核验受记录与验证成本制约。展望与第6章逐项对应，不额外宣称本文发现了新的幻觉生成机制或完成了端到端验证。</w:t>
      </w:r>
    </w:p>
    <w:p>
      <w:pPr>
        <w:pStyle w:val="Heading1"/>
      </w:pPr>
      <w:r>
        <w:t>图表与篇幅配置</w:t>
      </w:r>
    </w:p>
    <w:p>
      <w:pPr/>
      <w:r>
        <w:t>建议正文控制在约1.2万—1.5万中文字符，优先保障第3章的文献比较；最终按期刊模板和正式要求调整。第1章约8%，第2章约15%，第3章约45%，第4章约13%，第5章约11%，第6—7章约8%。本文件是详细写作大纲，正文应将条目展开为有证据的综合论述。</w:t>
      </w:r>
    </w:p>
    <w:p>
      <w:pPr/>
      <w:r>
        <w:rPr>
          <w:b/>
        </w:rPr>
        <w:t>图1：科学发现四阶段与核验依据。</w:t>
      </w:r>
      <w:r>
        <w:t xml:space="preserve"> 采用四个流程模块，每个模块仅保留主要输入、产物和关键核验依据，配一条迭代返回线。它承担全篇导航，不放论文名单，不采用手机聊天界面。</w:t>
      </w:r>
    </w:p>
    <w:p>
      <w:pPr/>
      <w:r>
        <w:rPr>
          <w:b/>
        </w:rPr>
        <w:t>图2：一次条件丢失的传播与修复。</w:t>
      </w:r>
      <w:r>
        <w:t xml:space="preserve"> 使用一个明确标注为示意的例子，上部展示“原文有限定—摘要遗漏限定—假设或方案沿用—报告过度推广”；下部展示发现错点后补回条件、检查依赖并更新结论。控制为两行、每行四个节点。图只说明一条传播关系，不承担所有幻觉类型或全部方法的分类。</w:t>
      </w:r>
    </w:p>
    <w:p>
      <w:pPr/>
      <w:r>
        <w:rPr>
          <w:b/>
        </w:rPr>
        <w:t>表1：评价资源与核验边界。</w:t>
      </w:r>
      <w:r>
        <w:t xml:space="preserve"> 采用第5.1节的四列结构，围绕任务、参照、判据及边界比较资源。不同方法的覆盖和权衡在正文展开，避免用无统一口径的“强／中／弱”评分补表。</w:t>
      </w:r>
    </w:p>
    <w:p>
      <w:pPr/>
      <w:r>
        <w:t>配套文献、主要归属与使用边界见</w:t>
      </w:r>
      <w:hyperlink r:id="rId11">
        <w:r>
          <w:rPr>
            <w:color w:val="315A7A"/>
          </w:rPr>
          <w:t>文献调研清单</w:t>
        </w:r>
      </w:hyperlink>
      <w:r>
        <w:t>。</w:t>
      </w:r>
    </w:p>
    <w:p>
      <w:pPr>
        <w:pStyle w:val="Heading1"/>
      </w:pPr>
      <w:r>
        <w:t>文献编号对照</w:t>
      </w:r>
    </w:p>
    <w:p>
      <w:pPr>
        <w:pStyle w:val="OutlineReference"/>
      </w:pPr>
      <w:r>
        <w:t>以下列出本大纲实际使用的文献，编号用于与调研卡片互查。所列为本次核读的版本或来源；正式稿另行合并发表版本并按引用顺序编排。</w:t>
      </w:r>
    </w:p>
    <w:p>
      <w:pPr>
        <w:pStyle w:val="OutlineReference"/>
      </w:pPr>
      <w:r>
        <w:t>[S1] A Survey on Hallucination in Large Language Models: Principles, Taxonomy, Challenges, and Open Questions。</w:t>
      </w:r>
      <w:hyperlink r:id="rId12">
        <w:r>
          <w:rPr>
            <w:color w:val="315A7A"/>
          </w:rPr>
          <w:t>2311.05232</w:t>
        </w:r>
      </w:hyperlink>
      <w:r>
        <w:t>。</w:t>
      </w:r>
    </w:p>
    <w:p>
      <w:pPr>
        <w:pStyle w:val="OutlineReference"/>
      </w:pPr>
      <w:r>
        <w:t>[S2] A Comprehensive Survey of Scientific Large Language Models and Their Applications in Scientific Discovery。</w:t>
      </w:r>
      <w:hyperlink r:id="rId13">
        <w:r>
          <w:rPr>
            <w:color w:val="315A7A"/>
          </w:rPr>
          <w:t>2024.emnlp-main.498.pdf</w:t>
        </w:r>
      </w:hyperlink>
      <w:r>
        <w:t>。</w:t>
      </w:r>
    </w:p>
    <w:p>
      <w:pPr>
        <w:pStyle w:val="OutlineReference"/>
      </w:pPr>
      <w:r>
        <w:t>[S3] From Automation to Autonomy: A Survey on Large Language Models in Scientific Discovery。</w:t>
      </w:r>
      <w:hyperlink r:id="rId14">
        <w:r>
          <w:rPr>
            <w:color w:val="315A7A"/>
          </w:rPr>
          <w:t>2025.emnlp-main.895.pdf</w:t>
        </w:r>
      </w:hyperlink>
      <w:r>
        <w:t>。</w:t>
      </w:r>
    </w:p>
    <w:p>
      <w:pPr>
        <w:pStyle w:val="OutlineReference"/>
      </w:pPr>
      <w:r>
        <w:t>[S4] LLM-based Agents Suffer from Hallucinations: A Survey of Taxonomy, Methods, and Directions。</w:t>
      </w:r>
      <w:hyperlink r:id="rId15">
        <w:r>
          <w:rPr>
            <w:color w:val="315A7A"/>
          </w:rPr>
          <w:t>2509.18970v2</w:t>
        </w:r>
      </w:hyperlink>
      <w:r>
        <w:t>。</w:t>
      </w:r>
    </w:p>
    <w:p>
      <w:pPr>
        <w:pStyle w:val="OutlineReference"/>
      </w:pPr>
      <w:r>
        <w:t>[S5] A Survey of Scientific Large Language Models: From Data Foundations to Agent Frontiers。</w:t>
      </w:r>
      <w:hyperlink r:id="rId16">
        <w:r>
          <w:rPr>
            <w:color w:val="315A7A"/>
          </w:rPr>
          <w:t>2508.21148v2</w:t>
        </w:r>
      </w:hyperlink>
      <w:r>
        <w:t>。</w:t>
      </w:r>
    </w:p>
    <w:p>
      <w:pPr>
        <w:pStyle w:val="OutlineReference"/>
      </w:pPr>
      <w:r>
        <w:t>[S6] Hallucinations in LLMs: A Lifecycle-Based Survey of Causes, Detection, Mitigation, and Prevention。</w:t>
      </w:r>
      <w:hyperlink r:id="rId17">
        <w:r>
          <w:rPr>
            <w:color w:val="315A7A"/>
          </w:rPr>
          <w:t>2608.26168v1</w:t>
        </w:r>
      </w:hyperlink>
      <w:r>
        <w:t>。</w:t>
      </w:r>
    </w:p>
    <w:p>
      <w:pPr>
        <w:pStyle w:val="OutlineReference"/>
      </w:pPr>
      <w:r>
        <w:t>[S7] Towards Scientific Intelligence: A Survey of LLM-based Scientific Agents。</w:t>
      </w:r>
      <w:hyperlink r:id="rId18">
        <w:r>
          <w:rPr>
            <w:color w:val="315A7A"/>
          </w:rPr>
          <w:t>2503.24047v3</w:t>
        </w:r>
      </w:hyperlink>
      <w:r>
        <w:t>。</w:t>
      </w:r>
    </w:p>
    <w:p>
      <w:pPr>
        <w:pStyle w:val="OutlineReference"/>
      </w:pPr>
      <w:r>
        <w:t>[L01] Fact or Fiction: Verifying Scientific Claims。</w:t>
      </w:r>
      <w:hyperlink r:id="rId19">
        <w:r>
          <w:rPr>
            <w:color w:val="315A7A"/>
          </w:rPr>
          <w:t>2004.14974v6</w:t>
        </w:r>
      </w:hyperlink>
      <w:r>
        <w:t>。</w:t>
      </w:r>
    </w:p>
    <w:p>
      <w:pPr>
        <w:pStyle w:val="OutlineReference"/>
      </w:pPr>
      <w:r>
        <w:t>[L02] AskChem: Claim-Centered Infrastructure for Chemistry Literature Synthesis。</w:t>
      </w:r>
      <w:hyperlink r:id="rId20">
        <w:r>
          <w:rPr>
            <w:color w:val="315A7A"/>
          </w:rPr>
          <w:t>2607.28618v1</w:t>
        </w:r>
      </w:hyperlink>
      <w:r>
        <w:t>。</w:t>
      </w:r>
    </w:p>
    <w:p>
      <w:pPr>
        <w:pStyle w:val="OutlineReference"/>
      </w:pPr>
      <w:r>
        <w:t>[L03] HypoKG: Evidence-Disciplined Biomedical Hypothesis Generation Beyond Endpoint Knowledge。</w:t>
      </w:r>
      <w:hyperlink r:id="rId21">
        <w:r>
          <w:rPr>
            <w:color w:val="315A7A"/>
          </w:rPr>
          <w:t>2609.12260v1</w:t>
        </w:r>
      </w:hyperlink>
      <w:r>
        <w:t>。</w:t>
      </w:r>
    </w:p>
    <w:p>
      <w:pPr>
        <w:pStyle w:val="OutlineReference"/>
      </w:pPr>
      <w:r>
        <w:t>[L04] Generalization bias in large language model summarization of scientific research。</w:t>
      </w:r>
      <w:hyperlink r:id="rId22">
        <w:r>
          <w:rPr>
            <w:color w:val="315A7A"/>
          </w:rPr>
          <w:t>作者公开稿</w:t>
        </w:r>
      </w:hyperlink>
      <w:r>
        <w:t>。</w:t>
      </w:r>
    </w:p>
    <w:p>
      <w:pPr>
        <w:pStyle w:val="OutlineReference"/>
      </w:pPr>
      <w:r>
        <w:t>[L05] Stored Is Not Supported: Typed Provenance and Assertion Guardrails for Persistent AI Agents。</w:t>
      </w:r>
      <w:hyperlink r:id="rId23">
        <w:r>
          <w:rPr>
            <w:color w:val="315A7A"/>
          </w:rPr>
          <w:t>2609.02127v1</w:t>
        </w:r>
      </w:hyperlink>
      <w:r>
        <w:t>。</w:t>
      </w:r>
    </w:p>
    <w:p>
      <w:pPr>
        <w:pStyle w:val="OutlineReference"/>
      </w:pPr>
      <w:r>
        <w:t>[L06] VeryTrace: Verifying Reasoning Traces through Compilable Formalism and Structured Verification。</w:t>
      </w:r>
      <w:hyperlink r:id="rId24">
        <w:r>
          <w:rPr>
            <w:color w:val="315A7A"/>
          </w:rPr>
          <w:t>2606.24124v1</w:t>
        </w:r>
      </w:hyperlink>
      <w:r>
        <w:t>。</w:t>
      </w:r>
    </w:p>
    <w:p>
      <w:pPr>
        <w:pStyle w:val="OutlineReference"/>
      </w:pPr>
      <w:r>
        <w:t>[L10] Hypothesis Generation for Materials Discovery and Design Using Goal-Driven and Constraint-Guided LLM Agents。</w:t>
      </w:r>
      <w:hyperlink r:id="rId25">
        <w:r>
          <w:rPr>
            <w:color w:val="315A7A"/>
          </w:rPr>
          <w:t>2501.13299v2</w:t>
        </w:r>
      </w:hyperlink>
      <w:r>
        <w:t>。</w:t>
      </w:r>
    </w:p>
    <w:p>
      <w:pPr>
        <w:pStyle w:val="OutlineReference"/>
      </w:pPr>
      <w:r>
        <w:t>[L11] Tracing the Cascade: A Topology-Aware Evaluation Framework for Scientific Agent Hallucinations。</w:t>
      </w:r>
      <w:hyperlink r:id="rId26">
        <w:r>
          <w:rPr>
            <w:color w:val="315A7A"/>
          </w:rPr>
          <w:t>2608.00711v1</w:t>
        </w:r>
      </w:hyperlink>
      <w:r>
        <w:t>。</w:t>
      </w:r>
    </w:p>
    <w:p>
      <w:pPr>
        <w:pStyle w:val="OutlineReference"/>
      </w:pPr>
      <w:r>
        <w:t>[L16] BioPlanner: Automatic Evaluation of LLMs on Protocol Planning in Biology。</w:t>
      </w:r>
      <w:hyperlink r:id="rId27">
        <w:r>
          <w:rPr>
            <w:color w:val="315A7A"/>
          </w:rPr>
          <w:t>2310.10632v1</w:t>
        </w:r>
      </w:hyperlink>
      <w:r>
        <w:t>。</w:t>
      </w:r>
    </w:p>
    <w:p>
      <w:pPr>
        <w:pStyle w:val="OutlineReference"/>
      </w:pPr>
      <w:r>
        <w:t>[L17] LAB-Bench: Measuring Capabilities of Language Models for Biology Research。</w:t>
      </w:r>
      <w:hyperlink r:id="rId28">
        <w:r>
          <w:rPr>
            <w:color w:val="315A7A"/>
          </w:rPr>
          <w:t>2407.10362v3</w:t>
        </w:r>
      </w:hyperlink>
      <w:r>
        <w:t>。</w:t>
      </w:r>
    </w:p>
    <w:p>
      <w:pPr>
        <w:pStyle w:val="OutlineReference"/>
      </w:pPr>
      <w:r>
        <w:t>[L18] Emergent autonomous scientific research capabilities of large language models。</w:t>
      </w:r>
      <w:hyperlink r:id="rId29">
        <w:r>
          <w:rPr>
            <w:color w:val="315A7A"/>
          </w:rPr>
          <w:t>2304.05332v1</w:t>
        </w:r>
      </w:hyperlink>
      <w:r>
        <w:t>。</w:t>
      </w:r>
    </w:p>
    <w:p>
      <w:pPr>
        <w:pStyle w:val="OutlineReference"/>
      </w:pPr>
      <w:r>
        <w:t>[L19] DISCOVERYWORLD: A Virtual Environment for Developing and Evaluating Automated Scientific Discovery Agents。</w:t>
      </w:r>
      <w:hyperlink r:id="rId30">
        <w:r>
          <w:rPr>
            <w:color w:val="315A7A"/>
          </w:rPr>
          <w:t>2406.06769v2</w:t>
        </w:r>
      </w:hyperlink>
      <w:r>
        <w:t>。</w:t>
      </w:r>
    </w:p>
    <w:p>
      <w:pPr>
        <w:pStyle w:val="OutlineReference"/>
      </w:pPr>
      <w:r>
        <w:t>[L20] ScienceAgentBench: Toward Rigorous Assessment of Language Agents for Data-Driven Scientific Discovery。</w:t>
      </w:r>
      <w:hyperlink r:id="rId31">
        <w:r>
          <w:rPr>
            <w:color w:val="315A7A"/>
          </w:rPr>
          <w:t>2410.05080v3</w:t>
        </w:r>
      </w:hyperlink>
      <w:r>
        <w:t>。</w:t>
      </w:r>
    </w:p>
    <w:p>
      <w:pPr>
        <w:pStyle w:val="OutlineReference"/>
      </w:pPr>
      <w:r>
        <w:t>[L21] From Faulty Memories to Corrected Actions: Dependency-Guided Rollback Repair for Memory-Augmented Agents。</w:t>
      </w:r>
      <w:hyperlink r:id="rId32">
        <w:r>
          <w:rPr>
            <w:color w:val="315A7A"/>
          </w:rPr>
          <w:t>2608.10502v1</w:t>
        </w:r>
      </w:hyperlink>
      <w:r>
        <w:t>。</w:t>
      </w:r>
    </w:p>
    <w:p>
      <w:pPr>
        <w:pStyle w:val="OutlineReference"/>
      </w:pPr>
      <w:r>
        <w:t>[L22] CausalFlow: Causal Attribution and Counterfactual Repair for LLM Agent Failures。</w:t>
      </w:r>
      <w:hyperlink r:id="rId33">
        <w:r>
          <w:rPr>
            <w:color w:val="315A7A"/>
          </w:rPr>
          <w:t>2605.25338v1</w:t>
        </w:r>
      </w:hyperlink>
      <w:r>
        <w:t>。</w:t>
      </w:r>
    </w:p>
    <w:p>
      <w:pPr>
        <w:pStyle w:val="OutlineReference"/>
      </w:pPr>
      <w:r>
        <w:t>[L23] Training Language Models to Self-Correct via Reinforcement Learning。</w:t>
      </w:r>
      <w:hyperlink r:id="rId34">
        <w:r>
          <w:rPr>
            <w:color w:val="315A7A"/>
          </w:rPr>
          <w:t>2409.12917v2</w:t>
        </w:r>
      </w:hyperlink>
      <w:r>
        <w:t>。</w:t>
      </w:r>
    </w:p>
    <w:p>
      <w:pPr>
        <w:pStyle w:val="OutlineReference"/>
      </w:pPr>
      <w:r>
        <w:t>[L24] DISCERN: Can AI Agents Work Like Scientists and Guide Discovery?。</w:t>
      </w:r>
      <w:hyperlink r:id="rId35">
        <w:r>
          <w:rPr>
            <w:color w:val="315A7A"/>
          </w:rPr>
          <w:t>2609.33357v1</w:t>
        </w:r>
      </w:hyperlink>
      <w:r>
        <w:t>。</w:t>
      </w:r>
    </w:p>
    <w:p>
      <w:pPr>
        <w:pStyle w:val="OutlineReference"/>
      </w:pPr>
      <w:r>
        <w:t>[L25] Can AI Scientist Agents Learn from Lab-in-the-Loop Feedback? Evidence from Iterative Perturbation Discovery。</w:t>
      </w:r>
      <w:hyperlink r:id="rId36">
        <w:r>
          <w:rPr>
            <w:color w:val="315A7A"/>
          </w:rPr>
          <w:t>2603.26177v1</w:t>
        </w:r>
      </w:hyperlink>
      <w:r>
        <w:t>。</w:t>
      </w:r>
    </w:p>
    <w:p>
      <w:pPr>
        <w:pStyle w:val="OutlineReference"/>
      </w:pPr>
      <w:r>
        <w:t>[L26] SCIRIGOR: Evaluating Open-Ended Scientific Analysis Beyond Final Scores。</w:t>
      </w:r>
      <w:hyperlink r:id="rId37">
        <w:r>
          <w:rPr>
            <w:color w:val="315A7A"/>
          </w:rPr>
          <w:t>2609.06192v1</w:t>
        </w:r>
      </w:hyperlink>
      <w:r>
        <w:t>。</w:t>
      </w:r>
    </w:p>
    <w:p>
      <w:pPr>
        <w:pStyle w:val="OutlineReference"/>
      </w:pPr>
      <w:r>
        <w:t>[L27] HalluPeer: A Taxonomy-driven Benchmark for Detecting Hallucinations in Scientific Peer Reviews。</w:t>
      </w:r>
      <w:hyperlink r:id="rId38">
        <w:r>
          <w:rPr>
            <w:color w:val="315A7A"/>
          </w:rPr>
          <w:t>2609.03580v1</w:t>
        </w:r>
      </w:hyperlink>
      <w:r>
        <w:t>。</w:t>
      </w:r>
    </w:p>
    <w:p>
      <w:pPr>
        <w:pStyle w:val="OutlineReference"/>
      </w:pPr>
      <w:r>
        <w:t>[L28] DiscoveryBench: Towards Data-Driven Discovery with Large Language Models。</w:t>
      </w:r>
      <w:hyperlink r:id="rId39">
        <w:r>
          <w:rPr>
            <w:color w:val="315A7A"/>
          </w:rPr>
          <w:t>2407.01725v1</w:t>
        </w:r>
      </w:hyperlink>
      <w:r>
        <w:t>。</w:t>
      </w:r>
    </w:p>
    <w:p>
      <w:pPr>
        <w:pStyle w:val="OutlineReference"/>
      </w:pPr>
      <w:r>
        <w:t>[A01] Toward Reliable Scientific Hypothesis Generation: Evaluating Truthfulness and Hallucination in Large Language Models。</w:t>
      </w:r>
      <w:hyperlink r:id="rId40">
        <w:r>
          <w:rPr>
            <w:color w:val="315A7A"/>
          </w:rPr>
          <w:t>2505.14599v2</w:t>
        </w:r>
      </w:hyperlink>
      <w:r>
        <w:t>。</w:t>
      </w:r>
    </w:p>
    <w:p>
      <w:pPr>
        <w:pStyle w:val="OutlineReference"/>
      </w:pPr>
      <w:r>
        <w:t>[A02] Improving Scientific Hypothesis Generation with Knowledge Grounded Large Language Models。</w:t>
      </w:r>
      <w:hyperlink r:id="rId41">
        <w:r>
          <w:rPr>
            <w:color w:val="315A7A"/>
          </w:rPr>
          <w:t>2411.02382v1</w:t>
        </w:r>
      </w:hyperlink>
      <w:r>
        <w:t>。</w:t>
      </w:r>
    </w:p>
    <w:p>
      <w:pPr>
        <w:pStyle w:val="OutlineReference"/>
      </w:pPr>
      <w:r>
        <w:t>[A03] BioVerge: A Comprehensive Benchmark and Study of Self-Evaluating Agents for Biomedical Hypothesis Generation。</w:t>
      </w:r>
      <w:hyperlink r:id="rId42">
        <w:r>
          <w:rPr>
            <w:color w:val="315A7A"/>
          </w:rPr>
          <w:t>2511.08866v1</w:t>
        </w:r>
      </w:hyperlink>
      <w:r>
        <w:t>。</w:t>
      </w:r>
    </w:p>
    <w:p>
      <w:pPr>
        <w:pStyle w:val="OutlineReference"/>
      </w:pPr>
      <w:r>
        <w:t>[A04] Beyond Execution: Auditing Experimental Fidelity in LLM-Driven Scientific Research。</w:t>
      </w:r>
      <w:hyperlink r:id="rId43">
        <w:r>
          <w:rPr>
            <w:color w:val="315A7A"/>
          </w:rPr>
          <w:t>2608.26753v1</w:t>
        </w:r>
      </w:hyperlink>
      <w:r>
        <w:t>。</w:t>
      </w:r>
    </w:p>
    <w:p>
      <w:pPr>
        <w:pStyle w:val="OutlineReference"/>
      </w:pPr>
      <w:r>
        <w:t>[N01] PaperQA: Retrieval-Augmented Generative Agent for Scientific Research。</w:t>
      </w:r>
      <w:hyperlink r:id="rId44">
        <w:r>
          <w:rPr>
            <w:color w:val="315A7A"/>
          </w:rPr>
          <w:t>2312.07559v2</w:t>
        </w:r>
      </w:hyperlink>
      <w:r>
        <w:t>。</w:t>
      </w:r>
    </w:p>
    <w:p>
      <w:pPr>
        <w:pStyle w:val="OutlineReference"/>
      </w:pPr>
      <w:r>
        <w:t>[N02] Language agents achieve superhuman synthesis of scientific knowledge。</w:t>
      </w:r>
      <w:hyperlink r:id="rId45">
        <w:r>
          <w:rPr>
            <w:color w:val="315A7A"/>
          </w:rPr>
          <w:t>2409.13740v2</w:t>
        </w:r>
      </w:hyperlink>
      <w:r>
        <w:t>。</w:t>
      </w:r>
    </w:p>
    <w:p>
      <w:pPr>
        <w:pStyle w:val="OutlineReference"/>
      </w:pPr>
      <w:r>
        <w:t>[N03] OpenScholar: Synthesizing Scientific Literature with Retrieval-augmented LMs。</w:t>
      </w:r>
      <w:hyperlink r:id="rId46">
        <w:r>
          <w:rPr>
            <w:color w:val="315A7A"/>
          </w:rPr>
          <w:t>2411.14199v1</w:t>
        </w:r>
      </w:hyperlink>
      <w:r>
        <w:t>。</w:t>
      </w:r>
    </w:p>
    <w:p>
      <w:pPr>
        <w:pStyle w:val="OutlineReference"/>
      </w:pPr>
      <w:r>
        <w:t>[N04] CiteCheck: Retrieval-Grounded Detection of LLM Citation Hallucinations in Scientific Text。</w:t>
      </w:r>
      <w:hyperlink r:id="rId47">
        <w:r>
          <w:rPr>
            <w:color w:val="315A7A"/>
          </w:rPr>
          <w:t>2605.27700v2</w:t>
        </w:r>
      </w:hyperlink>
      <w:r>
        <w:t>。</w:t>
      </w:r>
    </w:p>
    <w:p>
      <w:pPr>
        <w:pStyle w:val="OutlineReference"/>
      </w:pPr>
      <w:r>
        <w:t>[N05] DeepSciVerify: Verifying Scientific Claim--Citation Alignment via LLM-Driven Evidence Escalation。</w:t>
      </w:r>
      <w:hyperlink r:id="rId48">
        <w:r>
          <w:rPr>
            <w:color w:val="315A7A"/>
          </w:rPr>
          <w:t>2605.27710v1</w:t>
        </w:r>
      </w:hyperlink>
      <w:r>
        <w:t>。</w:t>
      </w:r>
    </w:p>
    <w:p>
      <w:pPr>
        <w:pStyle w:val="OutlineReference"/>
      </w:pPr>
      <w:r>
        <w:t>[N06] MeasHalu: Mitigation of Scientific Measurement Hallucinations for Large Language Models with Enhanced Reasoning。</w:t>
      </w:r>
      <w:hyperlink r:id="rId49">
        <w:r>
          <w:rPr>
            <w:color w:val="315A7A"/>
          </w:rPr>
          <w:t>2604.16929v1</w:t>
        </w:r>
      </w:hyperlink>
      <w:r>
        <w:t>。</w:t>
      </w:r>
    </w:p>
    <w:p>
      <w:pPr>
        <w:pStyle w:val="OutlineReference"/>
      </w:pPr>
      <w:r>
        <w:t>[N07] Abstention vs. Hallucination: Benchmarking LLM Source Attribution for Scientific Citations。</w:t>
      </w:r>
      <w:hyperlink r:id="rId50">
        <w:r>
          <w:rPr>
            <w:color w:val="315A7A"/>
          </w:rPr>
          <w:t>2405.02228v5</w:t>
        </w:r>
      </w:hyperlink>
      <w:r>
        <w:t>。</w:t>
      </w:r>
    </w:p>
    <w:p>
      <w:pPr>
        <w:pStyle w:val="OutlineReference"/>
      </w:pPr>
      <w:r>
        <w:t>[N08] HalluMat: Detecting Hallucinations in LLM-Generated Materials Science Content Through Multi-Stage Verification。</w:t>
      </w:r>
      <w:hyperlink r:id="rId51">
        <w:r>
          <w:rPr>
            <w:color w:val="315A7A"/>
          </w:rPr>
          <w:t>2512.22396v1</w:t>
        </w:r>
      </w:hyperlink>
      <w:r>
        <w:t>。</w:t>
      </w:r>
    </w:p>
    <w:p>
      <w:pPr>
        <w:pStyle w:val="OutlineReference"/>
      </w:pPr>
      <w:r>
        <w:t>[N09] MuSciClaims: Multimodal Scientific Claim Verification。</w:t>
      </w:r>
      <w:hyperlink r:id="rId52">
        <w:r>
          <w:rPr>
            <w:color w:val="315A7A"/>
          </w:rPr>
          <w:t>2506.04585v2</w:t>
        </w:r>
      </w:hyperlink>
      <w:r>
        <w:t>。</w:t>
      </w:r>
    </w:p>
    <w:p>
      <w:pPr>
        <w:pStyle w:val="OutlineReference"/>
      </w:pPr>
      <w:r>
        <w:t>[N10] Atomic Reasoning for Scientific Table Claim Verification。</w:t>
      </w:r>
      <w:hyperlink r:id="rId53">
        <w:r>
          <w:rPr>
            <w:color w:val="315A7A"/>
          </w:rPr>
          <w:t>2506.06972v1</w:t>
        </w:r>
      </w:hyperlink>
      <w:r>
        <w:t>。</w:t>
      </w:r>
    </w:p>
    <w:p>
      <w:pPr>
        <w:pStyle w:val="OutlineReference"/>
      </w:pPr>
      <w:r>
        <w:t>[N11] Scientific Hypothesis Generation by Large Language Models: Laboratory Validation in Breast Cancer Treatment。</w:t>
      </w:r>
      <w:hyperlink r:id="rId54">
        <w:r>
          <w:rPr>
            <w:color w:val="315A7A"/>
          </w:rPr>
          <w:t>2405.12258v3</w:t>
        </w:r>
      </w:hyperlink>
      <w:r>
        <w:t>。</w:t>
      </w:r>
    </w:p>
    <w:p>
      <w:pPr>
        <w:pStyle w:val="OutlineReference"/>
      </w:pPr>
      <w:r>
        <w:t>[N12] Augmenting large language models with chemistry tools。</w:t>
      </w:r>
      <w:hyperlink r:id="rId55">
        <w:r>
          <w:rPr>
            <w:color w:val="315A7A"/>
          </w:rPr>
          <w:t>2304.05376v5</w:t>
        </w:r>
      </w:hyperlink>
      <w:r>
        <w:t>。</w:t>
      </w:r>
    </w:p>
    <w:p>
      <w:pPr>
        <w:pStyle w:val="OutlineReference"/>
      </w:pPr>
      <w:r>
        <w:t>[N13] The AI Scientist: Towards Fully Automated Open-Ended Scientific Discovery。</w:t>
      </w:r>
      <w:hyperlink r:id="rId56">
        <w:r>
          <w:rPr>
            <w:color w:val="315A7A"/>
          </w:rPr>
          <w:t>2408.06292v3</w:t>
        </w:r>
      </w:hyperlink>
      <w:r>
        <w:t>。</w:t>
      </w:r>
    </w:p>
    <w:p>
      <w:pPr>
        <w:pStyle w:val="OutlineReference"/>
      </w:pPr>
      <w:r>
        <w:t>[N14] Making AI Scientists Auditable from Evidence to Claim。</w:t>
      </w:r>
      <w:hyperlink r:id="rId57">
        <w:r>
          <w:rPr>
            <w:color w:val="315A7A"/>
          </w:rPr>
          <w:t>2606.18874v4</w:t>
        </w:r>
      </w:hyperlink>
      <w:r>
        <w:t>。</w:t>
      </w:r>
    </w:p>
    <w:p>
      <w:pPr>
        <w:pStyle w:val="OutlineReference"/>
      </w:pPr>
      <w:r>
        <w:t>[N15] One Reflection Is Not Enough: Self-Correcting Autonomous Research via Multi-Hypothesis Failure Attribution。</w:t>
      </w:r>
      <w:hyperlink r:id="rId58">
        <w:r>
          <w:rPr>
            <w:color w:val="315A7A"/>
          </w:rPr>
          <w:t>2606.31478v1</w:t>
        </w:r>
      </w:hyperlink>
      <w:r>
        <w:t>。</w:t>
      </w:r>
    </w:p>
    <w:p>
      <w:pPr>
        <w:pStyle w:val="OutlineReference"/>
      </w:pPr>
      <w:r>
        <w:t>[N16] Are LLMs Capable of Data-based Statistical and Causal Reasoning? Benchmarking Advanced Quantitative Reasoning with Data。</w:t>
      </w:r>
      <w:hyperlink r:id="rId59">
        <w:r>
          <w:rPr>
            <w:color w:val="315A7A"/>
          </w:rPr>
          <w:t>2402.17644v2</w:t>
        </w:r>
      </w:hyperlink>
      <w:r>
        <w:t>。</w:t>
      </w:r>
    </w:p>
    <w:p>
      <w:pPr>
        <w:pStyle w:val="OutlineReference"/>
      </w:pPr>
      <w:r>
        <w:t>[N17] HALLMARK: Diagnosing Three Failure Modes in LLM Citation Verifiers。</w:t>
      </w:r>
      <w:hyperlink r:id="rId60">
        <w:r>
          <w:rPr>
            <w:color w:val="315A7A"/>
          </w:rPr>
          <w:t>2607.18360v1</w:t>
        </w:r>
      </w:hyperlink>
      <w:r>
        <w:t>。</w:t>
      </w:r>
    </w:p>
    <w:p>
      <w:pPr>
        <w:pStyle w:val="OutlineReference"/>
      </w:pPr>
      <w:r>
        <w:t>[N18] Enabling Large Language Models to Generate Text with Citations。</w:t>
      </w:r>
      <w:hyperlink r:id="rId61">
        <w:r>
          <w:rPr>
            <w:color w:val="315A7A"/>
          </w:rPr>
          <w:t>2305.14627v2</w:t>
        </w:r>
      </w:hyperlink>
      <w:r>
        <w:t>。</w:t>
      </w:r>
    </w:p>
    <w:p>
      <w:pPr>
        <w:pStyle w:val="OutlineReference"/>
      </w:pPr>
      <w:r>
        <w:t>[N19] FActScore: Fine-grained Atomic Evaluation of Factual Precision in Long Form Text Generation。</w:t>
      </w:r>
      <w:hyperlink r:id="rId62">
        <w:r>
          <w:rPr>
            <w:color w:val="315A7A"/>
          </w:rPr>
          <w:t>2305.14251v2</w:t>
        </w:r>
      </w:hyperlink>
      <w:r>
        <w:t>。</w:t>
      </w:r>
    </w:p>
    <w:p>
      <w:pPr>
        <w:pStyle w:val="OutlineReference"/>
      </w:pPr>
      <w:r>
        <w:t>[N20] RAGTruth: A Hallucination Corpus for Developing Trustworthy Retrieval-Augmented Language Models。</w:t>
      </w:r>
      <w:hyperlink r:id="rId63">
        <w:r>
          <w:rPr>
            <w:color w:val="315A7A"/>
          </w:rPr>
          <w:t>2401.00396v2</w:t>
        </w:r>
      </w:hyperlink>
      <w:r>
        <w:t>。</w:t>
      </w:r>
    </w:p>
    <w:p>
      <w:pPr>
        <w:pStyle w:val="OutlineReference"/>
      </w:pPr>
      <w:r>
        <w:t>[N21] Self-RAG: Learning to Retrieve, Generate, and Critique through Self-Reflection。</w:t>
      </w:r>
      <w:hyperlink r:id="rId64">
        <w:r>
          <w:rPr>
            <w:color w:val="315A7A"/>
          </w:rPr>
          <w:t>2310.11511v1</w:t>
        </w:r>
      </w:hyperlink>
      <w:r>
        <w:t>。</w:t>
      </w:r>
    </w:p>
    <w:p>
      <w:pPr>
        <w:pStyle w:val="OutlineReference"/>
      </w:pPr>
      <w:r>
        <w:t>[N22] Lost in the Middle: How Language Models Use Long Contexts。</w:t>
      </w:r>
      <w:hyperlink r:id="rId65">
        <w:r>
          <w:rPr>
            <w:color w:val="315A7A"/>
          </w:rPr>
          <w:t>2307.03172v3</w:t>
        </w:r>
      </w:hyperlink>
      <w:r>
        <w:t>。</w:t>
      </w:r>
    </w:p>
    <w:p>
      <w:pPr>
        <w:pStyle w:val="OutlineReference"/>
      </w:pPr>
      <w:r>
        <w:t>[N23] RARR: Researching and Revising What Language Models Say, Using Language Models。</w:t>
      </w:r>
      <w:hyperlink r:id="rId66">
        <w:r>
          <w:rPr>
            <w:color w:val="315A7A"/>
          </w:rPr>
          <w:t>2210.08726v3</w:t>
        </w:r>
      </w:hyperlink>
      <w:r>
        <w:t>。</w:t>
      </w:r>
    </w:p>
    <w:p>
      <w:pPr>
        <w:pStyle w:val="OutlineReference"/>
      </w:pPr>
      <w:r>
        <w:t>[N24] Large Language Models Cannot Self-Correct Reasoning Yet。</w:t>
      </w:r>
      <w:hyperlink r:id="rId67">
        <w:r>
          <w:rPr>
            <w:color w:val="315A7A"/>
          </w:rPr>
          <w:t>2310.01798v2</w:t>
        </w:r>
      </w:hyperlink>
      <w:r>
        <w:t>。</w:t>
      </w:r>
    </w:p>
    <w:p>
      <w:pPr>
        <w:pStyle w:val="OutlineReference"/>
      </w:pPr>
      <w:r>
        <w:t>[N25] SelfCheckGPT: Zero-Resource Black-Box Hallucination Detection for Generative Large Language Models。</w:t>
      </w:r>
      <w:hyperlink r:id="rId68">
        <w:r>
          <w:rPr>
            <w:color w:val="315A7A"/>
          </w:rPr>
          <w:t>2303.08896v3</w:t>
        </w:r>
      </w:hyperlink>
      <w:r>
        <w:t>。</w:t>
      </w:r>
    </w:p>
    <w:p>
      <w:pPr>
        <w:pStyle w:val="OutlineReference"/>
      </w:pPr>
      <w:r>
        <w:t>[N26] Trusting Your Evidence: Hallucinate Less with Context-aware Decoding。</w:t>
      </w:r>
      <w:hyperlink r:id="rId69">
        <w:r>
          <w:rPr>
            <w:color w:val="315A7A"/>
          </w:rPr>
          <w:t>2305.14739v1</w:t>
        </w:r>
      </w:hyperlink>
      <w:r>
        <w:t>。</w:t>
      </w:r>
    </w:p>
    <w:p>
      <w:pPr>
        <w:pStyle w:val="OutlineReference"/>
      </w:pPr>
      <w:r>
        <w:t>[N27] Making Retrieval-Augmented Language Models Robust to Irrelevant Context。</w:t>
      </w:r>
      <w:hyperlink r:id="rId70">
        <w:r>
          <w:rPr>
            <w:color w:val="315A7A"/>
          </w:rPr>
          <w:t>2310.01558v2</w:t>
        </w:r>
      </w:hyperlink>
      <w:r>
        <w:t>。</w:t>
      </w:r>
    </w:p>
    <w:p>
      <w:pPr>
        <w:pStyle w:val="OutlineReference"/>
      </w:pPr>
      <w:r>
        <w:t>[N28] Dense X Retrieval: What Retrieval Granularity Should We Use?。</w:t>
      </w:r>
      <w:hyperlink r:id="rId71">
        <w:r>
          <w:rPr>
            <w:color w:val="315A7A"/>
          </w:rPr>
          <w:t>2312.06648v3</w:t>
        </w:r>
      </w:hyperlink>
      <w:r>
        <w:t>。</w:t>
      </w:r>
    </w:p>
    <w:p>
      <w:pPr>
        <w:pStyle w:val="OutlineReference"/>
      </w:pPr>
      <w:r>
        <w:t>[N29] When Not to Trust Language Models: Investigating Effectiveness of Parametric and Non-Parametric Memories。</w:t>
      </w:r>
      <w:hyperlink r:id="rId72">
        <w:r>
          <w:rPr>
            <w:color w:val="315A7A"/>
          </w:rPr>
          <w:t>2023.acl-long.546</w:t>
        </w:r>
      </w:hyperlink>
      <w:r>
        <w:t>。</w:t>
      </w:r>
    </w:p>
    <w:p>
      <w:pPr>
        <w:pStyle w:val="OutlineReference"/>
      </w:pPr>
      <w:r>
        <w:t>[N30] Entity-Based Knowledge Conflicts in Question Answering。</w:t>
      </w:r>
      <w:hyperlink r:id="rId73">
        <w:r>
          <w:rPr>
            <w:color w:val="315A7A"/>
          </w:rPr>
          <w:t>2021.emnlp-main.565</w:t>
        </w:r>
      </w:hyperlink>
      <w:r>
        <w:t>。</w:t>
      </w:r>
    </w:p>
    <w:sectPr w:rsidR="00FC693F" w:rsidRPr="0006063C" w:rsidSect="00034616">
      <w:headerReference w:type="default" r:id="rId9"/>
      <w:footerReference w:type="default" r:id="rId10"/>
      <w:pgSz w:w="11906" w:h="16838"/>
      <w:pgMar w:top="1077"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 </w:t>
    </w:r>
    <w:fldSimple w:instr="PAGE">
      <w:r>
        <w:t>1</w:t>
      </w:r>
    </w:fldSimple>
    <w:r>
      <w:rPr>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color w:val="6A7782"/>
        <w:sz w:val="16"/>
      </w:rPr>
      <w:t>科学发现中的大模型幻觉｜综述大纲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80"/>
    </w:pPr>
    <w:rPr>
      <w:rFonts w:ascii="Times New Roman" w:hAnsi="Times New Roman" w:eastAsia="宋体"/>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64" w:lineRule="auto"/>
      <w:outlineLvl w:val="0"/>
    </w:pPr>
    <w:rPr>
      <w:rFonts w:asciiTheme="majorHAnsi" w:eastAsiaTheme="majorEastAsia" w:hAnsiTheme="majorHAnsi" w:cstheme="majorBidi" w:ascii="Times New Roman" w:hAnsi="Times New Roman" w:eastAsia="微软雅黑"/>
      <w:b/>
      <w:bCs/>
      <w:color w:val="22374A"/>
      <w:sz w:val="26"/>
      <w:szCs w:val="28"/>
    </w:rPr>
  </w:style>
  <w:style w:type="paragraph" w:styleId="Heading2">
    <w:name w:val="heading 2"/>
    <w:basedOn w:val="Normal"/>
    <w:next w:val="Normal"/>
    <w:link w:val="Heading2Char"/>
    <w:uiPriority w:val="9"/>
    <w:unhideWhenUsed/>
    <w:qFormat/>
    <w:rsid w:val="00FC693F"/>
    <w:pPr>
      <w:keepNext/>
      <w:keepLines/>
      <w:spacing w:before="180" w:after="80" w:line="264" w:lineRule="auto"/>
      <w:outlineLvl w:val="1"/>
    </w:pPr>
    <w:rPr>
      <w:rFonts w:asciiTheme="majorHAnsi" w:eastAsiaTheme="majorEastAsia" w:hAnsiTheme="majorHAnsi" w:cstheme="majorBidi" w:ascii="Times New Roman" w:hAnsi="Times New Roman" w:eastAsia="微软雅黑"/>
      <w:b/>
      <w:bCs/>
      <w:color w:val="22374A"/>
      <w:sz w:val="24"/>
      <w:szCs w:val="26"/>
    </w:rPr>
  </w:style>
  <w:style w:type="paragraph" w:styleId="Heading3">
    <w:name w:val="heading 3"/>
    <w:basedOn w:val="Normal"/>
    <w:next w:val="Normal"/>
    <w:link w:val="Heading3Char"/>
    <w:uiPriority w:val="9"/>
    <w:unhideWhenUsed/>
    <w:qFormat/>
    <w:rsid w:val="00FC693F"/>
    <w:pPr>
      <w:keepNext/>
      <w:keepLines/>
      <w:spacing w:before="120" w:after="40" w:line="264" w:lineRule="auto"/>
      <w:outlineLvl w:val="2"/>
    </w:pPr>
    <w:rPr>
      <w:rFonts w:asciiTheme="majorHAnsi" w:eastAsiaTheme="majorEastAsia" w:hAnsiTheme="majorHAnsi" w:cstheme="majorBidi" w:ascii="Times New Roman" w:hAnsi="Times New Roman" w:eastAsia="微软雅黑"/>
      <w:b/>
      <w:bCs/>
      <w:color w:val="2237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64" w:lineRule="auto" w:before="0"/>
      <w:contextualSpacing/>
    </w:pPr>
    <w:rPr>
      <w:rFonts w:asciiTheme="majorHAnsi" w:eastAsiaTheme="majorEastAsia" w:hAnsiTheme="majorHAnsi" w:cstheme="majorBidi" w:ascii="Times New Roman" w:hAnsi="Times New Roman" w:eastAsia="微软雅黑"/>
      <w:b/>
      <w:color w:val="2237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tlineMeta">
    <w:name w:val="Outline Meta"/>
    <w:basedOn w:val="Normal"/>
    <w:pPr>
      <w:spacing w:line="269" w:lineRule="auto" w:after="80"/>
    </w:pPr>
    <w:rPr>
      <w:rFonts w:ascii="Times New Roman" w:hAnsi="Times New Roman" w:eastAsia="宋体"/>
      <w:b w:val="0"/>
      <w:color w:val="555555"/>
      <w:sz w:val="18"/>
    </w:rPr>
  </w:style>
  <w:style w:type="paragraph" w:customStyle="1" w:styleId="OutlineReference">
    <w:name w:val="Outline Reference"/>
    <w:basedOn w:val="Normal"/>
    <w:pPr>
      <w:keepLines/>
      <w:spacing w:line="269" w:lineRule="auto" w:after="80"/>
      <w:ind w:left="340" w:hanging="340"/>
    </w:pPr>
    <w:rPr>
      <w:rFonts w:ascii="Times New Roman" w:hAnsi="Times New Roman" w:eastAsia="宋体"/>
      <w:b w:val="0"/>
      <w:color w:val="222222"/>
      <w:sz w:val="18"/>
    </w:rPr>
  </w:style>
  <w:style w:type="paragraph" w:customStyle="1" w:styleId="OutlineTable">
    <w:name w:val="Outline Table"/>
    <w:basedOn w:val="Normal"/>
    <w:pPr>
      <w:spacing w:line="269" w:lineRule="auto" w:after="60" w:before="60"/>
    </w:pPr>
    <w:rPr>
      <w:rFonts w:ascii="Times New Roman" w:hAnsi="Times New Roman" w:eastAsia="宋体"/>
      <w:b w:val="0"/>
      <w:color w:val="222222"/>
      <w:sz w:val="19"/>
    </w:rPr>
  </w:style>
  <w:style w:type="paragraph" w:customStyle="1" w:styleId="OutlineList">
    <w:name w:val="Outline List"/>
    <w:basedOn w:val="Normal"/>
    <w:pPr>
      <w:spacing w:line="269" w:lineRule="auto" w:after="80"/>
      <w:ind w:left="283" w:hanging="283"/>
    </w:pPr>
    <w:rPr>
      <w:rFonts w:ascii="Times New Roman" w:hAnsi="Times New Roman" w:eastAsia="宋体"/>
      <w:b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25991;&#29486;&#35843;&#30740;&#28165;&#21333;-&#24037;&#20316;&#27969;&#29256;.md" TargetMode="External"/><Relationship Id="rId12" Type="http://schemas.openxmlformats.org/officeDocument/2006/relationships/hyperlink" Target="https://arxiv.org/abs/2311.05232" TargetMode="External"/><Relationship Id="rId13" Type="http://schemas.openxmlformats.org/officeDocument/2006/relationships/hyperlink" Target="https://aclanthology.org/2024.emnlp-main.498/" TargetMode="External"/><Relationship Id="rId14" Type="http://schemas.openxmlformats.org/officeDocument/2006/relationships/hyperlink" Target="https://aclanthology.org/2025.emnlp-main.895/" TargetMode="External"/><Relationship Id="rId15" Type="http://schemas.openxmlformats.org/officeDocument/2006/relationships/hyperlink" Target="https://arxiv.org/abs/2509.18970v2" TargetMode="External"/><Relationship Id="rId16" Type="http://schemas.openxmlformats.org/officeDocument/2006/relationships/hyperlink" Target="https://arxiv.org/abs/2508.21148v2" TargetMode="External"/><Relationship Id="rId17" Type="http://schemas.openxmlformats.org/officeDocument/2006/relationships/hyperlink" Target="https://arxiv.org/abs/2608.26168v1" TargetMode="External"/><Relationship Id="rId18" Type="http://schemas.openxmlformats.org/officeDocument/2006/relationships/hyperlink" Target="https://arxiv.org/abs/2503.24047v3" TargetMode="External"/><Relationship Id="rId19" Type="http://schemas.openxmlformats.org/officeDocument/2006/relationships/hyperlink" Target="https://arxiv.org/abs/2004.14974v6" TargetMode="External"/><Relationship Id="rId20" Type="http://schemas.openxmlformats.org/officeDocument/2006/relationships/hyperlink" Target="https://arxiv.org/abs/2607.28618v1" TargetMode="External"/><Relationship Id="rId21" Type="http://schemas.openxmlformats.org/officeDocument/2006/relationships/hyperlink" Target="https://arxiv.org/abs/2609.12260v1" TargetMode="External"/><Relationship Id="rId22" Type="http://schemas.openxmlformats.org/officeDocument/2006/relationships/hyperlink" Target="https://doi.org/10.1098/rsos.241776" TargetMode="External"/><Relationship Id="rId23" Type="http://schemas.openxmlformats.org/officeDocument/2006/relationships/hyperlink" Target="https://arxiv.org/abs/2609.02127v1" TargetMode="External"/><Relationship Id="rId24" Type="http://schemas.openxmlformats.org/officeDocument/2006/relationships/hyperlink" Target="https://arxiv.org/abs/2606.24124v1" TargetMode="External"/><Relationship Id="rId25" Type="http://schemas.openxmlformats.org/officeDocument/2006/relationships/hyperlink" Target="https://arxiv.org/abs/2501.13299v2" TargetMode="External"/><Relationship Id="rId26" Type="http://schemas.openxmlformats.org/officeDocument/2006/relationships/hyperlink" Target="https://arxiv.org/abs/2608.00711v1" TargetMode="External"/><Relationship Id="rId27" Type="http://schemas.openxmlformats.org/officeDocument/2006/relationships/hyperlink" Target="https://arxiv.org/abs/2310.10632v1" TargetMode="External"/><Relationship Id="rId28" Type="http://schemas.openxmlformats.org/officeDocument/2006/relationships/hyperlink" Target="https://arxiv.org/abs/2407.10362v3" TargetMode="External"/><Relationship Id="rId29" Type="http://schemas.openxmlformats.org/officeDocument/2006/relationships/hyperlink" Target="https://arxiv.org/abs/2304.05332v1" TargetMode="External"/><Relationship Id="rId30" Type="http://schemas.openxmlformats.org/officeDocument/2006/relationships/hyperlink" Target="https://arxiv.org/abs/2406.06769v2" TargetMode="External"/><Relationship Id="rId31" Type="http://schemas.openxmlformats.org/officeDocument/2006/relationships/hyperlink" Target="https://arxiv.org/abs/2410.05080v3" TargetMode="External"/><Relationship Id="rId32" Type="http://schemas.openxmlformats.org/officeDocument/2006/relationships/hyperlink" Target="https://arxiv.org/abs/2608.10502v1" TargetMode="External"/><Relationship Id="rId33" Type="http://schemas.openxmlformats.org/officeDocument/2006/relationships/hyperlink" Target="https://arxiv.org/abs/2605.25338v1" TargetMode="External"/><Relationship Id="rId34" Type="http://schemas.openxmlformats.org/officeDocument/2006/relationships/hyperlink" Target="https://arxiv.org/abs/2409.12917v2" TargetMode="External"/><Relationship Id="rId35" Type="http://schemas.openxmlformats.org/officeDocument/2006/relationships/hyperlink" Target="https://arxiv.org/abs/2609.33357v1" TargetMode="External"/><Relationship Id="rId36" Type="http://schemas.openxmlformats.org/officeDocument/2006/relationships/hyperlink" Target="https://arxiv.org/abs/2603.26177v1" TargetMode="External"/><Relationship Id="rId37" Type="http://schemas.openxmlformats.org/officeDocument/2006/relationships/hyperlink" Target="https://arxiv.org/abs/2609.06192v1" TargetMode="External"/><Relationship Id="rId38" Type="http://schemas.openxmlformats.org/officeDocument/2006/relationships/hyperlink" Target="https://arxiv.org/abs/2609.03580v1" TargetMode="External"/><Relationship Id="rId39" Type="http://schemas.openxmlformats.org/officeDocument/2006/relationships/hyperlink" Target="https://arxiv.org/abs/2407.01725v1" TargetMode="External"/><Relationship Id="rId40" Type="http://schemas.openxmlformats.org/officeDocument/2006/relationships/hyperlink" Target="https://arxiv.org/abs/2505.14599v2" TargetMode="External"/><Relationship Id="rId41" Type="http://schemas.openxmlformats.org/officeDocument/2006/relationships/hyperlink" Target="https://arxiv.org/abs/2411.02382v1" TargetMode="External"/><Relationship Id="rId42" Type="http://schemas.openxmlformats.org/officeDocument/2006/relationships/hyperlink" Target="https://arxiv.org/abs/2511.08866v1" TargetMode="External"/><Relationship Id="rId43" Type="http://schemas.openxmlformats.org/officeDocument/2006/relationships/hyperlink" Target="https://arxiv.org/abs/2608.26753v1" TargetMode="External"/><Relationship Id="rId44" Type="http://schemas.openxmlformats.org/officeDocument/2006/relationships/hyperlink" Target="https://arxiv.org/abs/2312.07559v2" TargetMode="External"/><Relationship Id="rId45" Type="http://schemas.openxmlformats.org/officeDocument/2006/relationships/hyperlink" Target="https://arxiv.org/abs/2409.13740v2" TargetMode="External"/><Relationship Id="rId46" Type="http://schemas.openxmlformats.org/officeDocument/2006/relationships/hyperlink" Target="https://arxiv.org/abs/2411.14199v1" TargetMode="External"/><Relationship Id="rId47" Type="http://schemas.openxmlformats.org/officeDocument/2006/relationships/hyperlink" Target="https://arxiv.org/abs/2605.27700v2" TargetMode="External"/><Relationship Id="rId48" Type="http://schemas.openxmlformats.org/officeDocument/2006/relationships/hyperlink" Target="https://arxiv.org/abs/2605.27710v1" TargetMode="External"/><Relationship Id="rId49" Type="http://schemas.openxmlformats.org/officeDocument/2006/relationships/hyperlink" Target="https://arxiv.org/abs/2604.16929v1" TargetMode="External"/><Relationship Id="rId50" Type="http://schemas.openxmlformats.org/officeDocument/2006/relationships/hyperlink" Target="https://arxiv.org/abs/2405.02228v5" TargetMode="External"/><Relationship Id="rId51" Type="http://schemas.openxmlformats.org/officeDocument/2006/relationships/hyperlink" Target="https://arxiv.org/abs/2512.22396v1" TargetMode="External"/><Relationship Id="rId52" Type="http://schemas.openxmlformats.org/officeDocument/2006/relationships/hyperlink" Target="https://arxiv.org/abs/2506.04585v2" TargetMode="External"/><Relationship Id="rId53" Type="http://schemas.openxmlformats.org/officeDocument/2006/relationships/hyperlink" Target="https://arxiv.org/abs/2506.06972v1" TargetMode="External"/><Relationship Id="rId54" Type="http://schemas.openxmlformats.org/officeDocument/2006/relationships/hyperlink" Target="https://arxiv.org/abs/2405.12258v3" TargetMode="External"/><Relationship Id="rId55" Type="http://schemas.openxmlformats.org/officeDocument/2006/relationships/hyperlink" Target="https://arxiv.org/abs/2304.05376v5" TargetMode="External"/><Relationship Id="rId56" Type="http://schemas.openxmlformats.org/officeDocument/2006/relationships/hyperlink" Target="https://arxiv.org/abs/2408.06292v3" TargetMode="External"/><Relationship Id="rId57" Type="http://schemas.openxmlformats.org/officeDocument/2006/relationships/hyperlink" Target="https://arxiv.org/abs/2606.18874v4" TargetMode="External"/><Relationship Id="rId58" Type="http://schemas.openxmlformats.org/officeDocument/2006/relationships/hyperlink" Target="https://arxiv.org/abs/2606.31478v1" TargetMode="External"/><Relationship Id="rId59" Type="http://schemas.openxmlformats.org/officeDocument/2006/relationships/hyperlink" Target="https://arxiv.org/abs/2402.17644v2" TargetMode="External"/><Relationship Id="rId60" Type="http://schemas.openxmlformats.org/officeDocument/2006/relationships/hyperlink" Target="https://arxiv.org/abs/2607.18360v1" TargetMode="External"/><Relationship Id="rId61" Type="http://schemas.openxmlformats.org/officeDocument/2006/relationships/hyperlink" Target="https://arxiv.org/abs/2305.14627v2" TargetMode="External"/><Relationship Id="rId62" Type="http://schemas.openxmlformats.org/officeDocument/2006/relationships/hyperlink" Target="https://arxiv.org/abs/2305.14251v2" TargetMode="External"/><Relationship Id="rId63" Type="http://schemas.openxmlformats.org/officeDocument/2006/relationships/hyperlink" Target="https://arxiv.org/abs/2401.00396v2" TargetMode="External"/><Relationship Id="rId64" Type="http://schemas.openxmlformats.org/officeDocument/2006/relationships/hyperlink" Target="https://arxiv.org/abs/2310.11511v1" TargetMode="External"/><Relationship Id="rId65" Type="http://schemas.openxmlformats.org/officeDocument/2006/relationships/hyperlink" Target="https://arxiv.org/abs/2307.03172v3" TargetMode="External"/><Relationship Id="rId66" Type="http://schemas.openxmlformats.org/officeDocument/2006/relationships/hyperlink" Target="https://arxiv.org/abs/2210.08726v3" TargetMode="External"/><Relationship Id="rId67" Type="http://schemas.openxmlformats.org/officeDocument/2006/relationships/hyperlink" Target="https://arxiv.org/abs/2310.01798v2" TargetMode="External"/><Relationship Id="rId68" Type="http://schemas.openxmlformats.org/officeDocument/2006/relationships/hyperlink" Target="https://arxiv.org/abs/2303.08896v3" TargetMode="External"/><Relationship Id="rId69" Type="http://schemas.openxmlformats.org/officeDocument/2006/relationships/hyperlink" Target="https://arxiv.org/abs/2305.14739v1" TargetMode="External"/><Relationship Id="rId70" Type="http://schemas.openxmlformats.org/officeDocument/2006/relationships/hyperlink" Target="https://arxiv.org/abs/2310.01558v2" TargetMode="External"/><Relationship Id="rId71" Type="http://schemas.openxmlformats.org/officeDocument/2006/relationships/hyperlink" Target="https://arxiv.org/abs/2312.06648v3" TargetMode="External"/><Relationship Id="rId72" Type="http://schemas.openxmlformats.org/officeDocument/2006/relationships/hyperlink" Target="https://aclanthology.org/2023.acl-long.546/" TargetMode="External"/><Relationship Id="rId73" Type="http://schemas.openxmlformats.org/officeDocument/2006/relationships/hyperlink" Target="https://aclanthology.org/2021.emnlp-main.5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科学发现工作流中的大模型幻觉：失效模式、核验与缓解</dc:title>
  <dc:subject>《计算机工程》数据科学与工程专题：选题与写作大纲</dc:subject>
  <dc:creator/>
  <cp:keywords>大语言模型;科学发现;幻觉;事实性;忠实性</cp:keywords>
  <dc:description>generated by python-docx</dc:description>
  <cp:lastModifiedBy/>
  <cp:revision>1</cp:revision>
  <dcterms:created xsi:type="dcterms:W3CDTF">2013-12-23T23:15:00Z</dcterms:created>
  <dcterms:modified xsi:type="dcterms:W3CDTF">2013-12-23T23:15:00Z</dcterms:modified>
  <cp:category/>
</cp:coreProperties>
</file>