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B81E432">
      <w:pPr>
        <w:autoSpaceDE w:val="0"/>
        <w:autoSpaceDN w:val="0"/>
        <w:rPr>
          <w:rFonts w:hint="eastAsia"/>
        </w:rPr>
      </w:pPr>
    </w:p>
    <w:p w14:paraId="011C1767">
      <w:pPr>
        <w:autoSpaceDE w:val="0"/>
        <w:autoSpaceDN w:val="0"/>
        <w:jc w:val="center"/>
        <w:rPr>
          <w:rFonts w:hint="eastAsia"/>
        </w:rPr>
      </w:pPr>
      <w:r>
        <w:rPr>
          <w:rFonts w:ascii="Times New Roman" w:hAnsi="Times New Roman" w:eastAsia="宋体" w:cs="Times New Roman"/>
          <w:color w:val="1F4E79"/>
          <w:sz w:val="30"/>
          <w:szCs w:val="32"/>
        </w:rPr>
        <w:t>全国大学生物联网设计竞赛</w:t>
      </w:r>
    </w:p>
    <w:p w14:paraId="2DBA779A">
      <w:pPr>
        <w:autoSpaceDE w:val="0"/>
        <w:autoSpaceDN w:val="0"/>
        <w:rPr>
          <w:rFonts w:hint="eastAsia"/>
        </w:rPr>
      </w:pPr>
    </w:p>
    <w:p w14:paraId="658B16BA">
      <w:pPr>
        <w:pBdr>
          <w:bottom w:val="single" w:color="2E75B6" w:sz="6" w:space="1"/>
        </w:pBdr>
        <w:autoSpaceDE w:val="0"/>
        <w:autoSpaceDN w:val="0"/>
        <w:jc w:val="center"/>
        <w:rPr>
          <w:rFonts w:hint="eastAsia"/>
        </w:rPr>
      </w:pPr>
    </w:p>
    <w:p w14:paraId="23F3C35D">
      <w:pPr>
        <w:autoSpaceDE w:val="0"/>
        <w:autoSpaceDN w:val="0"/>
        <w:rPr>
          <w:rFonts w:hint="eastAsia"/>
        </w:rPr>
      </w:pPr>
    </w:p>
    <w:p w14:paraId="599A843A">
      <w:pPr>
        <w:autoSpaceDE w:val="0"/>
        <w:autoSpaceDN w:val="0"/>
        <w:jc w:val="center"/>
        <w:rPr>
          <w:rFonts w:hint="eastAsia"/>
        </w:rPr>
      </w:pPr>
      <w:r>
        <w:rPr>
          <w:rFonts w:ascii="Times New Roman" w:hAnsi="Times New Roman" w:eastAsia="宋体" w:cs="Times New Roman"/>
          <w:b/>
          <w:bCs/>
          <w:color w:val="000000"/>
          <w:sz w:val="32"/>
          <w:szCs w:val="36"/>
        </w:rPr>
        <w:t>设计作品名称</w:t>
      </w:r>
    </w:p>
    <w:p w14:paraId="17CF7CD0">
      <w:pPr>
        <w:autoSpaceDE w:val="0"/>
        <w:autoSpaceDN w:val="0"/>
        <w:rPr>
          <w:rFonts w:hint="eastAsia"/>
        </w:rPr>
      </w:pPr>
    </w:p>
    <w:p w14:paraId="0DF405F1">
      <w:pPr>
        <w:autoSpaceDE w:val="0"/>
        <w:autoSpaceDN w:val="0"/>
        <w:jc w:val="center"/>
        <w:rPr>
          <w:rFonts w:hint="eastAsia"/>
        </w:rPr>
      </w:pPr>
      <w:r>
        <w:rPr>
          <w:rFonts w:ascii="黑体" w:hAnsi="黑体" w:eastAsia="黑体" w:cs="Times New Roman"/>
          <w:b/>
          <w:bCs/>
          <w:color w:val="1F4E79"/>
          <w:sz w:val="52"/>
          <w:szCs w:val="48"/>
        </w:rPr>
        <w:t>智能护理病床云平台</w:t>
      </w:r>
    </w:p>
    <w:p w14:paraId="6594A1E0">
      <w:pPr>
        <w:autoSpaceDE w:val="0"/>
        <w:autoSpaceDN w:val="0"/>
        <w:jc w:val="center"/>
        <w:rPr>
          <w:rFonts w:hint="eastAsia"/>
        </w:rPr>
      </w:pPr>
      <w:r>
        <w:rPr>
          <w:rFonts w:ascii="黑体" w:hAnsi="黑体" w:eastAsia="黑体" w:cs="Times New Roman"/>
          <w:b/>
          <w:color w:val="2E75B6"/>
          <w:sz w:val="32"/>
          <w:szCs w:val="26"/>
        </w:rPr>
        <w:t>——基于物联网与AI大模型的慢性病患者智能看护系统</w:t>
      </w:r>
    </w:p>
    <w:p w14:paraId="1212F87A">
      <w:pPr>
        <w:pBdr>
          <w:bottom w:val="single" w:color="2E75B6" w:sz="6" w:space="1"/>
        </w:pBdr>
        <w:autoSpaceDE w:val="0"/>
        <w:autoSpaceDN w:val="0"/>
        <w:jc w:val="center"/>
        <w:rPr>
          <w:rFonts w:hint="eastAsia"/>
        </w:rPr>
      </w:pPr>
    </w:p>
    <w:p w14:paraId="7CD31B96">
      <w:pPr>
        <w:autoSpaceDE w:val="0"/>
        <w:autoSpaceDN w:val="0"/>
        <w:rPr>
          <w:rFonts w:hint="eastAsia"/>
        </w:rPr>
      </w:pPr>
    </w:p>
    <w:tbl>
      <w:tblPr>
        <w:tblStyle w:val="16"/>
        <w:tblW w:w="54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3400"/>
      </w:tblGrid>
      <w:tr w14:paraId="65EE5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000" w:type="dxa"/>
            <w:tcMar>
              <w:top w:w="60" w:type="dxa"/>
              <w:left w:w="120" w:type="dxa"/>
              <w:bottom w:w="60" w:type="dxa"/>
              <w:right w:w="0" w:type="dxa"/>
            </w:tcMar>
            <w:vAlign w:val="center"/>
          </w:tcPr>
          <w:p w14:paraId="49D63D55">
            <w:pPr>
              <w:autoSpaceDE w:val="0"/>
              <w:autoSpaceDN w:val="0"/>
              <w:jc w:val="center"/>
              <w:rPr>
                <w:rFonts w:hint="eastAsia"/>
              </w:rPr>
            </w:pPr>
            <w:r>
              <w:rPr>
                <w:rFonts w:ascii="Times New Roman" w:hAnsi="Times New Roman" w:eastAsia="宋体" w:cs="Times New Roman"/>
                <w:b/>
                <w:bCs/>
                <w:color w:val="666666"/>
                <w:sz w:val="24"/>
                <w:szCs w:val="24"/>
              </w:rPr>
              <w:t>学校名称：</w:t>
            </w:r>
          </w:p>
        </w:tc>
        <w:tc>
          <w:tcPr>
            <w:tcW w:w="3400" w:type="dxa"/>
            <w:tcMar>
              <w:top w:w="60" w:type="dxa"/>
              <w:left w:w="120" w:type="dxa"/>
              <w:bottom w:w="60" w:type="dxa"/>
              <w:right w:w="120" w:type="dxa"/>
            </w:tcMar>
            <w:vAlign w:val="center"/>
          </w:tcPr>
          <w:p w14:paraId="3AFBB8D3">
            <w:pPr>
              <w:autoSpaceDE w:val="0"/>
              <w:autoSpaceDN w:val="0"/>
              <w:jc w:val="center"/>
              <w:rPr>
                <w:rFonts w:hint="eastAsia"/>
              </w:rPr>
            </w:pPr>
            <w:r>
              <w:rPr>
                <w:rFonts w:hint="eastAsia" w:ascii="Times New Roman" w:hAnsi="Times New Roman" w:eastAsia="宋体" w:cs="Times New Roman"/>
                <w:sz w:val="24"/>
                <w:szCs w:val="24"/>
              </w:rPr>
              <w:t>四川</w:t>
            </w:r>
            <w:r>
              <w:rPr>
                <w:rFonts w:ascii="Times New Roman" w:hAnsi="Times New Roman" w:eastAsia="宋体" w:cs="Times New Roman"/>
                <w:sz w:val="24"/>
                <w:szCs w:val="24"/>
              </w:rPr>
              <w:t>大学</w:t>
            </w:r>
          </w:p>
        </w:tc>
      </w:tr>
      <w:tr w14:paraId="43317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000" w:type="dxa"/>
            <w:tcMar>
              <w:top w:w="60" w:type="dxa"/>
              <w:left w:w="120" w:type="dxa"/>
              <w:bottom w:w="60" w:type="dxa"/>
              <w:right w:w="0" w:type="dxa"/>
            </w:tcMar>
            <w:vAlign w:val="center"/>
          </w:tcPr>
          <w:p w14:paraId="0302DE68">
            <w:pPr>
              <w:autoSpaceDE w:val="0"/>
              <w:autoSpaceDN w:val="0"/>
              <w:jc w:val="center"/>
              <w:rPr>
                <w:rFonts w:hint="eastAsia"/>
              </w:rPr>
            </w:pPr>
            <w:r>
              <w:rPr>
                <w:rFonts w:ascii="Times New Roman" w:hAnsi="Times New Roman" w:eastAsia="宋体" w:cs="Times New Roman"/>
                <w:b/>
                <w:bCs/>
                <w:color w:val="666666"/>
                <w:sz w:val="24"/>
                <w:szCs w:val="24"/>
              </w:rPr>
              <w:t>团队名称：</w:t>
            </w:r>
          </w:p>
        </w:tc>
        <w:tc>
          <w:tcPr>
            <w:tcW w:w="3400" w:type="dxa"/>
            <w:tcMar>
              <w:top w:w="60" w:type="dxa"/>
              <w:left w:w="120" w:type="dxa"/>
              <w:bottom w:w="60" w:type="dxa"/>
              <w:right w:w="120" w:type="dxa"/>
            </w:tcMar>
            <w:vAlign w:val="center"/>
          </w:tcPr>
          <w:p w14:paraId="201AE78B">
            <w:pPr>
              <w:autoSpaceDE w:val="0"/>
              <w:autoSpaceDN w:val="0"/>
              <w:jc w:val="center"/>
              <w:rPr>
                <w:rFonts w:hint="eastAsia"/>
              </w:rPr>
            </w:pPr>
            <w:r>
              <w:rPr>
                <w:rFonts w:hint="eastAsia" w:ascii="Times New Roman" w:hAnsi="Times New Roman" w:eastAsia="宋体" w:cs="Times New Roman"/>
                <w:sz w:val="24"/>
                <w:szCs w:val="24"/>
                <w:lang w:val="en-US" w:eastAsia="zh-CN"/>
              </w:rPr>
              <w:t>太聪明了</w:t>
            </w:r>
            <w:r>
              <w:rPr>
                <w:rFonts w:ascii="Times New Roman" w:hAnsi="Times New Roman" w:eastAsia="宋体" w:cs="Times New Roman"/>
                <w:sz w:val="24"/>
                <w:szCs w:val="24"/>
              </w:rPr>
              <w:t>队</w:t>
            </w:r>
          </w:p>
        </w:tc>
      </w:tr>
      <w:tr w14:paraId="798F87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000" w:type="dxa"/>
            <w:tcMar>
              <w:top w:w="60" w:type="dxa"/>
              <w:left w:w="120" w:type="dxa"/>
              <w:bottom w:w="60" w:type="dxa"/>
              <w:right w:w="0" w:type="dxa"/>
            </w:tcMar>
            <w:vAlign w:val="center"/>
          </w:tcPr>
          <w:p w14:paraId="5B879DF5">
            <w:pPr>
              <w:autoSpaceDE w:val="0"/>
              <w:autoSpaceDN w:val="0"/>
              <w:jc w:val="center"/>
              <w:rPr>
                <w:rFonts w:hint="eastAsia"/>
              </w:rPr>
            </w:pPr>
            <w:r>
              <w:rPr>
                <w:rFonts w:ascii="Times New Roman" w:hAnsi="Times New Roman" w:eastAsia="宋体" w:cs="Times New Roman"/>
                <w:b/>
                <w:bCs/>
                <w:color w:val="666666"/>
                <w:sz w:val="24"/>
                <w:szCs w:val="24"/>
              </w:rPr>
              <w:t>队长姓名：</w:t>
            </w:r>
          </w:p>
        </w:tc>
        <w:tc>
          <w:tcPr>
            <w:tcW w:w="3400" w:type="dxa"/>
            <w:tcMar>
              <w:top w:w="60" w:type="dxa"/>
              <w:left w:w="120" w:type="dxa"/>
              <w:bottom w:w="60" w:type="dxa"/>
              <w:right w:w="120" w:type="dxa"/>
            </w:tcMar>
            <w:vAlign w:val="center"/>
          </w:tcPr>
          <w:p w14:paraId="7CC3AB4C">
            <w:pPr>
              <w:autoSpaceDE w:val="0"/>
              <w:autoSpaceDN w:val="0"/>
              <w:jc w:val="center"/>
              <w:rPr>
                <w:rFonts w:hint="eastAsia"/>
              </w:rPr>
            </w:pPr>
            <w:r>
              <w:rPr>
                <w:rFonts w:hint="eastAsia" w:ascii="Times New Roman" w:hAnsi="Times New Roman" w:eastAsia="宋体"/>
                <w:sz w:val="21"/>
              </w:rPr>
              <w:t>赵元见</w:t>
            </w:r>
          </w:p>
        </w:tc>
      </w:tr>
      <w:tr w14:paraId="0C981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000" w:type="dxa"/>
            <w:tcMar>
              <w:top w:w="60" w:type="dxa"/>
              <w:left w:w="120" w:type="dxa"/>
              <w:bottom w:w="60" w:type="dxa"/>
              <w:right w:w="0" w:type="dxa"/>
            </w:tcMar>
            <w:vAlign w:val="center"/>
          </w:tcPr>
          <w:p w14:paraId="123B3012">
            <w:pPr>
              <w:autoSpaceDE w:val="0"/>
              <w:autoSpaceDN w:val="0"/>
              <w:jc w:val="center"/>
              <w:rPr>
                <w:rFonts w:hint="eastAsia"/>
              </w:rPr>
            </w:pPr>
            <w:r>
              <w:rPr>
                <w:rFonts w:ascii="Times New Roman" w:hAnsi="Times New Roman" w:eastAsia="宋体" w:cs="Times New Roman"/>
                <w:b/>
                <w:bCs/>
                <w:color w:val="666666"/>
                <w:sz w:val="24"/>
                <w:szCs w:val="24"/>
              </w:rPr>
              <w:t>指导教师：</w:t>
            </w:r>
          </w:p>
        </w:tc>
        <w:tc>
          <w:tcPr>
            <w:tcW w:w="3400" w:type="dxa"/>
            <w:tcMar>
              <w:top w:w="60" w:type="dxa"/>
              <w:left w:w="120" w:type="dxa"/>
              <w:bottom w:w="60" w:type="dxa"/>
              <w:right w:w="120" w:type="dxa"/>
            </w:tcMar>
            <w:vAlign w:val="center"/>
          </w:tcPr>
          <w:p w14:paraId="03AFDC03">
            <w:pPr>
              <w:autoSpaceDE w:val="0"/>
              <w:autoSpaceDN w:val="0"/>
              <w:jc w:val="center"/>
              <w:rPr>
                <w:rFonts w:hint="eastAsia"/>
              </w:rPr>
            </w:pPr>
            <w:r>
              <w:rPr>
                <w:rFonts w:hint="eastAsia" w:ascii="Times New Roman" w:hAnsi="Times New Roman" w:eastAsia="宋体"/>
                <w:sz w:val="21"/>
                <w:lang w:val="en-US" w:eastAsia="zh-CN"/>
              </w:rPr>
              <w:t>丁莎</w:t>
            </w:r>
          </w:p>
        </w:tc>
      </w:tr>
      <w:tr w14:paraId="16C0F1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000" w:type="dxa"/>
            <w:tcMar>
              <w:top w:w="60" w:type="dxa"/>
              <w:left w:w="120" w:type="dxa"/>
              <w:bottom w:w="60" w:type="dxa"/>
              <w:right w:w="0" w:type="dxa"/>
            </w:tcMar>
            <w:vAlign w:val="center"/>
          </w:tcPr>
          <w:p w14:paraId="42E1A145">
            <w:pPr>
              <w:autoSpaceDE w:val="0"/>
              <w:autoSpaceDN w:val="0"/>
              <w:jc w:val="center"/>
              <w:rPr>
                <w:rFonts w:hint="eastAsia"/>
              </w:rPr>
            </w:pPr>
            <w:r>
              <w:rPr>
                <w:rFonts w:ascii="Times New Roman" w:hAnsi="Times New Roman" w:eastAsia="宋体" w:cs="Times New Roman"/>
                <w:b/>
                <w:bCs/>
                <w:color w:val="666666"/>
                <w:sz w:val="24"/>
                <w:szCs w:val="24"/>
              </w:rPr>
              <w:t>联系电话：</w:t>
            </w:r>
          </w:p>
        </w:tc>
        <w:tc>
          <w:tcPr>
            <w:tcW w:w="3400" w:type="dxa"/>
            <w:tcMar>
              <w:top w:w="60" w:type="dxa"/>
              <w:left w:w="120" w:type="dxa"/>
              <w:bottom w:w="60" w:type="dxa"/>
              <w:right w:w="120" w:type="dxa"/>
            </w:tcMar>
            <w:vAlign w:val="center"/>
          </w:tcPr>
          <w:p w14:paraId="64F499E6">
            <w:pPr>
              <w:autoSpaceDE w:val="0"/>
              <w:autoSpaceDN w:val="0"/>
              <w:jc w:val="center"/>
              <w:rPr>
                <w:rFonts w:hint="default" w:eastAsia="宋体"/>
                <w:lang w:val="en-US" w:eastAsia="zh-CN"/>
              </w:rPr>
            </w:pPr>
            <w:r>
              <w:rPr>
                <w:rFonts w:hint="eastAsia" w:ascii="Times New Roman" w:hAnsi="Times New Roman" w:eastAsia="宋体" w:cs="Times New Roman"/>
                <w:sz w:val="24"/>
                <w:szCs w:val="24"/>
              </w:rPr>
              <w:t>1</w:t>
            </w:r>
            <w:r>
              <w:rPr>
                <w:rFonts w:hint="eastAsia" w:ascii="Times New Roman" w:hAnsi="Times New Roman" w:eastAsia="宋体" w:cs="Times New Roman"/>
                <w:sz w:val="24"/>
                <w:szCs w:val="24"/>
                <w:lang w:val="en-US" w:eastAsia="zh-CN"/>
              </w:rPr>
              <w:t>8190760886</w:t>
            </w:r>
          </w:p>
        </w:tc>
      </w:tr>
    </w:tbl>
    <w:p w14:paraId="02FCEF3A">
      <w:pPr>
        <w:autoSpaceDE w:val="0"/>
        <w:autoSpaceDN w:val="0"/>
        <w:rPr>
          <w:rFonts w:hint="eastAsia"/>
        </w:rPr>
      </w:pPr>
    </w:p>
    <w:p w14:paraId="3C723AFE">
      <w:pPr>
        <w:autoSpaceDE w:val="0"/>
        <w:autoSpaceDN w:val="0"/>
        <w:jc w:val="center"/>
        <w:rPr>
          <w:rFonts w:hint="eastAsia"/>
        </w:rPr>
      </w:pPr>
      <w:r>
        <w:rPr>
          <w:rFonts w:ascii="Times New Roman" w:hAnsi="Times New Roman" w:eastAsia="宋体" w:cs="Times New Roman"/>
          <w:color w:val="666666"/>
          <w:sz w:val="30"/>
        </w:rPr>
        <w:t>全国大学生物联网设计竞赛组委会</w:t>
      </w:r>
    </w:p>
    <w:p w14:paraId="054E0197">
      <w:pPr>
        <w:autoSpaceDE w:val="0"/>
        <w:autoSpaceDN w:val="0"/>
        <w:jc w:val="center"/>
        <w:rPr>
          <w:rFonts w:hint="eastAsia"/>
        </w:rPr>
      </w:pPr>
      <w:r>
        <w:rPr>
          <w:rFonts w:ascii="Times New Roman" w:hAnsi="Times New Roman" w:eastAsia="宋体" w:cs="Times New Roman"/>
          <w:color w:val="666666"/>
          <w:sz w:val="28"/>
        </w:rPr>
        <w:t>202</w:t>
      </w:r>
      <w:r>
        <w:rPr>
          <w:rFonts w:hint="eastAsia" w:ascii="Times New Roman" w:hAnsi="Times New Roman" w:eastAsia="宋体" w:cs="Times New Roman"/>
          <w:color w:val="666666"/>
          <w:sz w:val="28"/>
        </w:rPr>
        <w:t>6</w:t>
      </w:r>
      <w:r>
        <w:rPr>
          <w:rFonts w:ascii="Times New Roman" w:hAnsi="Times New Roman" w:eastAsia="宋体" w:cs="Times New Roman"/>
          <w:color w:val="666666"/>
          <w:sz w:val="28"/>
        </w:rPr>
        <w:t>年7月</w:t>
      </w:r>
    </w:p>
    <w:p w14:paraId="1C9FA3C6">
      <w:pPr>
        <w:autoSpaceDE w:val="0"/>
        <w:autoSpaceDN w:val="0"/>
        <w:rPr>
          <w:rFonts w:hint="eastAsia"/>
        </w:rPr>
        <w:sectPr>
          <w:pgSz w:w="11906" w:h="16838"/>
          <w:pgMar w:top="1800" w:right="1800" w:bottom="1800" w:left="1800" w:header="708" w:footer="708" w:gutter="0"/>
          <w:cols w:space="720" w:num="1"/>
          <w:docGrid w:linePitch="360" w:charSpace="0"/>
        </w:sectPr>
      </w:pPr>
    </w:p>
    <w:sdt>
      <w:sdtPr>
        <w:rPr>
          <w:rFonts w:ascii="宋体" w:hAnsi="宋体" w:eastAsia="宋体"/>
          <w:sz w:val="24"/>
          <w:szCs w:val="24"/>
        </w:rPr>
        <w:alias w:val="目录"/>
        <w:id w:val="338440648"/>
      </w:sdtPr>
      <w:sdtEndPr>
        <w:rPr>
          <w:rFonts w:ascii="宋体" w:hAnsi="宋体" w:eastAsia="宋体"/>
          <w:sz w:val="24"/>
          <w:szCs w:val="24"/>
        </w:rPr>
      </w:sdtEndPr>
      <w:sdtContent>
        <w:p w14:paraId="7474135A">
          <w:pPr>
            <w:pStyle w:val="12"/>
            <w:tabs>
              <w:tab w:val="right" w:leader="dot" w:pos="9016"/>
            </w:tabs>
            <w:rPr>
              <w:rFonts w:hint="eastAsia" w:asciiTheme="minorHAnsi" w:hAnsiTheme="minorHAnsi" w:eastAsiaTheme="minorEastAsia" w:cstheme="minorBidi"/>
              <w:kern w:val="2"/>
              <w:szCs w:val="24"/>
              <w14:ligatures w14:val="standardContextual"/>
            </w:rPr>
          </w:pPr>
          <w:r>
            <w:rPr>
              <w:rFonts w:ascii="宋体" w:hAnsi="宋体" w:eastAsia="宋体"/>
              <w:sz w:val="24"/>
              <w:szCs w:val="24"/>
            </w:rPr>
            <w:fldChar w:fldCharType="begin"/>
          </w:r>
          <w:r>
            <w:rPr>
              <w:rFonts w:ascii="宋体" w:hAnsi="宋体" w:eastAsia="宋体"/>
              <w:sz w:val="24"/>
              <w:szCs w:val="24"/>
            </w:rPr>
            <w:instrText xml:space="preserve">TOC \h \o "1-3"</w:instrText>
          </w:r>
          <w:r>
            <w:rPr>
              <w:rFonts w:ascii="宋体" w:hAnsi="宋体" w:eastAsia="宋体"/>
              <w:sz w:val="24"/>
              <w:szCs w:val="24"/>
            </w:rPr>
            <w:fldChar w:fldCharType="separate"/>
          </w:r>
          <w:r>
            <w:fldChar w:fldCharType="begin"/>
          </w:r>
          <w:r>
            <w:instrText xml:space="preserve"> HYPERLINK \l "_Toc224321308" </w:instrText>
          </w:r>
          <w:r>
            <w:fldChar w:fldCharType="separate"/>
          </w:r>
          <w:r>
            <w:rPr>
              <w:rStyle w:val="18"/>
              <w:rFonts w:hint="eastAsia" w:ascii="Times New Roman" w:hAnsi="Times New Roman" w:eastAsia="黑体" w:cs="Times New Roman"/>
            </w:rPr>
            <w:t>摘要</w:t>
          </w:r>
          <w:r>
            <w:rPr>
              <w:rFonts w:hint="eastAsia"/>
            </w:rPr>
            <w:tab/>
          </w:r>
          <w:r>
            <w:rPr>
              <w:rFonts w:hint="eastAsia"/>
            </w:rPr>
            <w:fldChar w:fldCharType="begin"/>
          </w:r>
          <w:r>
            <w:rPr>
              <w:rFonts w:hint="eastAsia"/>
            </w:rPr>
            <w:instrText xml:space="preserve"> </w:instrText>
          </w:r>
          <w:r>
            <w:instrText xml:space="preserve">PAGEREF _Toc224321308 \h</w:instrText>
          </w:r>
          <w:r>
            <w:rPr>
              <w:rFonts w:hint="eastAsia"/>
            </w:rPr>
            <w:instrText xml:space="preserve"> </w:instrText>
          </w:r>
          <w:r>
            <w:rPr>
              <w:rFonts w:hint="eastAsia"/>
            </w:rPr>
            <w:fldChar w:fldCharType="separate"/>
          </w:r>
          <w:r>
            <w:rPr>
              <w:rFonts w:hint="eastAsia"/>
            </w:rPr>
            <w:t>3</w:t>
          </w:r>
          <w:r>
            <w:rPr>
              <w:rFonts w:hint="eastAsia"/>
            </w:rPr>
            <w:fldChar w:fldCharType="end"/>
          </w:r>
          <w:r>
            <w:rPr>
              <w:rFonts w:hint="eastAsia"/>
            </w:rPr>
            <w:fldChar w:fldCharType="end"/>
          </w:r>
        </w:p>
        <w:p w14:paraId="241764A6">
          <w:pPr>
            <w:pStyle w:val="12"/>
            <w:tabs>
              <w:tab w:val="right" w:leader="dot" w:pos="9016"/>
            </w:tabs>
            <w:rPr>
              <w:rFonts w:hint="eastAsia" w:asciiTheme="minorHAnsi" w:hAnsiTheme="minorHAnsi" w:eastAsiaTheme="minorEastAsia" w:cstheme="minorBidi"/>
              <w:kern w:val="2"/>
              <w:szCs w:val="24"/>
              <w14:ligatures w14:val="standardContextual"/>
            </w:rPr>
          </w:pPr>
          <w:r>
            <w:fldChar w:fldCharType="begin"/>
          </w:r>
          <w:r>
            <w:instrText xml:space="preserve"> HYPERLINK \l "_Toc224321309" </w:instrText>
          </w:r>
          <w:r>
            <w:fldChar w:fldCharType="separate"/>
          </w:r>
          <w:r>
            <w:rPr>
              <w:rStyle w:val="18"/>
              <w:rFonts w:hint="eastAsia" w:ascii="Times New Roman" w:hAnsi="Times New Roman" w:eastAsia="黑体" w:cs="Times New Roman"/>
            </w:rPr>
            <w:t>设计需求分析</w:t>
          </w:r>
          <w:r>
            <w:rPr>
              <w:rFonts w:hint="eastAsia"/>
            </w:rPr>
            <w:tab/>
          </w:r>
          <w:r>
            <w:rPr>
              <w:rFonts w:hint="eastAsia"/>
            </w:rPr>
            <w:fldChar w:fldCharType="begin"/>
          </w:r>
          <w:r>
            <w:rPr>
              <w:rFonts w:hint="eastAsia"/>
            </w:rPr>
            <w:instrText xml:space="preserve"> </w:instrText>
          </w:r>
          <w:r>
            <w:instrText xml:space="preserve">PAGEREF _Toc224321309 \h</w:instrText>
          </w:r>
          <w:r>
            <w:rPr>
              <w:rFonts w:hint="eastAsia"/>
            </w:rPr>
            <w:instrText xml:space="preserve"> </w:instrText>
          </w:r>
          <w:r>
            <w:rPr>
              <w:rFonts w:hint="eastAsia"/>
            </w:rPr>
            <w:fldChar w:fldCharType="separate"/>
          </w:r>
          <w:r>
            <w:rPr>
              <w:rFonts w:hint="eastAsia"/>
            </w:rPr>
            <w:t>7</w:t>
          </w:r>
          <w:r>
            <w:rPr>
              <w:rFonts w:hint="eastAsia"/>
            </w:rPr>
            <w:fldChar w:fldCharType="end"/>
          </w:r>
          <w:r>
            <w:rPr>
              <w:rFonts w:hint="eastAsia"/>
            </w:rPr>
            <w:fldChar w:fldCharType="end"/>
          </w:r>
        </w:p>
        <w:p w14:paraId="307CFF02">
          <w:pPr>
            <w:pStyle w:val="14"/>
            <w:tabs>
              <w:tab w:val="right" w:leader="dot" w:pos="9016"/>
            </w:tabs>
            <w:ind w:left="440"/>
            <w:rPr>
              <w:rFonts w:hint="eastAsia" w:asciiTheme="minorHAnsi" w:hAnsiTheme="minorHAnsi" w:eastAsiaTheme="minorEastAsia" w:cstheme="minorBidi"/>
              <w:kern w:val="2"/>
              <w:szCs w:val="24"/>
              <w14:ligatures w14:val="standardContextual"/>
            </w:rPr>
          </w:pPr>
          <w:r>
            <w:fldChar w:fldCharType="begin"/>
          </w:r>
          <w:r>
            <w:instrText xml:space="preserve"> HYPERLINK \l "_Toc224321310" </w:instrText>
          </w:r>
          <w:r>
            <w:fldChar w:fldCharType="separate"/>
          </w:r>
          <w:r>
            <w:rPr>
              <w:rStyle w:val="18"/>
              <w:rFonts w:hint="eastAsia" w:ascii="Times New Roman" w:hAnsi="Times New Roman" w:eastAsia="黑体" w:cs="Times New Roman"/>
            </w:rPr>
            <w:t>需求分析</w:t>
          </w:r>
          <w:r>
            <w:rPr>
              <w:rFonts w:hint="eastAsia"/>
            </w:rPr>
            <w:tab/>
          </w:r>
          <w:r>
            <w:rPr>
              <w:rFonts w:hint="eastAsia"/>
            </w:rPr>
            <w:fldChar w:fldCharType="begin"/>
          </w:r>
          <w:r>
            <w:rPr>
              <w:rFonts w:hint="eastAsia"/>
            </w:rPr>
            <w:instrText xml:space="preserve"> </w:instrText>
          </w:r>
          <w:r>
            <w:instrText xml:space="preserve">PAGEREF _Toc224321310 \h</w:instrText>
          </w:r>
          <w:r>
            <w:rPr>
              <w:rFonts w:hint="eastAsia"/>
            </w:rPr>
            <w:instrText xml:space="preserve"> </w:instrText>
          </w:r>
          <w:r>
            <w:rPr>
              <w:rFonts w:hint="eastAsia"/>
            </w:rPr>
            <w:fldChar w:fldCharType="separate"/>
          </w:r>
          <w:r>
            <w:rPr>
              <w:rFonts w:hint="eastAsia"/>
            </w:rPr>
            <w:t>7</w:t>
          </w:r>
          <w:r>
            <w:rPr>
              <w:rFonts w:hint="eastAsia"/>
            </w:rPr>
            <w:fldChar w:fldCharType="end"/>
          </w:r>
          <w:r>
            <w:rPr>
              <w:rFonts w:hint="eastAsia"/>
            </w:rPr>
            <w:fldChar w:fldCharType="end"/>
          </w:r>
        </w:p>
        <w:p w14:paraId="464FCD3D">
          <w:pPr>
            <w:pStyle w:val="14"/>
            <w:tabs>
              <w:tab w:val="right" w:leader="dot" w:pos="9016"/>
            </w:tabs>
            <w:ind w:left="440"/>
            <w:rPr>
              <w:rFonts w:hint="eastAsia" w:asciiTheme="minorHAnsi" w:hAnsiTheme="minorHAnsi" w:eastAsiaTheme="minorEastAsia" w:cstheme="minorBidi"/>
              <w:kern w:val="2"/>
              <w:szCs w:val="24"/>
              <w14:ligatures w14:val="standardContextual"/>
            </w:rPr>
          </w:pPr>
          <w:r>
            <w:fldChar w:fldCharType="begin"/>
          </w:r>
          <w:r>
            <w:instrText xml:space="preserve"> HYPERLINK \l "_Toc224321311" </w:instrText>
          </w:r>
          <w:r>
            <w:fldChar w:fldCharType="separate"/>
          </w:r>
          <w:r>
            <w:rPr>
              <w:rStyle w:val="18"/>
              <w:rFonts w:hint="eastAsia" w:ascii="Times New Roman" w:hAnsi="Times New Roman" w:eastAsia="黑体" w:cs="Times New Roman"/>
            </w:rPr>
            <w:t>行业痛点</w:t>
          </w:r>
          <w:r>
            <w:rPr>
              <w:rFonts w:hint="eastAsia"/>
            </w:rPr>
            <w:tab/>
          </w:r>
          <w:r>
            <w:rPr>
              <w:rFonts w:hint="eastAsia"/>
            </w:rPr>
            <w:fldChar w:fldCharType="begin"/>
          </w:r>
          <w:r>
            <w:rPr>
              <w:rFonts w:hint="eastAsia"/>
            </w:rPr>
            <w:instrText xml:space="preserve"> </w:instrText>
          </w:r>
          <w:r>
            <w:instrText xml:space="preserve">PAGEREF _Toc224321311 \h</w:instrText>
          </w:r>
          <w:r>
            <w:rPr>
              <w:rFonts w:hint="eastAsia"/>
            </w:rPr>
            <w:instrText xml:space="preserve"> </w:instrText>
          </w:r>
          <w:r>
            <w:rPr>
              <w:rFonts w:hint="eastAsia"/>
            </w:rPr>
            <w:fldChar w:fldCharType="separate"/>
          </w:r>
          <w:r>
            <w:rPr>
              <w:rFonts w:hint="eastAsia"/>
            </w:rPr>
            <w:t>7</w:t>
          </w:r>
          <w:r>
            <w:rPr>
              <w:rFonts w:hint="eastAsia"/>
            </w:rPr>
            <w:fldChar w:fldCharType="end"/>
          </w:r>
          <w:r>
            <w:rPr>
              <w:rFonts w:hint="eastAsia"/>
            </w:rPr>
            <w:fldChar w:fldCharType="end"/>
          </w:r>
        </w:p>
        <w:p w14:paraId="7E816B02">
          <w:pPr>
            <w:pStyle w:val="12"/>
            <w:tabs>
              <w:tab w:val="right" w:leader="dot" w:pos="9016"/>
            </w:tabs>
            <w:rPr>
              <w:rFonts w:hint="eastAsia" w:asciiTheme="minorHAnsi" w:hAnsiTheme="minorHAnsi" w:eastAsiaTheme="minorEastAsia" w:cstheme="minorBidi"/>
              <w:kern w:val="2"/>
              <w:szCs w:val="24"/>
              <w14:ligatures w14:val="standardContextual"/>
            </w:rPr>
          </w:pPr>
          <w:r>
            <w:fldChar w:fldCharType="begin"/>
          </w:r>
          <w:r>
            <w:instrText xml:space="preserve"> HYPERLINK \l "_Toc224321312" </w:instrText>
          </w:r>
          <w:r>
            <w:fldChar w:fldCharType="separate"/>
          </w:r>
          <w:r>
            <w:rPr>
              <w:rStyle w:val="18"/>
              <w:rFonts w:hint="eastAsia" w:ascii="Times New Roman" w:hAnsi="Times New Roman" w:eastAsia="黑体" w:cs="Times New Roman"/>
            </w:rPr>
            <w:t>特色与创新</w:t>
          </w:r>
          <w:r>
            <w:rPr>
              <w:rFonts w:hint="eastAsia"/>
            </w:rPr>
            <w:tab/>
          </w:r>
          <w:r>
            <w:rPr>
              <w:rFonts w:hint="eastAsia"/>
            </w:rPr>
            <w:fldChar w:fldCharType="begin"/>
          </w:r>
          <w:r>
            <w:rPr>
              <w:rFonts w:hint="eastAsia"/>
            </w:rPr>
            <w:instrText xml:space="preserve"> </w:instrText>
          </w:r>
          <w:r>
            <w:instrText xml:space="preserve">PAGEREF _Toc224321312 \h</w:instrText>
          </w:r>
          <w:r>
            <w:rPr>
              <w:rFonts w:hint="eastAsia"/>
            </w:rPr>
            <w:instrText xml:space="preserve"> </w:instrText>
          </w:r>
          <w:r>
            <w:rPr>
              <w:rFonts w:hint="eastAsia"/>
            </w:rPr>
            <w:fldChar w:fldCharType="separate"/>
          </w:r>
          <w:r>
            <w:rPr>
              <w:rFonts w:hint="eastAsia"/>
            </w:rPr>
            <w:t>8</w:t>
          </w:r>
          <w:r>
            <w:rPr>
              <w:rFonts w:hint="eastAsia"/>
            </w:rPr>
            <w:fldChar w:fldCharType="end"/>
          </w:r>
          <w:r>
            <w:rPr>
              <w:rFonts w:hint="eastAsia"/>
            </w:rPr>
            <w:fldChar w:fldCharType="end"/>
          </w:r>
        </w:p>
        <w:p w14:paraId="45F3215D">
          <w:pPr>
            <w:pStyle w:val="14"/>
            <w:tabs>
              <w:tab w:val="right" w:leader="dot" w:pos="9016"/>
            </w:tabs>
            <w:ind w:left="440"/>
            <w:rPr>
              <w:rFonts w:hint="eastAsia" w:asciiTheme="minorHAnsi" w:hAnsiTheme="minorHAnsi" w:eastAsiaTheme="minorEastAsia" w:cstheme="minorBidi"/>
              <w:kern w:val="2"/>
              <w:szCs w:val="24"/>
              <w14:ligatures w14:val="standardContextual"/>
            </w:rPr>
          </w:pPr>
          <w:r>
            <w:fldChar w:fldCharType="begin"/>
          </w:r>
          <w:r>
            <w:instrText xml:space="preserve"> HYPERLINK \l "_Toc224321313" </w:instrText>
          </w:r>
          <w:r>
            <w:fldChar w:fldCharType="separate"/>
          </w:r>
          <w:r>
            <w:rPr>
              <w:rStyle w:val="18"/>
              <w:rFonts w:hint="eastAsia" w:ascii="Times New Roman" w:hAnsi="Times New Roman" w:eastAsia="黑体" w:cs="Times New Roman"/>
            </w:rPr>
            <w:t>技术创新</w:t>
          </w:r>
          <w:r>
            <w:rPr>
              <w:rFonts w:hint="eastAsia"/>
            </w:rPr>
            <w:tab/>
          </w:r>
          <w:r>
            <w:rPr>
              <w:rFonts w:hint="eastAsia"/>
            </w:rPr>
            <w:fldChar w:fldCharType="begin"/>
          </w:r>
          <w:r>
            <w:rPr>
              <w:rFonts w:hint="eastAsia"/>
            </w:rPr>
            <w:instrText xml:space="preserve"> </w:instrText>
          </w:r>
          <w:r>
            <w:instrText xml:space="preserve">PAGEREF _Toc224321313 \h</w:instrText>
          </w:r>
          <w:r>
            <w:rPr>
              <w:rFonts w:hint="eastAsia"/>
            </w:rPr>
            <w:instrText xml:space="preserve"> </w:instrText>
          </w:r>
          <w:r>
            <w:rPr>
              <w:rFonts w:hint="eastAsia"/>
            </w:rPr>
            <w:fldChar w:fldCharType="separate"/>
          </w:r>
          <w:r>
            <w:rPr>
              <w:rFonts w:hint="eastAsia"/>
            </w:rPr>
            <w:t>8</w:t>
          </w:r>
          <w:r>
            <w:rPr>
              <w:rFonts w:hint="eastAsia"/>
            </w:rPr>
            <w:fldChar w:fldCharType="end"/>
          </w:r>
          <w:r>
            <w:rPr>
              <w:rFonts w:hint="eastAsia"/>
            </w:rPr>
            <w:fldChar w:fldCharType="end"/>
          </w:r>
        </w:p>
        <w:p w14:paraId="1B53CD85">
          <w:pPr>
            <w:pStyle w:val="14"/>
            <w:tabs>
              <w:tab w:val="right" w:leader="dot" w:pos="9016"/>
            </w:tabs>
            <w:ind w:left="440"/>
            <w:rPr>
              <w:rFonts w:hint="eastAsia" w:asciiTheme="minorHAnsi" w:hAnsiTheme="minorHAnsi" w:eastAsiaTheme="minorEastAsia" w:cstheme="minorBidi"/>
              <w:kern w:val="2"/>
              <w:szCs w:val="24"/>
              <w14:ligatures w14:val="standardContextual"/>
            </w:rPr>
          </w:pPr>
          <w:r>
            <w:fldChar w:fldCharType="begin"/>
          </w:r>
          <w:r>
            <w:instrText xml:space="preserve"> HYPERLINK \l "_Toc224321314" </w:instrText>
          </w:r>
          <w:r>
            <w:fldChar w:fldCharType="separate"/>
          </w:r>
          <w:r>
            <w:rPr>
              <w:rStyle w:val="18"/>
              <w:rFonts w:hint="eastAsia" w:ascii="Times New Roman" w:hAnsi="Times New Roman" w:eastAsia="黑体" w:cs="Times New Roman"/>
            </w:rPr>
            <w:t>功能创新和优势</w:t>
          </w:r>
          <w:r>
            <w:rPr>
              <w:rFonts w:hint="eastAsia"/>
            </w:rPr>
            <w:tab/>
          </w:r>
          <w:r>
            <w:rPr>
              <w:rFonts w:hint="eastAsia"/>
            </w:rPr>
            <w:fldChar w:fldCharType="begin"/>
          </w:r>
          <w:r>
            <w:rPr>
              <w:rFonts w:hint="eastAsia"/>
            </w:rPr>
            <w:instrText xml:space="preserve"> </w:instrText>
          </w:r>
          <w:r>
            <w:instrText xml:space="preserve">PAGEREF _Toc224321314 \h</w:instrText>
          </w:r>
          <w:r>
            <w:rPr>
              <w:rFonts w:hint="eastAsia"/>
            </w:rPr>
            <w:instrText xml:space="preserve"> </w:instrText>
          </w:r>
          <w:r>
            <w:rPr>
              <w:rFonts w:hint="eastAsia"/>
            </w:rPr>
            <w:fldChar w:fldCharType="separate"/>
          </w:r>
          <w:r>
            <w:rPr>
              <w:rFonts w:hint="eastAsia"/>
            </w:rPr>
            <w:t>12</w:t>
          </w:r>
          <w:r>
            <w:rPr>
              <w:rFonts w:hint="eastAsia"/>
            </w:rPr>
            <w:fldChar w:fldCharType="end"/>
          </w:r>
          <w:r>
            <w:rPr>
              <w:rFonts w:hint="eastAsia"/>
            </w:rPr>
            <w:fldChar w:fldCharType="end"/>
          </w:r>
        </w:p>
        <w:p w14:paraId="79002DE5">
          <w:pPr>
            <w:pStyle w:val="12"/>
            <w:tabs>
              <w:tab w:val="right" w:leader="dot" w:pos="9016"/>
            </w:tabs>
            <w:rPr>
              <w:rFonts w:hint="eastAsia" w:asciiTheme="minorHAnsi" w:hAnsiTheme="minorHAnsi" w:eastAsiaTheme="minorEastAsia" w:cstheme="minorBidi"/>
              <w:kern w:val="2"/>
              <w:szCs w:val="24"/>
              <w14:ligatures w14:val="standardContextual"/>
            </w:rPr>
          </w:pPr>
          <w:r>
            <w:fldChar w:fldCharType="begin"/>
          </w:r>
          <w:r>
            <w:instrText xml:space="preserve"> HYPERLINK \l "_Toc224321315" </w:instrText>
          </w:r>
          <w:r>
            <w:fldChar w:fldCharType="separate"/>
          </w:r>
          <w:r>
            <w:rPr>
              <w:rStyle w:val="18"/>
              <w:rFonts w:hint="eastAsia" w:ascii="Times New Roman" w:hAnsi="Times New Roman" w:cs="Times New Roman"/>
            </w:rPr>
            <w:t>功能设计</w:t>
          </w:r>
          <w:r>
            <w:rPr>
              <w:rFonts w:hint="eastAsia"/>
            </w:rPr>
            <w:tab/>
          </w:r>
          <w:r>
            <w:rPr>
              <w:rFonts w:hint="eastAsia"/>
            </w:rPr>
            <w:fldChar w:fldCharType="begin"/>
          </w:r>
          <w:r>
            <w:rPr>
              <w:rFonts w:hint="eastAsia"/>
            </w:rPr>
            <w:instrText xml:space="preserve"> </w:instrText>
          </w:r>
          <w:r>
            <w:instrText xml:space="preserve">PAGEREF _Toc224321315 \h</w:instrText>
          </w:r>
          <w:r>
            <w:rPr>
              <w:rFonts w:hint="eastAsia"/>
            </w:rPr>
            <w:instrText xml:space="preserve"> </w:instrText>
          </w:r>
          <w:r>
            <w:rPr>
              <w:rFonts w:hint="eastAsia"/>
            </w:rPr>
            <w:fldChar w:fldCharType="separate"/>
          </w:r>
          <w:r>
            <w:rPr>
              <w:rFonts w:hint="eastAsia"/>
            </w:rPr>
            <w:t>15</w:t>
          </w:r>
          <w:r>
            <w:rPr>
              <w:rFonts w:hint="eastAsia"/>
            </w:rPr>
            <w:fldChar w:fldCharType="end"/>
          </w:r>
          <w:r>
            <w:rPr>
              <w:rFonts w:hint="eastAsia"/>
            </w:rPr>
            <w:fldChar w:fldCharType="end"/>
          </w:r>
        </w:p>
        <w:p w14:paraId="16EDAE71">
          <w:pPr>
            <w:pStyle w:val="14"/>
            <w:tabs>
              <w:tab w:val="right" w:leader="dot" w:pos="9016"/>
            </w:tabs>
            <w:ind w:left="440"/>
            <w:rPr>
              <w:rFonts w:hint="eastAsia" w:asciiTheme="minorHAnsi" w:hAnsiTheme="minorHAnsi" w:eastAsiaTheme="minorEastAsia" w:cstheme="minorBidi"/>
              <w:kern w:val="2"/>
              <w:szCs w:val="24"/>
              <w14:ligatures w14:val="standardContextual"/>
            </w:rPr>
          </w:pPr>
          <w:r>
            <w:fldChar w:fldCharType="begin"/>
          </w:r>
          <w:r>
            <w:instrText xml:space="preserve"> HYPERLINK \l "_Toc224321316" </w:instrText>
          </w:r>
          <w:r>
            <w:fldChar w:fldCharType="separate"/>
          </w:r>
          <w:r>
            <w:rPr>
              <w:rStyle w:val="18"/>
              <w:rFonts w:hint="eastAsia" w:ascii="Times New Roman" w:hAnsi="Times New Roman" w:cs="Times New Roman"/>
            </w:rPr>
            <w:t>整体结构</w:t>
          </w:r>
          <w:r>
            <w:rPr>
              <w:rFonts w:hint="eastAsia"/>
            </w:rPr>
            <w:tab/>
          </w:r>
          <w:r>
            <w:rPr>
              <w:rFonts w:hint="eastAsia"/>
            </w:rPr>
            <w:fldChar w:fldCharType="begin"/>
          </w:r>
          <w:r>
            <w:rPr>
              <w:rFonts w:hint="eastAsia"/>
            </w:rPr>
            <w:instrText xml:space="preserve"> </w:instrText>
          </w:r>
          <w:r>
            <w:instrText xml:space="preserve">PAGEREF _Toc224321316 \h</w:instrText>
          </w:r>
          <w:r>
            <w:rPr>
              <w:rFonts w:hint="eastAsia"/>
            </w:rPr>
            <w:instrText xml:space="preserve"> </w:instrText>
          </w:r>
          <w:r>
            <w:rPr>
              <w:rFonts w:hint="eastAsia"/>
            </w:rPr>
            <w:fldChar w:fldCharType="separate"/>
          </w:r>
          <w:r>
            <w:rPr>
              <w:rFonts w:hint="eastAsia"/>
            </w:rPr>
            <w:t>15</w:t>
          </w:r>
          <w:r>
            <w:rPr>
              <w:rFonts w:hint="eastAsia"/>
            </w:rPr>
            <w:fldChar w:fldCharType="end"/>
          </w:r>
          <w:r>
            <w:rPr>
              <w:rFonts w:hint="eastAsia"/>
            </w:rPr>
            <w:fldChar w:fldCharType="end"/>
          </w:r>
        </w:p>
        <w:p w14:paraId="3749EF75">
          <w:pPr>
            <w:pStyle w:val="9"/>
            <w:tabs>
              <w:tab w:val="right" w:leader="dot" w:pos="9016"/>
            </w:tabs>
            <w:ind w:left="880"/>
            <w:rPr>
              <w:rFonts w:hint="eastAsia" w:asciiTheme="minorHAnsi" w:hAnsiTheme="minorHAnsi" w:eastAsiaTheme="minorEastAsia" w:cstheme="minorBidi"/>
              <w:kern w:val="2"/>
              <w:szCs w:val="24"/>
              <w14:ligatures w14:val="standardContextual"/>
            </w:rPr>
          </w:pPr>
          <w:r>
            <w:fldChar w:fldCharType="begin"/>
          </w:r>
          <w:r>
            <w:instrText xml:space="preserve"> HYPERLINK \l "_Toc224321317" </w:instrText>
          </w:r>
          <w:r>
            <w:fldChar w:fldCharType="separate"/>
          </w:r>
          <w:r>
            <w:rPr>
              <w:rStyle w:val="18"/>
              <w:rFonts w:hint="eastAsia" w:ascii="Times New Roman" w:hAnsi="Times New Roman" w:eastAsia="黑体" w:cs="Times New Roman"/>
            </w:rPr>
            <w:t>体征数据实时监测与告警</w:t>
          </w:r>
          <w:r>
            <w:rPr>
              <w:rFonts w:hint="eastAsia"/>
            </w:rPr>
            <w:tab/>
          </w:r>
          <w:r>
            <w:rPr>
              <w:rFonts w:hint="eastAsia"/>
            </w:rPr>
            <w:fldChar w:fldCharType="begin"/>
          </w:r>
          <w:r>
            <w:rPr>
              <w:rFonts w:hint="eastAsia"/>
            </w:rPr>
            <w:instrText xml:space="preserve"> </w:instrText>
          </w:r>
          <w:r>
            <w:instrText xml:space="preserve">PAGEREF _Toc224321317 \h</w:instrText>
          </w:r>
          <w:r>
            <w:rPr>
              <w:rFonts w:hint="eastAsia"/>
            </w:rPr>
            <w:instrText xml:space="preserve"> </w:instrText>
          </w:r>
          <w:r>
            <w:rPr>
              <w:rFonts w:hint="eastAsia"/>
            </w:rPr>
            <w:fldChar w:fldCharType="separate"/>
          </w:r>
          <w:r>
            <w:rPr>
              <w:rFonts w:hint="eastAsia"/>
            </w:rPr>
            <w:t>15</w:t>
          </w:r>
          <w:r>
            <w:rPr>
              <w:rFonts w:hint="eastAsia"/>
            </w:rPr>
            <w:fldChar w:fldCharType="end"/>
          </w:r>
          <w:r>
            <w:rPr>
              <w:rFonts w:hint="eastAsia"/>
            </w:rPr>
            <w:fldChar w:fldCharType="end"/>
          </w:r>
        </w:p>
        <w:p w14:paraId="2A741D25">
          <w:pPr>
            <w:pStyle w:val="9"/>
            <w:tabs>
              <w:tab w:val="right" w:leader="dot" w:pos="9016"/>
            </w:tabs>
            <w:ind w:left="880"/>
            <w:rPr>
              <w:rFonts w:hint="eastAsia" w:asciiTheme="minorHAnsi" w:hAnsiTheme="minorHAnsi" w:eastAsiaTheme="minorEastAsia" w:cstheme="minorBidi"/>
              <w:kern w:val="2"/>
              <w:szCs w:val="24"/>
              <w14:ligatures w14:val="standardContextual"/>
            </w:rPr>
          </w:pPr>
          <w:r>
            <w:fldChar w:fldCharType="begin"/>
          </w:r>
          <w:r>
            <w:instrText xml:space="preserve"> HYPERLINK \l "_Toc224321318" </w:instrText>
          </w:r>
          <w:r>
            <w:fldChar w:fldCharType="separate"/>
          </w:r>
          <w:r>
            <w:rPr>
              <w:rStyle w:val="18"/>
              <w:rFonts w:hint="eastAsia" w:ascii="Times New Roman" w:hAnsi="Times New Roman" w:eastAsia="黑体" w:cs="Times New Roman"/>
            </w:rPr>
            <w:t>边缘AI睡姿分类与受压风险监测</w:t>
          </w:r>
          <w:r>
            <w:rPr>
              <w:rFonts w:hint="eastAsia"/>
            </w:rPr>
            <w:tab/>
          </w:r>
          <w:r>
            <w:rPr>
              <w:rFonts w:hint="eastAsia"/>
            </w:rPr>
            <w:fldChar w:fldCharType="begin"/>
          </w:r>
          <w:r>
            <w:rPr>
              <w:rFonts w:hint="eastAsia"/>
            </w:rPr>
            <w:instrText xml:space="preserve"> </w:instrText>
          </w:r>
          <w:r>
            <w:instrText xml:space="preserve">PAGEREF _Toc224321318 \h</w:instrText>
          </w:r>
          <w:r>
            <w:rPr>
              <w:rFonts w:hint="eastAsia"/>
            </w:rPr>
            <w:instrText xml:space="preserve"> </w:instrText>
          </w:r>
          <w:r>
            <w:rPr>
              <w:rFonts w:hint="eastAsia"/>
            </w:rPr>
            <w:fldChar w:fldCharType="separate"/>
          </w:r>
          <w:r>
            <w:rPr>
              <w:rFonts w:hint="eastAsia"/>
            </w:rPr>
            <w:t>15</w:t>
          </w:r>
          <w:r>
            <w:rPr>
              <w:rFonts w:hint="eastAsia"/>
            </w:rPr>
            <w:fldChar w:fldCharType="end"/>
          </w:r>
          <w:r>
            <w:rPr>
              <w:rFonts w:hint="eastAsia"/>
            </w:rPr>
            <w:fldChar w:fldCharType="end"/>
          </w:r>
        </w:p>
        <w:p w14:paraId="438ECC6A">
          <w:pPr>
            <w:pStyle w:val="9"/>
            <w:tabs>
              <w:tab w:val="right" w:leader="dot" w:pos="9016"/>
            </w:tabs>
            <w:ind w:left="880"/>
            <w:rPr>
              <w:rFonts w:hint="eastAsia" w:asciiTheme="minorHAnsi" w:hAnsiTheme="minorHAnsi" w:eastAsiaTheme="minorEastAsia" w:cstheme="minorBidi"/>
              <w:kern w:val="2"/>
              <w:szCs w:val="24"/>
              <w14:ligatures w14:val="standardContextual"/>
            </w:rPr>
          </w:pPr>
          <w:r>
            <w:fldChar w:fldCharType="begin"/>
          </w:r>
          <w:r>
            <w:instrText xml:space="preserve"> HYPERLINK \l "_Toc224321319" </w:instrText>
          </w:r>
          <w:r>
            <w:fldChar w:fldCharType="separate"/>
          </w:r>
          <w:r>
            <w:rPr>
              <w:rStyle w:val="18"/>
              <w:rFonts w:hint="eastAsia" w:ascii="Times New Roman" w:hAnsi="Times New Roman" w:eastAsia="黑体" w:cs="Times New Roman"/>
            </w:rPr>
            <w:t>AI智能健康报告生成</w:t>
          </w:r>
          <w:r>
            <w:rPr>
              <w:rFonts w:hint="eastAsia"/>
            </w:rPr>
            <w:tab/>
          </w:r>
          <w:r>
            <w:rPr>
              <w:rFonts w:hint="eastAsia"/>
            </w:rPr>
            <w:fldChar w:fldCharType="begin"/>
          </w:r>
          <w:r>
            <w:rPr>
              <w:rFonts w:hint="eastAsia"/>
            </w:rPr>
            <w:instrText xml:space="preserve"> </w:instrText>
          </w:r>
          <w:r>
            <w:instrText xml:space="preserve">PAGEREF _Toc224321319 \h</w:instrText>
          </w:r>
          <w:r>
            <w:rPr>
              <w:rFonts w:hint="eastAsia"/>
            </w:rPr>
            <w:instrText xml:space="preserve"> </w:instrText>
          </w:r>
          <w:r>
            <w:rPr>
              <w:rFonts w:hint="eastAsia"/>
            </w:rPr>
            <w:fldChar w:fldCharType="separate"/>
          </w:r>
          <w:r>
            <w:rPr>
              <w:rFonts w:hint="eastAsia"/>
            </w:rPr>
            <w:t>16</w:t>
          </w:r>
          <w:r>
            <w:rPr>
              <w:rFonts w:hint="eastAsia"/>
            </w:rPr>
            <w:fldChar w:fldCharType="end"/>
          </w:r>
          <w:r>
            <w:rPr>
              <w:rFonts w:hint="eastAsia"/>
            </w:rPr>
            <w:fldChar w:fldCharType="end"/>
          </w:r>
        </w:p>
        <w:p w14:paraId="5844CC48">
          <w:pPr>
            <w:pStyle w:val="9"/>
            <w:tabs>
              <w:tab w:val="right" w:leader="dot" w:pos="9016"/>
            </w:tabs>
            <w:ind w:left="880"/>
            <w:rPr>
              <w:rFonts w:hint="eastAsia" w:asciiTheme="minorHAnsi" w:hAnsiTheme="minorHAnsi" w:eastAsiaTheme="minorEastAsia" w:cstheme="minorBidi"/>
              <w:kern w:val="2"/>
              <w:szCs w:val="24"/>
              <w14:ligatures w14:val="standardContextual"/>
            </w:rPr>
          </w:pPr>
          <w:r>
            <w:fldChar w:fldCharType="begin"/>
          </w:r>
          <w:r>
            <w:instrText xml:space="preserve"> HYPERLINK \l "_Toc224321320" </w:instrText>
          </w:r>
          <w:r>
            <w:fldChar w:fldCharType="separate"/>
          </w:r>
          <w:r>
            <w:rPr>
              <w:rStyle w:val="18"/>
              <w:rFonts w:hint="eastAsia" w:ascii="Times New Roman" w:hAnsi="Times New Roman" w:eastAsia="黑体" w:cs="Times New Roman"/>
            </w:rPr>
            <w:t>语音AI陪护与家属关注分析</w:t>
          </w:r>
          <w:r>
            <w:rPr>
              <w:rFonts w:hint="eastAsia"/>
            </w:rPr>
            <w:tab/>
          </w:r>
          <w:r>
            <w:rPr>
              <w:rFonts w:hint="eastAsia"/>
            </w:rPr>
            <w:fldChar w:fldCharType="begin"/>
          </w:r>
          <w:r>
            <w:rPr>
              <w:rFonts w:hint="eastAsia"/>
            </w:rPr>
            <w:instrText xml:space="preserve"> </w:instrText>
          </w:r>
          <w:r>
            <w:instrText xml:space="preserve">PAGEREF _Toc224321320 \h</w:instrText>
          </w:r>
          <w:r>
            <w:rPr>
              <w:rFonts w:hint="eastAsia"/>
            </w:rPr>
            <w:instrText xml:space="preserve"> </w:instrText>
          </w:r>
          <w:r>
            <w:rPr>
              <w:rFonts w:hint="eastAsia"/>
            </w:rPr>
            <w:fldChar w:fldCharType="separate"/>
          </w:r>
          <w:r>
            <w:rPr>
              <w:rFonts w:hint="eastAsia"/>
            </w:rPr>
            <w:t>16</w:t>
          </w:r>
          <w:r>
            <w:rPr>
              <w:rFonts w:hint="eastAsia"/>
            </w:rPr>
            <w:fldChar w:fldCharType="end"/>
          </w:r>
          <w:r>
            <w:rPr>
              <w:rFonts w:hint="eastAsia"/>
            </w:rPr>
            <w:fldChar w:fldCharType="end"/>
          </w:r>
        </w:p>
        <w:p w14:paraId="625DD4D3">
          <w:pPr>
            <w:pStyle w:val="9"/>
            <w:tabs>
              <w:tab w:val="right" w:leader="dot" w:pos="9016"/>
            </w:tabs>
            <w:ind w:left="880"/>
            <w:rPr>
              <w:rFonts w:hint="eastAsia" w:asciiTheme="minorHAnsi" w:hAnsiTheme="minorHAnsi" w:eastAsiaTheme="minorEastAsia" w:cstheme="minorBidi"/>
              <w:kern w:val="2"/>
              <w:szCs w:val="24"/>
              <w14:ligatures w14:val="standardContextual"/>
            </w:rPr>
          </w:pPr>
          <w:r>
            <w:fldChar w:fldCharType="begin"/>
          </w:r>
          <w:r>
            <w:instrText xml:space="preserve"> HYPERLINK \l "_Toc224321321" </w:instrText>
          </w:r>
          <w:r>
            <w:fldChar w:fldCharType="separate"/>
          </w:r>
          <w:r>
            <w:rPr>
              <w:rStyle w:val="18"/>
              <w:rFonts w:hint="eastAsia" w:ascii="Times New Roman" w:hAnsi="Times New Roman" w:eastAsia="黑体" w:cs="Times New Roman"/>
            </w:rPr>
            <w:t>自然语言控制</w:t>
          </w:r>
          <w:r>
            <w:rPr>
              <w:rFonts w:hint="eastAsia"/>
            </w:rPr>
            <w:tab/>
          </w:r>
          <w:r>
            <w:rPr>
              <w:rFonts w:hint="eastAsia"/>
            </w:rPr>
            <w:fldChar w:fldCharType="begin"/>
          </w:r>
          <w:r>
            <w:rPr>
              <w:rFonts w:hint="eastAsia"/>
            </w:rPr>
            <w:instrText xml:space="preserve"> </w:instrText>
          </w:r>
          <w:r>
            <w:instrText xml:space="preserve">PAGEREF _Toc224321321 \h</w:instrText>
          </w:r>
          <w:r>
            <w:rPr>
              <w:rFonts w:hint="eastAsia"/>
            </w:rPr>
            <w:instrText xml:space="preserve"> </w:instrText>
          </w:r>
          <w:r>
            <w:rPr>
              <w:rFonts w:hint="eastAsia"/>
            </w:rPr>
            <w:fldChar w:fldCharType="separate"/>
          </w:r>
          <w:r>
            <w:rPr>
              <w:rFonts w:hint="eastAsia"/>
            </w:rPr>
            <w:t>16</w:t>
          </w:r>
          <w:r>
            <w:rPr>
              <w:rFonts w:hint="eastAsia"/>
            </w:rPr>
            <w:fldChar w:fldCharType="end"/>
          </w:r>
          <w:r>
            <w:rPr>
              <w:rFonts w:hint="eastAsia"/>
            </w:rPr>
            <w:fldChar w:fldCharType="end"/>
          </w:r>
        </w:p>
        <w:p w14:paraId="44BA875B">
          <w:pPr>
            <w:pStyle w:val="9"/>
            <w:tabs>
              <w:tab w:val="right" w:leader="dot" w:pos="9016"/>
            </w:tabs>
            <w:ind w:left="880"/>
            <w:rPr>
              <w:rFonts w:hint="eastAsia" w:asciiTheme="minorHAnsi" w:hAnsiTheme="minorHAnsi" w:eastAsiaTheme="minorEastAsia" w:cstheme="minorBidi"/>
              <w:kern w:val="2"/>
              <w:szCs w:val="24"/>
              <w14:ligatures w14:val="standardContextual"/>
            </w:rPr>
          </w:pPr>
          <w:r>
            <w:fldChar w:fldCharType="begin"/>
          </w:r>
          <w:r>
            <w:instrText xml:space="preserve"> HYPERLINK \l "_Toc224321322" </w:instrText>
          </w:r>
          <w:r>
            <w:fldChar w:fldCharType="separate"/>
          </w:r>
          <w:r>
            <w:rPr>
              <w:rStyle w:val="18"/>
              <w:rFonts w:hint="eastAsia" w:ascii="Times New Roman" w:hAnsi="Times New Roman" w:eastAsia="黑体" w:cs="Times New Roman"/>
            </w:rPr>
            <w:t>病床自主导航系统</w:t>
          </w:r>
          <w:r>
            <w:rPr>
              <w:rFonts w:hint="eastAsia"/>
            </w:rPr>
            <w:tab/>
          </w:r>
          <w:r>
            <w:rPr>
              <w:rFonts w:hint="eastAsia"/>
            </w:rPr>
            <w:fldChar w:fldCharType="begin"/>
          </w:r>
          <w:r>
            <w:rPr>
              <w:rFonts w:hint="eastAsia"/>
            </w:rPr>
            <w:instrText xml:space="preserve"> </w:instrText>
          </w:r>
          <w:r>
            <w:instrText xml:space="preserve">PAGEREF _Toc224321322 \h</w:instrText>
          </w:r>
          <w:r>
            <w:rPr>
              <w:rFonts w:hint="eastAsia"/>
            </w:rPr>
            <w:instrText xml:space="preserve"> </w:instrText>
          </w:r>
          <w:r>
            <w:rPr>
              <w:rFonts w:hint="eastAsia"/>
            </w:rPr>
            <w:fldChar w:fldCharType="separate"/>
          </w:r>
          <w:r>
            <w:rPr>
              <w:rFonts w:hint="eastAsia"/>
            </w:rPr>
            <w:t>17</w:t>
          </w:r>
          <w:r>
            <w:rPr>
              <w:rFonts w:hint="eastAsia"/>
            </w:rPr>
            <w:fldChar w:fldCharType="end"/>
          </w:r>
          <w:r>
            <w:rPr>
              <w:rFonts w:hint="eastAsia"/>
            </w:rPr>
            <w:fldChar w:fldCharType="end"/>
          </w:r>
        </w:p>
        <w:p w14:paraId="42E78CB1">
          <w:pPr>
            <w:pStyle w:val="12"/>
            <w:tabs>
              <w:tab w:val="right" w:leader="dot" w:pos="9016"/>
            </w:tabs>
            <w:rPr>
              <w:rFonts w:hint="eastAsia" w:asciiTheme="minorHAnsi" w:hAnsiTheme="minorHAnsi" w:eastAsiaTheme="minorEastAsia" w:cstheme="minorBidi"/>
              <w:kern w:val="2"/>
              <w:szCs w:val="24"/>
              <w14:ligatures w14:val="standardContextual"/>
            </w:rPr>
          </w:pPr>
          <w:r>
            <w:fldChar w:fldCharType="begin"/>
          </w:r>
          <w:r>
            <w:instrText xml:space="preserve"> HYPERLINK \l "_Toc224321323" </w:instrText>
          </w:r>
          <w:r>
            <w:fldChar w:fldCharType="separate"/>
          </w:r>
          <w:r>
            <w:rPr>
              <w:rStyle w:val="18"/>
              <w:rFonts w:hint="eastAsia" w:ascii="Times New Roman" w:hAnsi="Times New Roman" w:eastAsia="黑体" w:cs="Times New Roman"/>
            </w:rPr>
            <w:t>系统实现</w:t>
          </w:r>
          <w:r>
            <w:rPr>
              <w:rFonts w:hint="eastAsia"/>
            </w:rPr>
            <w:tab/>
          </w:r>
          <w:r>
            <w:rPr>
              <w:rFonts w:hint="eastAsia"/>
            </w:rPr>
            <w:fldChar w:fldCharType="begin"/>
          </w:r>
          <w:r>
            <w:rPr>
              <w:rFonts w:hint="eastAsia"/>
            </w:rPr>
            <w:instrText xml:space="preserve"> </w:instrText>
          </w:r>
          <w:r>
            <w:instrText xml:space="preserve">PAGEREF _Toc224321323 \h</w:instrText>
          </w:r>
          <w:r>
            <w:rPr>
              <w:rFonts w:hint="eastAsia"/>
            </w:rPr>
            <w:instrText xml:space="preserve"> </w:instrText>
          </w:r>
          <w:r>
            <w:rPr>
              <w:rFonts w:hint="eastAsia"/>
            </w:rPr>
            <w:fldChar w:fldCharType="separate"/>
          </w:r>
          <w:r>
            <w:rPr>
              <w:rFonts w:hint="eastAsia"/>
            </w:rPr>
            <w:t>17</w:t>
          </w:r>
          <w:r>
            <w:rPr>
              <w:rFonts w:hint="eastAsia"/>
            </w:rPr>
            <w:fldChar w:fldCharType="end"/>
          </w:r>
          <w:r>
            <w:rPr>
              <w:rFonts w:hint="eastAsia"/>
            </w:rPr>
            <w:fldChar w:fldCharType="end"/>
          </w:r>
        </w:p>
        <w:p w14:paraId="480D4BF3">
          <w:pPr>
            <w:pStyle w:val="14"/>
            <w:tabs>
              <w:tab w:val="right" w:leader="dot" w:pos="9016"/>
            </w:tabs>
            <w:ind w:left="440"/>
            <w:rPr>
              <w:rFonts w:hint="eastAsia" w:asciiTheme="minorHAnsi" w:hAnsiTheme="minorHAnsi" w:eastAsiaTheme="minorEastAsia" w:cstheme="minorBidi"/>
              <w:kern w:val="2"/>
              <w:szCs w:val="24"/>
              <w14:ligatures w14:val="standardContextual"/>
            </w:rPr>
          </w:pPr>
          <w:r>
            <w:fldChar w:fldCharType="begin"/>
          </w:r>
          <w:r>
            <w:instrText xml:space="preserve"> HYPERLINK \l "_Toc224321324" </w:instrText>
          </w:r>
          <w:r>
            <w:fldChar w:fldCharType="separate"/>
          </w:r>
          <w:r>
            <w:rPr>
              <w:rStyle w:val="18"/>
              <w:rFonts w:hint="eastAsia" w:ascii="Times New Roman" w:hAnsi="Times New Roman" w:eastAsia="黑体" w:cs="Times New Roman"/>
            </w:rPr>
            <w:t>总体情况</w:t>
          </w:r>
          <w:r>
            <w:rPr>
              <w:rFonts w:hint="eastAsia"/>
            </w:rPr>
            <w:tab/>
          </w:r>
          <w:r>
            <w:rPr>
              <w:rFonts w:hint="eastAsia"/>
            </w:rPr>
            <w:fldChar w:fldCharType="begin"/>
          </w:r>
          <w:r>
            <w:rPr>
              <w:rFonts w:hint="eastAsia"/>
            </w:rPr>
            <w:instrText xml:space="preserve"> </w:instrText>
          </w:r>
          <w:r>
            <w:instrText xml:space="preserve">PAGEREF _Toc224321324 \h</w:instrText>
          </w:r>
          <w:r>
            <w:rPr>
              <w:rFonts w:hint="eastAsia"/>
            </w:rPr>
            <w:instrText xml:space="preserve"> </w:instrText>
          </w:r>
          <w:r>
            <w:rPr>
              <w:rFonts w:hint="eastAsia"/>
            </w:rPr>
            <w:fldChar w:fldCharType="separate"/>
          </w:r>
          <w:r>
            <w:rPr>
              <w:rFonts w:hint="eastAsia"/>
            </w:rPr>
            <w:t>17</w:t>
          </w:r>
          <w:r>
            <w:rPr>
              <w:rFonts w:hint="eastAsia"/>
            </w:rPr>
            <w:fldChar w:fldCharType="end"/>
          </w:r>
          <w:r>
            <w:rPr>
              <w:rFonts w:hint="eastAsia"/>
            </w:rPr>
            <w:fldChar w:fldCharType="end"/>
          </w:r>
        </w:p>
        <w:p w14:paraId="41278776">
          <w:pPr>
            <w:pStyle w:val="9"/>
            <w:tabs>
              <w:tab w:val="right" w:leader="dot" w:pos="9016"/>
            </w:tabs>
            <w:ind w:left="880"/>
            <w:rPr>
              <w:rFonts w:hint="eastAsia" w:asciiTheme="minorHAnsi" w:hAnsiTheme="minorHAnsi" w:eastAsiaTheme="minorEastAsia" w:cstheme="minorBidi"/>
              <w:kern w:val="2"/>
              <w:szCs w:val="24"/>
              <w14:ligatures w14:val="standardContextual"/>
            </w:rPr>
          </w:pPr>
          <w:r>
            <w:fldChar w:fldCharType="begin"/>
          </w:r>
          <w:r>
            <w:instrText xml:space="preserve"> HYPERLINK \l "_Toc224321325" </w:instrText>
          </w:r>
          <w:r>
            <w:fldChar w:fldCharType="separate"/>
          </w:r>
          <w:r>
            <w:rPr>
              <w:rStyle w:val="18"/>
              <w:rFonts w:hint="eastAsia" w:ascii="Times New Roman" w:hAnsi="Times New Roman" w:eastAsia="黑体" w:cs="Times New Roman"/>
            </w:rPr>
            <w:t>感知层技术</w:t>
          </w:r>
          <w:r>
            <w:rPr>
              <w:rFonts w:hint="eastAsia"/>
            </w:rPr>
            <w:tab/>
          </w:r>
          <w:r>
            <w:rPr>
              <w:rFonts w:hint="eastAsia"/>
            </w:rPr>
            <w:fldChar w:fldCharType="begin"/>
          </w:r>
          <w:r>
            <w:rPr>
              <w:rFonts w:hint="eastAsia"/>
            </w:rPr>
            <w:instrText xml:space="preserve"> </w:instrText>
          </w:r>
          <w:r>
            <w:instrText xml:space="preserve">PAGEREF _Toc224321325 \h</w:instrText>
          </w:r>
          <w:r>
            <w:rPr>
              <w:rFonts w:hint="eastAsia"/>
            </w:rPr>
            <w:instrText xml:space="preserve"> </w:instrText>
          </w:r>
          <w:r>
            <w:rPr>
              <w:rFonts w:hint="eastAsia"/>
            </w:rPr>
            <w:fldChar w:fldCharType="separate"/>
          </w:r>
          <w:r>
            <w:rPr>
              <w:rFonts w:hint="eastAsia"/>
            </w:rPr>
            <w:t>17</w:t>
          </w:r>
          <w:r>
            <w:rPr>
              <w:rFonts w:hint="eastAsia"/>
            </w:rPr>
            <w:fldChar w:fldCharType="end"/>
          </w:r>
          <w:r>
            <w:rPr>
              <w:rFonts w:hint="eastAsia"/>
            </w:rPr>
            <w:fldChar w:fldCharType="end"/>
          </w:r>
        </w:p>
        <w:p w14:paraId="2484A012">
          <w:pPr>
            <w:pStyle w:val="9"/>
            <w:tabs>
              <w:tab w:val="right" w:leader="dot" w:pos="9016"/>
            </w:tabs>
            <w:ind w:left="880"/>
            <w:rPr>
              <w:rFonts w:hint="eastAsia" w:asciiTheme="minorHAnsi" w:hAnsiTheme="minorHAnsi" w:eastAsiaTheme="minorEastAsia" w:cstheme="minorBidi"/>
              <w:kern w:val="2"/>
              <w:szCs w:val="24"/>
              <w14:ligatures w14:val="standardContextual"/>
            </w:rPr>
          </w:pPr>
          <w:r>
            <w:fldChar w:fldCharType="begin"/>
          </w:r>
          <w:r>
            <w:instrText xml:space="preserve"> HYPERLINK \l "_Toc224321326" </w:instrText>
          </w:r>
          <w:r>
            <w:fldChar w:fldCharType="separate"/>
          </w:r>
          <w:r>
            <w:rPr>
              <w:rStyle w:val="18"/>
              <w:rFonts w:hint="eastAsia" w:ascii="Times New Roman" w:hAnsi="Times New Roman" w:eastAsia="黑体" w:cs="Times New Roman"/>
            </w:rPr>
            <w:t>传输层技术</w:t>
          </w:r>
          <w:r>
            <w:rPr>
              <w:rFonts w:hint="eastAsia"/>
            </w:rPr>
            <w:tab/>
          </w:r>
          <w:r>
            <w:rPr>
              <w:rFonts w:hint="eastAsia"/>
            </w:rPr>
            <w:fldChar w:fldCharType="begin"/>
          </w:r>
          <w:r>
            <w:rPr>
              <w:rFonts w:hint="eastAsia"/>
            </w:rPr>
            <w:instrText xml:space="preserve"> </w:instrText>
          </w:r>
          <w:r>
            <w:instrText xml:space="preserve">PAGEREF _Toc224321326 \h</w:instrText>
          </w:r>
          <w:r>
            <w:rPr>
              <w:rFonts w:hint="eastAsia"/>
            </w:rPr>
            <w:instrText xml:space="preserve"> </w:instrText>
          </w:r>
          <w:r>
            <w:rPr>
              <w:rFonts w:hint="eastAsia"/>
            </w:rPr>
            <w:fldChar w:fldCharType="separate"/>
          </w:r>
          <w:r>
            <w:rPr>
              <w:rFonts w:hint="eastAsia"/>
            </w:rPr>
            <w:t>18</w:t>
          </w:r>
          <w:r>
            <w:rPr>
              <w:rFonts w:hint="eastAsia"/>
            </w:rPr>
            <w:fldChar w:fldCharType="end"/>
          </w:r>
          <w:r>
            <w:rPr>
              <w:rFonts w:hint="eastAsia"/>
            </w:rPr>
            <w:fldChar w:fldCharType="end"/>
          </w:r>
        </w:p>
        <w:p w14:paraId="0EFDA317">
          <w:pPr>
            <w:pStyle w:val="9"/>
            <w:tabs>
              <w:tab w:val="right" w:leader="dot" w:pos="9016"/>
            </w:tabs>
            <w:ind w:left="880"/>
            <w:rPr>
              <w:rFonts w:hint="eastAsia" w:asciiTheme="minorHAnsi" w:hAnsiTheme="minorHAnsi" w:eastAsiaTheme="minorEastAsia" w:cstheme="minorBidi"/>
              <w:kern w:val="2"/>
              <w:szCs w:val="24"/>
              <w14:ligatures w14:val="standardContextual"/>
            </w:rPr>
          </w:pPr>
          <w:r>
            <w:fldChar w:fldCharType="begin"/>
          </w:r>
          <w:r>
            <w:instrText xml:space="preserve"> HYPERLINK \l "_Toc224321327" </w:instrText>
          </w:r>
          <w:r>
            <w:fldChar w:fldCharType="separate"/>
          </w:r>
          <w:r>
            <w:rPr>
              <w:rStyle w:val="18"/>
              <w:rFonts w:hint="eastAsia" w:ascii="Times New Roman" w:hAnsi="Times New Roman" w:eastAsia="黑体" w:cs="Times New Roman"/>
            </w:rPr>
            <w:t>控制层技术</w:t>
          </w:r>
          <w:r>
            <w:rPr>
              <w:rFonts w:hint="eastAsia"/>
            </w:rPr>
            <w:tab/>
          </w:r>
          <w:r>
            <w:rPr>
              <w:rFonts w:hint="eastAsia"/>
            </w:rPr>
            <w:fldChar w:fldCharType="begin"/>
          </w:r>
          <w:r>
            <w:rPr>
              <w:rFonts w:hint="eastAsia"/>
            </w:rPr>
            <w:instrText xml:space="preserve"> </w:instrText>
          </w:r>
          <w:r>
            <w:instrText xml:space="preserve">PAGEREF _Toc224321327 \h</w:instrText>
          </w:r>
          <w:r>
            <w:rPr>
              <w:rFonts w:hint="eastAsia"/>
            </w:rPr>
            <w:instrText xml:space="preserve"> </w:instrText>
          </w:r>
          <w:r>
            <w:rPr>
              <w:rFonts w:hint="eastAsia"/>
            </w:rPr>
            <w:fldChar w:fldCharType="separate"/>
          </w:r>
          <w:r>
            <w:rPr>
              <w:rFonts w:hint="eastAsia"/>
            </w:rPr>
            <w:t>18</w:t>
          </w:r>
          <w:r>
            <w:rPr>
              <w:rFonts w:hint="eastAsia"/>
            </w:rPr>
            <w:fldChar w:fldCharType="end"/>
          </w:r>
          <w:r>
            <w:rPr>
              <w:rFonts w:hint="eastAsia"/>
            </w:rPr>
            <w:fldChar w:fldCharType="end"/>
          </w:r>
        </w:p>
        <w:p w14:paraId="336666F3">
          <w:pPr>
            <w:pStyle w:val="9"/>
            <w:tabs>
              <w:tab w:val="right" w:leader="dot" w:pos="9016"/>
            </w:tabs>
            <w:ind w:left="880"/>
            <w:rPr>
              <w:rFonts w:hint="eastAsia" w:asciiTheme="minorHAnsi" w:hAnsiTheme="minorHAnsi" w:eastAsiaTheme="minorEastAsia" w:cstheme="minorBidi"/>
              <w:kern w:val="2"/>
              <w:szCs w:val="24"/>
              <w14:ligatures w14:val="standardContextual"/>
            </w:rPr>
          </w:pPr>
          <w:r>
            <w:fldChar w:fldCharType="begin"/>
          </w:r>
          <w:r>
            <w:instrText xml:space="preserve"> HYPERLINK \l "_Toc224321328" </w:instrText>
          </w:r>
          <w:r>
            <w:fldChar w:fldCharType="separate"/>
          </w:r>
          <w:r>
            <w:rPr>
              <w:rStyle w:val="18"/>
              <w:rFonts w:hint="eastAsia" w:ascii="Times New Roman" w:hAnsi="Times New Roman" w:eastAsia="黑体" w:cs="Times New Roman"/>
            </w:rPr>
            <w:t>软件开发</w:t>
          </w:r>
          <w:r>
            <w:rPr>
              <w:rFonts w:hint="eastAsia"/>
            </w:rPr>
            <w:tab/>
          </w:r>
          <w:r>
            <w:rPr>
              <w:rFonts w:hint="eastAsia"/>
            </w:rPr>
            <w:fldChar w:fldCharType="begin"/>
          </w:r>
          <w:r>
            <w:rPr>
              <w:rFonts w:hint="eastAsia"/>
            </w:rPr>
            <w:instrText xml:space="preserve"> </w:instrText>
          </w:r>
          <w:r>
            <w:instrText xml:space="preserve">PAGEREF _Toc224321328 \h</w:instrText>
          </w:r>
          <w:r>
            <w:rPr>
              <w:rFonts w:hint="eastAsia"/>
            </w:rPr>
            <w:instrText xml:space="preserve"> </w:instrText>
          </w:r>
          <w:r>
            <w:rPr>
              <w:rFonts w:hint="eastAsia"/>
            </w:rPr>
            <w:fldChar w:fldCharType="separate"/>
          </w:r>
          <w:r>
            <w:rPr>
              <w:rFonts w:hint="eastAsia"/>
            </w:rPr>
            <w:t>18</w:t>
          </w:r>
          <w:r>
            <w:rPr>
              <w:rFonts w:hint="eastAsia"/>
            </w:rPr>
            <w:fldChar w:fldCharType="end"/>
          </w:r>
          <w:r>
            <w:rPr>
              <w:rFonts w:hint="eastAsia"/>
            </w:rPr>
            <w:fldChar w:fldCharType="end"/>
          </w:r>
        </w:p>
        <w:p w14:paraId="7A883797">
          <w:pPr>
            <w:pStyle w:val="9"/>
            <w:tabs>
              <w:tab w:val="right" w:leader="dot" w:pos="9016"/>
            </w:tabs>
            <w:ind w:left="880"/>
            <w:rPr>
              <w:rFonts w:hint="eastAsia" w:asciiTheme="minorHAnsi" w:hAnsiTheme="minorHAnsi" w:eastAsiaTheme="minorEastAsia" w:cstheme="minorBidi"/>
              <w:kern w:val="2"/>
              <w:szCs w:val="24"/>
              <w14:ligatures w14:val="standardContextual"/>
            </w:rPr>
          </w:pPr>
          <w:r>
            <w:fldChar w:fldCharType="begin"/>
          </w:r>
          <w:r>
            <w:instrText xml:space="preserve"> HYPERLINK \l "_Toc224321329" </w:instrText>
          </w:r>
          <w:r>
            <w:fldChar w:fldCharType="separate"/>
          </w:r>
          <w:r>
            <w:rPr>
              <w:rStyle w:val="18"/>
              <w:rFonts w:hint="eastAsia" w:ascii="Times New Roman" w:hAnsi="Times New Roman" w:eastAsia="黑体" w:cs="Times New Roman"/>
            </w:rPr>
            <w:t>云技术管理</w:t>
          </w:r>
          <w:r>
            <w:rPr>
              <w:rFonts w:hint="eastAsia"/>
            </w:rPr>
            <w:tab/>
          </w:r>
          <w:r>
            <w:rPr>
              <w:rFonts w:hint="eastAsia"/>
            </w:rPr>
            <w:fldChar w:fldCharType="begin"/>
          </w:r>
          <w:r>
            <w:rPr>
              <w:rFonts w:hint="eastAsia"/>
            </w:rPr>
            <w:instrText xml:space="preserve"> </w:instrText>
          </w:r>
          <w:r>
            <w:instrText xml:space="preserve">PAGEREF _Toc224321329 \h</w:instrText>
          </w:r>
          <w:r>
            <w:rPr>
              <w:rFonts w:hint="eastAsia"/>
            </w:rPr>
            <w:instrText xml:space="preserve"> </w:instrText>
          </w:r>
          <w:r>
            <w:rPr>
              <w:rFonts w:hint="eastAsia"/>
            </w:rPr>
            <w:fldChar w:fldCharType="separate"/>
          </w:r>
          <w:r>
            <w:rPr>
              <w:rFonts w:hint="eastAsia"/>
            </w:rPr>
            <w:t>19</w:t>
          </w:r>
          <w:r>
            <w:rPr>
              <w:rFonts w:hint="eastAsia"/>
            </w:rPr>
            <w:fldChar w:fldCharType="end"/>
          </w:r>
          <w:r>
            <w:rPr>
              <w:rFonts w:hint="eastAsia"/>
            </w:rPr>
            <w:fldChar w:fldCharType="end"/>
          </w:r>
        </w:p>
        <w:p w14:paraId="56C9885A">
          <w:pPr>
            <w:pStyle w:val="12"/>
            <w:tabs>
              <w:tab w:val="right" w:leader="dot" w:pos="9016"/>
            </w:tabs>
            <w:rPr>
              <w:rFonts w:hint="eastAsia" w:asciiTheme="minorHAnsi" w:hAnsiTheme="minorHAnsi" w:eastAsiaTheme="minorEastAsia" w:cstheme="minorBidi"/>
              <w:kern w:val="2"/>
              <w:szCs w:val="24"/>
              <w14:ligatures w14:val="standardContextual"/>
            </w:rPr>
          </w:pPr>
          <w:r>
            <w:fldChar w:fldCharType="begin"/>
          </w:r>
          <w:r>
            <w:instrText xml:space="preserve"> HYPERLINK \l "_Toc224321330" </w:instrText>
          </w:r>
          <w:r>
            <w:fldChar w:fldCharType="separate"/>
          </w:r>
          <w:r>
            <w:rPr>
              <w:rStyle w:val="18"/>
              <w:rFonts w:hint="eastAsia" w:ascii="Times New Roman" w:hAnsi="Times New Roman" w:eastAsia="黑体" w:cs="Times New Roman"/>
            </w:rPr>
            <w:t>其他内容</w:t>
          </w:r>
          <w:r>
            <w:rPr>
              <w:rFonts w:hint="eastAsia"/>
            </w:rPr>
            <w:tab/>
          </w:r>
          <w:r>
            <w:rPr>
              <w:rFonts w:hint="eastAsia"/>
            </w:rPr>
            <w:fldChar w:fldCharType="begin"/>
          </w:r>
          <w:r>
            <w:rPr>
              <w:rFonts w:hint="eastAsia"/>
            </w:rPr>
            <w:instrText xml:space="preserve"> </w:instrText>
          </w:r>
          <w:r>
            <w:instrText xml:space="preserve">PAGEREF _Toc224321330 \h</w:instrText>
          </w:r>
          <w:r>
            <w:rPr>
              <w:rFonts w:hint="eastAsia"/>
            </w:rPr>
            <w:instrText xml:space="preserve"> </w:instrText>
          </w:r>
          <w:r>
            <w:rPr>
              <w:rFonts w:hint="eastAsia"/>
            </w:rPr>
            <w:fldChar w:fldCharType="separate"/>
          </w:r>
          <w:r>
            <w:rPr>
              <w:rFonts w:hint="eastAsia"/>
            </w:rPr>
            <w:t>20</w:t>
          </w:r>
          <w:r>
            <w:rPr>
              <w:rFonts w:hint="eastAsia"/>
            </w:rPr>
            <w:fldChar w:fldCharType="end"/>
          </w:r>
          <w:r>
            <w:rPr>
              <w:rFonts w:hint="eastAsia"/>
            </w:rPr>
            <w:fldChar w:fldCharType="end"/>
          </w:r>
        </w:p>
        <w:p w14:paraId="0C80BF23">
          <w:pPr>
            <w:pStyle w:val="14"/>
            <w:tabs>
              <w:tab w:val="right" w:leader="dot" w:pos="9016"/>
            </w:tabs>
            <w:ind w:left="440"/>
            <w:rPr>
              <w:rFonts w:hint="eastAsia" w:asciiTheme="minorHAnsi" w:hAnsiTheme="minorHAnsi" w:eastAsiaTheme="minorEastAsia" w:cstheme="minorBidi"/>
              <w:kern w:val="2"/>
              <w:szCs w:val="24"/>
              <w14:ligatures w14:val="standardContextual"/>
            </w:rPr>
          </w:pPr>
          <w:r>
            <w:fldChar w:fldCharType="begin"/>
          </w:r>
          <w:r>
            <w:instrText xml:space="preserve"> HYPERLINK \l "_Toc224321331" </w:instrText>
          </w:r>
          <w:r>
            <w:fldChar w:fldCharType="separate"/>
          </w:r>
          <w:r>
            <w:rPr>
              <w:rStyle w:val="18"/>
              <w:rFonts w:hint="eastAsia" w:ascii="Times New Roman" w:hAnsi="Times New Roman" w:eastAsia="黑体" w:cs="Times New Roman"/>
            </w:rPr>
            <w:t>其他</w:t>
          </w:r>
          <w:r>
            <w:rPr>
              <w:rFonts w:hint="eastAsia"/>
            </w:rPr>
            <w:tab/>
          </w:r>
          <w:r>
            <w:rPr>
              <w:rFonts w:hint="eastAsia"/>
            </w:rPr>
            <w:fldChar w:fldCharType="begin"/>
          </w:r>
          <w:r>
            <w:rPr>
              <w:rFonts w:hint="eastAsia"/>
            </w:rPr>
            <w:instrText xml:space="preserve"> </w:instrText>
          </w:r>
          <w:r>
            <w:instrText xml:space="preserve">PAGEREF _Toc224321331 \h</w:instrText>
          </w:r>
          <w:r>
            <w:rPr>
              <w:rFonts w:hint="eastAsia"/>
            </w:rPr>
            <w:instrText xml:space="preserve"> </w:instrText>
          </w:r>
          <w:r>
            <w:rPr>
              <w:rFonts w:hint="eastAsia"/>
            </w:rPr>
            <w:fldChar w:fldCharType="separate"/>
          </w:r>
          <w:r>
            <w:rPr>
              <w:rFonts w:hint="eastAsia"/>
            </w:rPr>
            <w:t>20</w:t>
          </w:r>
          <w:r>
            <w:rPr>
              <w:rFonts w:hint="eastAsia"/>
            </w:rPr>
            <w:fldChar w:fldCharType="end"/>
          </w:r>
          <w:r>
            <w:rPr>
              <w:rFonts w:hint="eastAsia"/>
            </w:rPr>
            <w:fldChar w:fldCharType="end"/>
          </w:r>
        </w:p>
        <w:p w14:paraId="42315E68">
          <w:pPr>
            <w:pStyle w:val="9"/>
            <w:tabs>
              <w:tab w:val="right" w:leader="dot" w:pos="9016"/>
            </w:tabs>
            <w:ind w:left="880"/>
            <w:rPr>
              <w:rFonts w:hint="eastAsia" w:asciiTheme="minorHAnsi" w:hAnsiTheme="minorHAnsi" w:eastAsiaTheme="minorEastAsia" w:cstheme="minorBidi"/>
              <w:kern w:val="2"/>
              <w:szCs w:val="24"/>
              <w14:ligatures w14:val="standardContextual"/>
            </w:rPr>
          </w:pPr>
          <w:r>
            <w:fldChar w:fldCharType="begin"/>
          </w:r>
          <w:r>
            <w:instrText xml:space="preserve"> HYPERLINK \l "_Toc224321332" </w:instrText>
          </w:r>
          <w:r>
            <w:fldChar w:fldCharType="separate"/>
          </w:r>
          <w:r>
            <w:rPr>
              <w:rStyle w:val="18"/>
              <w:rFonts w:hint="eastAsia" w:ascii="Times New Roman" w:hAnsi="Times New Roman" w:eastAsia="黑体" w:cs="Times New Roman"/>
            </w:rPr>
            <w:t>数据库设计</w:t>
          </w:r>
          <w:r>
            <w:rPr>
              <w:rFonts w:hint="eastAsia"/>
            </w:rPr>
            <w:tab/>
          </w:r>
          <w:r>
            <w:rPr>
              <w:rFonts w:hint="eastAsia"/>
            </w:rPr>
            <w:fldChar w:fldCharType="begin"/>
          </w:r>
          <w:r>
            <w:rPr>
              <w:rFonts w:hint="eastAsia"/>
            </w:rPr>
            <w:instrText xml:space="preserve"> </w:instrText>
          </w:r>
          <w:r>
            <w:instrText xml:space="preserve">PAGEREF _Toc224321332 \h</w:instrText>
          </w:r>
          <w:r>
            <w:rPr>
              <w:rFonts w:hint="eastAsia"/>
            </w:rPr>
            <w:instrText xml:space="preserve"> </w:instrText>
          </w:r>
          <w:r>
            <w:rPr>
              <w:rFonts w:hint="eastAsia"/>
            </w:rPr>
            <w:fldChar w:fldCharType="separate"/>
          </w:r>
          <w:r>
            <w:rPr>
              <w:rFonts w:hint="eastAsia"/>
            </w:rPr>
            <w:t>20</w:t>
          </w:r>
          <w:r>
            <w:rPr>
              <w:rFonts w:hint="eastAsia"/>
            </w:rPr>
            <w:fldChar w:fldCharType="end"/>
          </w:r>
          <w:r>
            <w:rPr>
              <w:rFonts w:hint="eastAsia"/>
            </w:rPr>
            <w:fldChar w:fldCharType="end"/>
          </w:r>
        </w:p>
        <w:p w14:paraId="7AFF9A90">
          <w:pPr>
            <w:pStyle w:val="9"/>
            <w:tabs>
              <w:tab w:val="right" w:leader="dot" w:pos="9016"/>
            </w:tabs>
            <w:ind w:left="880"/>
            <w:rPr>
              <w:rFonts w:hint="eastAsia" w:asciiTheme="minorHAnsi" w:hAnsiTheme="minorHAnsi" w:eastAsiaTheme="minorEastAsia" w:cstheme="minorBidi"/>
              <w:kern w:val="2"/>
              <w:szCs w:val="24"/>
              <w14:ligatures w14:val="standardContextual"/>
            </w:rPr>
          </w:pPr>
          <w:r>
            <w:fldChar w:fldCharType="begin"/>
          </w:r>
          <w:r>
            <w:instrText xml:space="preserve"> HYPERLINK \l "_Toc224321333" </w:instrText>
          </w:r>
          <w:r>
            <w:fldChar w:fldCharType="separate"/>
          </w:r>
          <w:r>
            <w:rPr>
              <w:rStyle w:val="18"/>
              <w:rFonts w:hint="eastAsia" w:ascii="Times New Roman" w:hAnsi="Times New Roman" w:eastAsia="黑体" w:cs="Times New Roman"/>
            </w:rPr>
            <w:t>AI能力矩阵</w:t>
          </w:r>
          <w:r>
            <w:rPr>
              <w:rFonts w:hint="eastAsia"/>
            </w:rPr>
            <w:tab/>
          </w:r>
          <w:r>
            <w:rPr>
              <w:rFonts w:hint="eastAsia"/>
            </w:rPr>
            <w:fldChar w:fldCharType="begin"/>
          </w:r>
          <w:r>
            <w:rPr>
              <w:rFonts w:hint="eastAsia"/>
            </w:rPr>
            <w:instrText xml:space="preserve"> </w:instrText>
          </w:r>
          <w:r>
            <w:instrText xml:space="preserve">PAGEREF _Toc224321333 \h</w:instrText>
          </w:r>
          <w:r>
            <w:rPr>
              <w:rFonts w:hint="eastAsia"/>
            </w:rPr>
            <w:instrText xml:space="preserve"> </w:instrText>
          </w:r>
          <w:r>
            <w:rPr>
              <w:rFonts w:hint="eastAsia"/>
            </w:rPr>
            <w:fldChar w:fldCharType="separate"/>
          </w:r>
          <w:r>
            <w:rPr>
              <w:rFonts w:hint="eastAsia"/>
            </w:rPr>
            <w:t>21</w:t>
          </w:r>
          <w:r>
            <w:rPr>
              <w:rFonts w:hint="eastAsia"/>
            </w:rPr>
            <w:fldChar w:fldCharType="end"/>
          </w:r>
          <w:r>
            <w:rPr>
              <w:rFonts w:hint="eastAsia"/>
            </w:rPr>
            <w:fldChar w:fldCharType="end"/>
          </w:r>
        </w:p>
        <w:p w14:paraId="3AD97DE6">
          <w:pPr>
            <w:pStyle w:val="9"/>
            <w:tabs>
              <w:tab w:val="right" w:leader="dot" w:pos="9016"/>
            </w:tabs>
            <w:ind w:left="880"/>
            <w:rPr>
              <w:rFonts w:hint="eastAsia" w:asciiTheme="minorHAnsi" w:hAnsiTheme="minorHAnsi" w:eastAsiaTheme="minorEastAsia" w:cstheme="minorBidi"/>
              <w:kern w:val="2"/>
              <w:szCs w:val="24"/>
              <w14:ligatures w14:val="standardContextual"/>
            </w:rPr>
          </w:pPr>
          <w:r>
            <w:fldChar w:fldCharType="begin"/>
          </w:r>
          <w:r>
            <w:instrText xml:space="preserve"> HYPERLINK \l "_Toc224321334" </w:instrText>
          </w:r>
          <w:r>
            <w:fldChar w:fldCharType="separate"/>
          </w:r>
          <w:r>
            <w:rPr>
              <w:rStyle w:val="18"/>
              <w:rFonts w:hint="eastAsia" w:ascii="Times New Roman" w:hAnsi="Times New Roman" w:eastAsia="黑体" w:cs="Times New Roman"/>
            </w:rPr>
            <w:t>效果展示</w:t>
          </w:r>
          <w:r>
            <w:rPr>
              <w:rFonts w:hint="eastAsia"/>
            </w:rPr>
            <w:tab/>
          </w:r>
          <w:r>
            <w:rPr>
              <w:rFonts w:hint="eastAsia"/>
            </w:rPr>
            <w:fldChar w:fldCharType="begin"/>
          </w:r>
          <w:r>
            <w:rPr>
              <w:rFonts w:hint="eastAsia"/>
            </w:rPr>
            <w:instrText xml:space="preserve"> </w:instrText>
          </w:r>
          <w:r>
            <w:instrText xml:space="preserve">PAGEREF _Toc224321334 \h</w:instrText>
          </w:r>
          <w:r>
            <w:rPr>
              <w:rFonts w:hint="eastAsia"/>
            </w:rPr>
            <w:instrText xml:space="preserve"> </w:instrText>
          </w:r>
          <w:r>
            <w:rPr>
              <w:rFonts w:hint="eastAsia"/>
            </w:rPr>
            <w:fldChar w:fldCharType="separate"/>
          </w:r>
          <w:r>
            <w:rPr>
              <w:rFonts w:hint="eastAsia"/>
            </w:rPr>
            <w:t>21</w:t>
          </w:r>
          <w:r>
            <w:rPr>
              <w:rFonts w:hint="eastAsia"/>
            </w:rPr>
            <w:fldChar w:fldCharType="end"/>
          </w:r>
          <w:r>
            <w:rPr>
              <w:rFonts w:hint="eastAsia"/>
            </w:rPr>
            <w:fldChar w:fldCharType="end"/>
          </w:r>
        </w:p>
        <w:p w14:paraId="44BFB67F">
          <w:pPr>
            <w:pStyle w:val="9"/>
            <w:tabs>
              <w:tab w:val="right" w:leader="dot" w:pos="9016"/>
            </w:tabs>
            <w:ind w:left="880"/>
            <w:rPr>
              <w:rFonts w:hint="eastAsia" w:asciiTheme="minorHAnsi" w:hAnsiTheme="minorHAnsi" w:eastAsiaTheme="minorEastAsia" w:cstheme="minorBidi"/>
              <w:kern w:val="2"/>
              <w:szCs w:val="24"/>
              <w14:ligatures w14:val="standardContextual"/>
            </w:rPr>
          </w:pPr>
          <w:r>
            <w:fldChar w:fldCharType="begin"/>
          </w:r>
          <w:r>
            <w:instrText xml:space="preserve"> HYPERLINK \l "_Toc224321335" </w:instrText>
          </w:r>
          <w:r>
            <w:fldChar w:fldCharType="separate"/>
          </w:r>
          <w:r>
            <w:rPr>
              <w:rStyle w:val="18"/>
              <w:rFonts w:hint="eastAsia" w:ascii="Times New Roman" w:hAnsi="Times New Roman" w:eastAsia="黑体" w:cs="Times New Roman"/>
            </w:rPr>
            <w:t>API接口设计</w:t>
          </w:r>
          <w:r>
            <w:rPr>
              <w:rFonts w:hint="eastAsia"/>
            </w:rPr>
            <w:tab/>
          </w:r>
          <w:r>
            <w:rPr>
              <w:rFonts w:hint="eastAsia"/>
            </w:rPr>
            <w:fldChar w:fldCharType="begin"/>
          </w:r>
          <w:r>
            <w:rPr>
              <w:rFonts w:hint="eastAsia"/>
            </w:rPr>
            <w:instrText xml:space="preserve"> </w:instrText>
          </w:r>
          <w:r>
            <w:instrText xml:space="preserve">PAGEREF _Toc224321335 \h</w:instrText>
          </w:r>
          <w:r>
            <w:rPr>
              <w:rFonts w:hint="eastAsia"/>
            </w:rPr>
            <w:instrText xml:space="preserve"> </w:instrText>
          </w:r>
          <w:r>
            <w:rPr>
              <w:rFonts w:hint="eastAsia"/>
            </w:rPr>
            <w:fldChar w:fldCharType="separate"/>
          </w:r>
          <w:r>
            <w:rPr>
              <w:rFonts w:hint="eastAsia"/>
            </w:rPr>
            <w:t>22</w:t>
          </w:r>
          <w:r>
            <w:rPr>
              <w:rFonts w:hint="eastAsia"/>
            </w:rPr>
            <w:fldChar w:fldCharType="end"/>
          </w:r>
          <w:r>
            <w:rPr>
              <w:rFonts w:hint="eastAsia"/>
            </w:rPr>
            <w:fldChar w:fldCharType="end"/>
          </w:r>
        </w:p>
        <w:p w14:paraId="09C90D18">
          <w:pPr>
            <w:pStyle w:val="9"/>
            <w:tabs>
              <w:tab w:val="right" w:leader="dot" w:pos="9016"/>
            </w:tabs>
            <w:ind w:left="880"/>
            <w:rPr>
              <w:rFonts w:hint="eastAsia" w:asciiTheme="minorHAnsi" w:hAnsiTheme="minorHAnsi" w:eastAsiaTheme="minorEastAsia" w:cstheme="minorBidi"/>
              <w:kern w:val="2"/>
              <w:szCs w:val="24"/>
              <w14:ligatures w14:val="standardContextual"/>
            </w:rPr>
          </w:pPr>
          <w:r>
            <w:fldChar w:fldCharType="begin"/>
          </w:r>
          <w:r>
            <w:instrText xml:space="preserve"> HYPERLINK \l "_Toc224321336" </w:instrText>
          </w:r>
          <w:r>
            <w:fldChar w:fldCharType="separate"/>
          </w:r>
          <w:r>
            <w:rPr>
              <w:rStyle w:val="18"/>
              <w:rFonts w:hint="eastAsia" w:ascii="Times New Roman" w:hAnsi="Times New Roman" w:eastAsia="黑体" w:cs="Times New Roman"/>
            </w:rPr>
            <w:t>工业设计</w:t>
          </w:r>
          <w:r>
            <w:rPr>
              <w:rFonts w:hint="eastAsia"/>
            </w:rPr>
            <w:tab/>
          </w:r>
          <w:r>
            <w:rPr>
              <w:rFonts w:hint="eastAsia"/>
            </w:rPr>
            <w:fldChar w:fldCharType="begin"/>
          </w:r>
          <w:r>
            <w:rPr>
              <w:rFonts w:hint="eastAsia"/>
            </w:rPr>
            <w:instrText xml:space="preserve"> </w:instrText>
          </w:r>
          <w:r>
            <w:instrText xml:space="preserve">PAGEREF _Toc224321336 \h</w:instrText>
          </w:r>
          <w:r>
            <w:rPr>
              <w:rFonts w:hint="eastAsia"/>
            </w:rPr>
            <w:instrText xml:space="preserve"> </w:instrText>
          </w:r>
          <w:r>
            <w:rPr>
              <w:rFonts w:hint="eastAsia"/>
            </w:rPr>
            <w:fldChar w:fldCharType="separate"/>
          </w:r>
          <w:r>
            <w:rPr>
              <w:rFonts w:hint="eastAsia"/>
            </w:rPr>
            <w:t>23</w:t>
          </w:r>
          <w:r>
            <w:rPr>
              <w:rFonts w:hint="eastAsia"/>
            </w:rPr>
            <w:fldChar w:fldCharType="end"/>
          </w:r>
          <w:r>
            <w:rPr>
              <w:rFonts w:hint="eastAsia"/>
            </w:rPr>
            <w:fldChar w:fldCharType="end"/>
          </w:r>
        </w:p>
        <w:p w14:paraId="0107F4DD">
          <w:pPr>
            <w:pStyle w:val="9"/>
            <w:tabs>
              <w:tab w:val="right" w:leader="dot" w:pos="9016"/>
            </w:tabs>
            <w:ind w:left="880"/>
            <w:rPr>
              <w:rFonts w:hint="eastAsia" w:asciiTheme="minorHAnsi" w:hAnsiTheme="minorHAnsi" w:eastAsiaTheme="minorEastAsia" w:cstheme="minorBidi"/>
              <w:kern w:val="2"/>
              <w:szCs w:val="24"/>
              <w14:ligatures w14:val="standardContextual"/>
            </w:rPr>
          </w:pPr>
          <w:r>
            <w:fldChar w:fldCharType="begin"/>
          </w:r>
          <w:r>
            <w:instrText xml:space="preserve"> HYPERLINK \l "_Toc224321337" </w:instrText>
          </w:r>
          <w:r>
            <w:fldChar w:fldCharType="separate"/>
          </w:r>
          <w:r>
            <w:rPr>
              <w:rStyle w:val="18"/>
              <w:rFonts w:hint="eastAsia" w:ascii="Times New Roman" w:hAnsi="Times New Roman" w:eastAsia="黑体" w:cs="Times New Roman"/>
            </w:rPr>
            <w:t>作业成本（单位：元）</w:t>
          </w:r>
          <w:r>
            <w:rPr>
              <w:rFonts w:hint="eastAsia"/>
            </w:rPr>
            <w:tab/>
          </w:r>
          <w:r>
            <w:rPr>
              <w:rFonts w:hint="eastAsia"/>
            </w:rPr>
            <w:fldChar w:fldCharType="begin"/>
          </w:r>
          <w:r>
            <w:rPr>
              <w:rFonts w:hint="eastAsia"/>
            </w:rPr>
            <w:instrText xml:space="preserve"> </w:instrText>
          </w:r>
          <w:r>
            <w:instrText xml:space="preserve">PAGEREF _Toc224321337 \h</w:instrText>
          </w:r>
          <w:r>
            <w:rPr>
              <w:rFonts w:hint="eastAsia"/>
            </w:rPr>
            <w:instrText xml:space="preserve"> </w:instrText>
          </w:r>
          <w:r>
            <w:rPr>
              <w:rFonts w:hint="eastAsia"/>
            </w:rPr>
            <w:fldChar w:fldCharType="separate"/>
          </w:r>
          <w:r>
            <w:rPr>
              <w:rFonts w:hint="eastAsia"/>
            </w:rPr>
            <w:t>23</w:t>
          </w:r>
          <w:r>
            <w:rPr>
              <w:rFonts w:hint="eastAsia"/>
            </w:rPr>
            <w:fldChar w:fldCharType="end"/>
          </w:r>
          <w:r>
            <w:rPr>
              <w:rFonts w:hint="eastAsia"/>
            </w:rPr>
            <w:fldChar w:fldCharType="end"/>
          </w:r>
        </w:p>
        <w:p w14:paraId="29497D08">
          <w:pPr>
            <w:pStyle w:val="9"/>
            <w:tabs>
              <w:tab w:val="right" w:leader="dot" w:pos="9016"/>
            </w:tabs>
            <w:ind w:left="880"/>
            <w:rPr>
              <w:rFonts w:hint="eastAsia" w:asciiTheme="minorHAnsi" w:hAnsiTheme="minorHAnsi" w:eastAsiaTheme="minorEastAsia" w:cstheme="minorBidi"/>
              <w:kern w:val="2"/>
              <w:szCs w:val="24"/>
              <w14:ligatures w14:val="standardContextual"/>
            </w:rPr>
          </w:pPr>
          <w:r>
            <w:fldChar w:fldCharType="begin"/>
          </w:r>
          <w:r>
            <w:instrText xml:space="preserve"> HYPERLINK \l "_Toc224321338" </w:instrText>
          </w:r>
          <w:r>
            <w:fldChar w:fldCharType="separate"/>
          </w:r>
          <w:r>
            <w:rPr>
              <w:rStyle w:val="18"/>
              <w:rFonts w:hint="eastAsia" w:ascii="Times New Roman" w:hAnsi="Times New Roman" w:cs="Times New Roman"/>
            </w:rPr>
            <w:t>项目统计</w:t>
          </w:r>
          <w:r>
            <w:rPr>
              <w:rFonts w:hint="eastAsia"/>
            </w:rPr>
            <w:tab/>
          </w:r>
          <w:r>
            <w:rPr>
              <w:rFonts w:hint="eastAsia"/>
            </w:rPr>
            <w:fldChar w:fldCharType="begin"/>
          </w:r>
          <w:r>
            <w:rPr>
              <w:rFonts w:hint="eastAsia"/>
            </w:rPr>
            <w:instrText xml:space="preserve"> </w:instrText>
          </w:r>
          <w:r>
            <w:instrText xml:space="preserve">PAGEREF _Toc224321338 \h</w:instrText>
          </w:r>
          <w:r>
            <w:rPr>
              <w:rFonts w:hint="eastAsia"/>
            </w:rPr>
            <w:instrText xml:space="preserve"> </w:instrText>
          </w:r>
          <w:r>
            <w:rPr>
              <w:rFonts w:hint="eastAsia"/>
            </w:rPr>
            <w:fldChar w:fldCharType="separate"/>
          </w:r>
          <w:r>
            <w:rPr>
              <w:rFonts w:hint="eastAsia"/>
            </w:rPr>
            <w:t>24</w:t>
          </w:r>
          <w:r>
            <w:rPr>
              <w:rFonts w:hint="eastAsia"/>
            </w:rPr>
            <w:fldChar w:fldCharType="end"/>
          </w:r>
          <w:r>
            <w:rPr>
              <w:rFonts w:hint="eastAsia"/>
            </w:rPr>
            <w:fldChar w:fldCharType="end"/>
          </w:r>
        </w:p>
        <w:p w14:paraId="034E5EF9">
          <w:pPr>
            <w:pStyle w:val="12"/>
            <w:tabs>
              <w:tab w:val="right" w:leader="dot" w:pos="9016"/>
            </w:tabs>
            <w:rPr>
              <w:rFonts w:hint="eastAsia" w:asciiTheme="minorHAnsi" w:hAnsiTheme="minorHAnsi" w:eastAsiaTheme="minorEastAsia" w:cstheme="minorBidi"/>
              <w:kern w:val="2"/>
              <w:szCs w:val="24"/>
              <w14:ligatures w14:val="standardContextual"/>
            </w:rPr>
          </w:pPr>
          <w:r>
            <w:fldChar w:fldCharType="begin"/>
          </w:r>
          <w:r>
            <w:instrText xml:space="preserve"> HYPERLINK \l "_Toc224321339" </w:instrText>
          </w:r>
          <w:r>
            <w:fldChar w:fldCharType="separate"/>
          </w:r>
          <w:r>
            <w:rPr>
              <w:rStyle w:val="18"/>
              <w:rFonts w:hint="eastAsia" w:ascii="Times New Roman" w:hAnsi="Times New Roman" w:cs="Times New Roman"/>
            </w:rPr>
            <w:t>安全设计</w:t>
          </w:r>
          <w:r>
            <w:rPr>
              <w:rFonts w:hint="eastAsia"/>
            </w:rPr>
            <w:tab/>
          </w:r>
          <w:r>
            <w:rPr>
              <w:rFonts w:hint="eastAsia"/>
            </w:rPr>
            <w:fldChar w:fldCharType="begin"/>
          </w:r>
          <w:r>
            <w:rPr>
              <w:rFonts w:hint="eastAsia"/>
            </w:rPr>
            <w:instrText xml:space="preserve"> </w:instrText>
          </w:r>
          <w:r>
            <w:instrText xml:space="preserve">PAGEREF _Toc224321339 \h</w:instrText>
          </w:r>
          <w:r>
            <w:rPr>
              <w:rFonts w:hint="eastAsia"/>
            </w:rPr>
            <w:instrText xml:space="preserve"> </w:instrText>
          </w:r>
          <w:r>
            <w:rPr>
              <w:rFonts w:hint="eastAsia"/>
            </w:rPr>
            <w:fldChar w:fldCharType="separate"/>
          </w:r>
          <w:r>
            <w:rPr>
              <w:rFonts w:hint="eastAsia"/>
            </w:rPr>
            <w:t>25</w:t>
          </w:r>
          <w:r>
            <w:rPr>
              <w:rFonts w:hint="eastAsia"/>
            </w:rPr>
            <w:fldChar w:fldCharType="end"/>
          </w:r>
          <w:r>
            <w:rPr>
              <w:rFonts w:hint="eastAsia"/>
            </w:rPr>
            <w:fldChar w:fldCharType="end"/>
          </w:r>
        </w:p>
        <w:p w14:paraId="709E24DF">
          <w:pPr>
            <w:pStyle w:val="12"/>
            <w:tabs>
              <w:tab w:val="right" w:leader="dot" w:pos="9016"/>
            </w:tabs>
            <w:rPr>
              <w:rFonts w:hint="eastAsia" w:asciiTheme="minorHAnsi" w:hAnsiTheme="minorHAnsi" w:eastAsiaTheme="minorEastAsia" w:cstheme="minorBidi"/>
              <w:kern w:val="2"/>
              <w:szCs w:val="24"/>
              <w14:ligatures w14:val="standardContextual"/>
            </w:rPr>
          </w:pPr>
          <w:r>
            <w:fldChar w:fldCharType="begin"/>
          </w:r>
          <w:r>
            <w:instrText xml:space="preserve"> HYPERLINK \l "_Toc224321340" </w:instrText>
          </w:r>
          <w:r>
            <w:fldChar w:fldCharType="separate"/>
          </w:r>
          <w:r>
            <w:rPr>
              <w:rStyle w:val="18"/>
              <w:rFonts w:hint="eastAsia" w:ascii="Times New Roman" w:hAnsi="Times New Roman" w:eastAsia="黑体" w:cs="Times New Roman"/>
            </w:rPr>
            <w:t>参考文献</w:t>
          </w:r>
          <w:r>
            <w:rPr>
              <w:rFonts w:hint="eastAsia"/>
            </w:rPr>
            <w:tab/>
          </w:r>
          <w:r>
            <w:rPr>
              <w:rFonts w:hint="eastAsia"/>
            </w:rPr>
            <w:fldChar w:fldCharType="begin"/>
          </w:r>
          <w:r>
            <w:rPr>
              <w:rFonts w:hint="eastAsia"/>
            </w:rPr>
            <w:instrText xml:space="preserve"> </w:instrText>
          </w:r>
          <w:r>
            <w:instrText xml:space="preserve">PAGEREF _Toc224321340 \h</w:instrText>
          </w:r>
          <w:r>
            <w:rPr>
              <w:rFonts w:hint="eastAsia"/>
            </w:rPr>
            <w:instrText xml:space="preserve"> </w:instrText>
          </w:r>
          <w:r>
            <w:rPr>
              <w:rFonts w:hint="eastAsia"/>
            </w:rPr>
            <w:fldChar w:fldCharType="separate"/>
          </w:r>
          <w:r>
            <w:rPr>
              <w:rFonts w:hint="eastAsia"/>
            </w:rPr>
            <w:t>26</w:t>
          </w:r>
          <w:r>
            <w:rPr>
              <w:rFonts w:hint="eastAsia"/>
            </w:rPr>
            <w:fldChar w:fldCharType="end"/>
          </w:r>
          <w:r>
            <w:rPr>
              <w:rFonts w:hint="eastAsia"/>
            </w:rPr>
            <w:fldChar w:fldCharType="end"/>
          </w:r>
        </w:p>
        <w:p w14:paraId="79221749">
          <w:pPr>
            <w:autoSpaceDE w:val="0"/>
            <w:autoSpaceDN w:val="0"/>
            <w:rPr>
              <w:rFonts w:hint="eastAsia"/>
            </w:rPr>
          </w:pPr>
          <w:r>
            <w:rPr>
              <w:rFonts w:ascii="宋体" w:hAnsi="宋体" w:eastAsia="宋体"/>
              <w:sz w:val="24"/>
              <w:szCs w:val="24"/>
            </w:rPr>
            <w:fldChar w:fldCharType="end"/>
          </w:r>
        </w:p>
      </w:sdtContent>
    </w:sdt>
    <w:p w14:paraId="2BE436BE">
      <w:pPr>
        <w:autoSpaceDE w:val="0"/>
        <w:autoSpaceDN w:val="0"/>
        <w:rPr>
          <w:rFonts w:hint="eastAsia"/>
        </w:rPr>
        <w:sectPr>
          <w:headerReference r:id="rId5" w:type="default"/>
          <w:footerReference r:id="rId6" w:type="default"/>
          <w:pgSz w:w="11906" w:h="16838"/>
          <w:pgMar w:top="1440" w:right="1440" w:bottom="1440" w:left="1440" w:header="708" w:footer="708" w:gutter="0"/>
          <w:cols w:space="720" w:num="1"/>
          <w:docGrid w:linePitch="360" w:charSpace="0"/>
        </w:sectPr>
      </w:pPr>
    </w:p>
    <w:p w14:paraId="6D14EE2A">
      <w:pPr>
        <w:pStyle w:val="2"/>
        <w:autoSpaceDE w:val="0"/>
        <w:autoSpaceDN w:val="0"/>
        <w:rPr>
          <w:rFonts w:hint="eastAsia" w:ascii="黑体" w:hAnsi="黑体" w:eastAsia="黑体"/>
        </w:rPr>
      </w:pPr>
      <w:bookmarkStart w:id="0" w:name="_Toc224321308"/>
      <w:r>
        <w:t>摘要</w:t>
      </w:r>
      <w:bookmarkEnd w:id="0"/>
    </w:p>
    <w:p w14:paraId="5701A49D">
      <w:pPr>
        <w:autoSpaceDE w:val="0"/>
        <w:autoSpaceDN w:val="0"/>
        <w:spacing w:line="300" w:lineRule="auto"/>
        <w:rPr>
          <w:rFonts w:hint="eastAsia" w:ascii="黑体" w:hAnsi="黑体" w:eastAsia="黑体"/>
          <w:sz w:val="28"/>
          <w:szCs w:val="28"/>
        </w:rPr>
      </w:pPr>
      <w:r>
        <w:rPr>
          <w:rFonts w:ascii="黑体" w:hAnsi="黑体" w:eastAsia="黑体" w:cs="Times New Roman"/>
          <w:b/>
          <w:bCs/>
          <w:color w:val="1F4E79"/>
          <w:sz w:val="24"/>
          <w:szCs w:val="28"/>
        </w:rPr>
        <w:t>背景</w:t>
      </w:r>
    </w:p>
    <w:p w14:paraId="7514EF7A">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我国正经历全球范围内最为迅猛的人口老龄化进程。据国家统计局发布的数据，截至2024年末，全国60岁及以上老年人口达31031万人，占总人口的22.0%，其中65岁及以上老年人口为22023万人，占15.6%[1]。2024年度国家老龄事业发展公报进一步印证了这一趋势[2]。从国际比较的视角来看，从老龄化率7%迈入14%的深度老龄化阶段，法国用了126年，英国用了46年，日本用了24年，而中国仅用了21年；从14%的深度老龄化迈向20%的超级老龄化，预计中国仅需约10年[3]。世界卫生组织《中国老龄化与健康国家评估报告》预测，到2040年我国60岁以上人口规模将达到4.02亿，届时约每三个中国人中就有一位老年人[4]。</w:t>
      </w:r>
    </w:p>
    <w:p w14:paraId="3F34105C">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老年人群的慢性病负担尤为沉重。国家卫健委统计数据显示，我国约有1.9亿老年人患有慢性病，其中75%的60岁及以上老年人至少患有1种慢性病，43%同时患有2种及以上疾病[5]。《中国全科医学》2021年一项针对万余名老年人的研究显示，约65.14%的受访者存在多病共存现象，如高血压、糖尿病与骨关节炎并存的情形十分常见，显著增加了诊疗与护理的复杂性[6]。据民政部2024年9月发布的数据，我国失能老年人约3500万人，占全体老年人的11.6%，预计2035年将达到4600万人[7]。中国疾病预防控制中心慢性非传染性疾病预防控制中心指出，中国慢性病负担将占总疾病负担的近70%，世界银行与卫生部、世界卫生组织合作报告估计，到2030年人口快速老龄化可能使中国慢病负担增加40%[6]。慢性病患者往往需要持续照护、长期服药、高频复检，然而传统护理模式高度依赖人工定时巡检，通常每2至4小时巡查一次，无法实现全天候连续监测。尤其在夜间，护理人员配比不足的问题更加突出，患者心率骤变、血氧骤降、体温异常等危急情况难以被第一时间发现，受压损伤等并发症的发生率居高不下。</w:t>
      </w:r>
    </w:p>
    <w:p w14:paraId="4B6468C5">
      <w:pPr>
        <w:jc w:val="center"/>
        <w:rPr>
          <w:rFonts w:hint="eastAsia"/>
        </w:rPr>
      </w:pPr>
      <w:commentRangeStart w:id="0"/>
      <w:r>
        <w:drawing>
          <wp:inline xmlns:a="http://schemas.openxmlformats.org/drawingml/2006/main" xmlns:pic="http://schemas.openxmlformats.org/drawingml/2006/picture">
            <wp:extent cx="5220000" cy="3073577"/>
            <wp:docPr id="18" name="Picture 18"/>
            <wp:cNvGraphicFramePr>
              <a:graphicFrameLocks noChangeAspect="1"/>
            </wp:cNvGraphicFramePr>
            <a:graphic>
              <a:graphicData uri="http://schemas.openxmlformats.org/drawingml/2006/picture">
                <pic:pic>
                  <pic:nvPicPr>
                    <pic:cNvPr id="0" name="fig1_1_mode_compare.png"/>
                    <pic:cNvPicPr/>
                  </pic:nvPicPr>
                  <pic:blipFill>
                    <a:blip r:embed="rId22"/>
                    <a:stretch>
                      <a:fillRect/>
                    </a:stretch>
                  </pic:blipFill>
                  <pic:spPr>
                    <a:xfrm>
                      <a:off x="0" y="0"/>
                      <a:ext cx="5220000" cy="3073577"/>
                    </a:xfrm>
                    <a:prstGeom prst="rect"/>
                  </pic:spPr>
                </pic:pic>
              </a:graphicData>
            </a:graphic>
          </wp:inline>
        </w:drawing>
      </w:r>
    </w:p>
    <w:p w14:paraId="6614351E">
      <w:pPr>
        <w:jc w:val="center"/>
        <w:rPr>
          <w:rFonts w:hint="eastAsia"/>
        </w:rPr>
      </w:pPr>
      <w:r>
        <w:rPr>
          <w:rFonts w:ascii="楷体" w:hAnsi="楷体" w:eastAsia="楷体" w:cs="Times New Roman"/>
          <w:b/>
          <w:sz w:val="22"/>
        </w:rPr>
        <w:t>图1.1 传统人工巡检护理模式与智能护理模式对比示意图</w:t>
      </w:r>
      <w:commentRangeEnd w:id="0"/>
      <w:r>
        <w:commentReference w:id="0"/>
      </w:r>
    </w:p>
    <w:p w14:paraId="30469ACA">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在政策层面，国家对智慧养老和护理服务体系建设给予了高度重视。2025年全国两会《政府工作报告》明确提出"积极应对人口老龄化，完善发展养老事业和养老产业政策机制，大力发展银发经济"，同时强调"推进社区支持的居家养老，强化失能老年人照护"，要求"加快建立长期护理保险制度"和"加强护理、老年医学专业队伍建设"[8]。2025年1月，中共中央、国务院印发《关于深化养老服务改革发展的意见》，明确提出"加快养老科技和信息化发展应用"，要求"重点推动人形机器人、脑机接口、人工智能等技术产品研发应用"，并强调"深化全国智慧健康养老应用示范，推广智能化家居和智慧健康产品，探索开展居家养老安全风险预警和防范服务"[9]。国务院办公厅此前印发的《关于进一步释放消费潜力促进消费持续恢复的意见》也明确提出，要"加力促进健康养老等服务消费，发展适合老年人消费的健康咨询、生活照护、慢性病管理等产品和服务"[10]。这些政策信号清晰表明，智慧护理与AI赋能养老已上升为国家战略优先方向。</w:t>
      </w:r>
    </w:p>
    <w:p w14:paraId="1FACF786">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从市场规模来看，我国慢病管理行业存在巨大需求，市场规模持续扩大。据智研咨询统计，2024年我国慢病管理市场规模已达到约59986亿元，自2015年以来年复合增长率为12.6%；其中线上慢病管理市场从2015年的466亿元增长至2024年的5540亿元，互联网慢病管理模式正加速兴起[5]。在养老机构方面，截至2020年底，中国每千名60岁以上老年人拥有养老机构床位仅为31张，养老服务供给能力明显不足；"十四五"规划提出到2025年养老服务床位总量需达到900万张以上[10]。然而，与庞大的市场需求相比，智能化护理产品的供给仍严重不足。现有产品多聚焦单一维度的健康监测，缺乏将心率血氧、体温、姿态、压力分布、脉搏血压等多维度数据进行融合分析的能力，更缺乏AI大模型级别的深度分析与个性化护理决策支持。</w:t>
      </w:r>
    </w:p>
    <w:p w14:paraId="49A095BD">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另一方面，近年来物联网（IoT）技术、边缘AI推理和大语言模型（LLM）的快速发展，为智能化护理提供了全新的技术路径。通过在病床端部署多类传感器实时采集体征数据，结合边缘端的轻量级AI模型进行即时分析，再借助云端大模型进行深度诊断与报告生成，可以构建一套全天候、全自动的智能护理系统，大幅提升护理质量与效率。在此背景下，本团队设计并开发了智能护理病床云平台，旨在通过"端-边-云"三层架构与AI大模型深度赋能，构建覆盖生理监测、智能分析、语音陪护、自主导航的全方位智能护理解决方案，切实回应国家"智慧健康养老"战略需求，服务于慢性病患者的长期护理。</w:t>
      </w:r>
    </w:p>
    <w:p w14:paraId="309D4722">
      <w:pPr>
        <w:autoSpaceDE w:val="0"/>
        <w:autoSpaceDN w:val="0"/>
        <w:spacing w:line="300" w:lineRule="auto"/>
        <w:rPr>
          <w:rFonts w:hint="eastAsia" w:ascii="黑体" w:hAnsi="黑体" w:eastAsia="黑体"/>
          <w:sz w:val="28"/>
          <w:szCs w:val="28"/>
        </w:rPr>
      </w:pPr>
      <w:r>
        <w:rPr>
          <w:rFonts w:ascii="黑体" w:hAnsi="黑体" w:eastAsia="黑体" w:cs="Times New Roman"/>
          <w:b/>
          <w:bCs/>
          <w:color w:val="1F4E79"/>
          <w:sz w:val="24"/>
          <w:szCs w:val="28"/>
        </w:rPr>
        <w:t>项目构成</w:t>
      </w:r>
    </w:p>
    <w:p w14:paraId="1CBEA42B">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sz w:val="24"/>
        </w:rPr>
        <w:t>本系统采用"端-边-云"三层架构设计。感知层（端层）由ESP32-S3微控制器搭载6类传感器（MAX30102心率血氧、MLX90614红外测温、MPU6050六轴姿态、Velostat 8×8压力矩阵、HK-2000B+脉搏血压传感器及CSI摄像头）构成，以10秒为周期通过MQTT协议[11]实时上报体征数据。边缘计算层（边层）基于树莓派4B[27]，部署本地Mosquitto MQTT代理和轻量级PostureCNN模型（仅15K参数），实现毫秒级睡姿分类与受压风险实时监测，同时集成4WD自主导航、NearLink星闪寻房及超声波避障功能，使病床具备自主移动能力。应用层（云层）基于Node.js Express框架构建RESTful API服务，集成Moonshot Kimi K3大语言模型提供智能健康报告生成、多专科护理咨询、压力矩阵深度分析等AI能力，并通过SiliconFlow语音服务实现ASR语音识别与TTS语音合成的全流程语音交互陪护。</w:t>
      </w:r>
    </w:p>
    <w:p w14:paraId="58ACBDAB">
      <w:pPr>
        <w:jc w:val="center"/>
        <w:rPr>
          <w:rFonts w:hint="eastAsia"/>
        </w:rPr>
      </w:pPr>
      <w:commentRangeStart w:id="1"/>
      <w:r>
        <w:rPr>
          <w:rFonts w:ascii="Times New Roman" w:hAnsi="Times New Roman" w:eastAsia="宋体" w:cs="Times New Roman"/>
          <w:i/>
          <w:color w:val="808080"/>
          <w:sz w:val="24"/>
        </w:rPr>
        <w:t>(此处插入硬件接线原理图)</w:t>
      </w:r>
    </w:p>
    <w:p w14:paraId="75F51DDD">
      <w:pPr>
        <w:jc w:val="center"/>
        <w:rPr>
          <w:rFonts w:hint="eastAsia"/>
        </w:rPr>
      </w:pPr>
      <w:r>
        <w:rPr>
          <w:rFonts w:ascii="楷体" w:hAnsi="楷体" w:eastAsia="楷体" w:cs="Times New Roman"/>
          <w:b/>
          <w:sz w:val="22"/>
        </w:rPr>
        <w:t>图1.2 ESP32-S3多传感器I2C总线与ADC矩阵扫描接线原理图</w:t>
      </w:r>
      <w:commentRangeEnd w:id="1"/>
      <w:r>
        <w:commentReference w:id="1"/>
      </w:r>
    </w:p>
    <w:p w14:paraId="578791D5">
      <w:pPr>
        <w:jc w:val="center"/>
        <w:rPr>
          <w:rFonts w:hint="eastAsia"/>
        </w:rPr>
      </w:pPr>
      <w:commentRangeStart w:id="2"/>
      <w:r>
        <w:rPr>
          <w:rFonts w:ascii="Times New Roman" w:hAnsi="Times New Roman" w:eastAsia="宋体" w:cs="Times New Roman"/>
          <w:i/>
          <w:color w:val="808080"/>
          <w:sz w:val="24"/>
        </w:rPr>
        <w:t>(此处插入系统总体架构图)</w:t>
      </w:r>
    </w:p>
    <w:p w14:paraId="06F27D9C">
      <w:pPr>
        <w:jc w:val="center"/>
        <w:rPr>
          <w:rFonts w:hint="eastAsia"/>
        </w:rPr>
      </w:pPr>
      <w:r>
        <w:rPr>
          <w:rFonts w:ascii="楷体" w:hAnsi="楷体" w:eastAsia="楷体" w:cs="Times New Roman"/>
          <w:b/>
          <w:sz w:val="22"/>
        </w:rPr>
        <w:t>图1.3 智能护理病床云平台“端-边-云”三层总体架构图</w:t>
      </w:r>
      <w:commentRangeEnd w:id="2"/>
      <w:r>
        <w:commentReference w:id="2"/>
      </w:r>
    </w:p>
    <w:p w14:paraId="1FC98C5C">
      <w:pPr>
        <w:autoSpaceDE w:val="0"/>
        <w:autoSpaceDN w:val="0"/>
        <w:spacing w:line="300" w:lineRule="auto"/>
        <w:rPr>
          <w:rFonts w:hint="eastAsia" w:ascii="黑体" w:hAnsi="黑体" w:eastAsia="黑体"/>
          <w:sz w:val="28"/>
          <w:szCs w:val="28"/>
        </w:rPr>
      </w:pPr>
      <w:r>
        <w:rPr>
          <w:rFonts w:ascii="黑体" w:hAnsi="黑体" w:eastAsia="黑体" w:cs="Times New Roman"/>
          <w:b/>
          <w:bCs/>
          <w:color w:val="1F4E79"/>
          <w:sz w:val="24"/>
          <w:szCs w:val="28"/>
        </w:rPr>
        <w:t>技术方案及路线</w:t>
      </w:r>
    </w:p>
    <w:p w14:paraId="121A723A">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1. 开发多传感器融合采集终端：基于ESP32-S3设计I2C总线共享方案，实现心率血氧、红外体温、六轴姿态的同步采集，配合CD74HC4051双路复用器驱动8×8压力矩阵扫描，完整覆盖患者生理体征与睡眠姿态的实时感知。</w:t>
      </w:r>
    </w:p>
    <w:p w14:paraId="1B9CD584">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2. 构建边缘AI推理平台：在树莓派端部署PyTorch轻量卷积神经网络，实现睡姿六分类（仰卧、左侧卧、右侧卧、俯卧、坐姿、空床）及三级受压风险持续高压跟踪（30/60/120分钟预警），通过帧间差异算法自动检测翻身事件。</w:t>
      </w:r>
    </w:p>
    <w:p w14:paraId="6AB7F680">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sz w:val="24"/>
        </w:rPr>
        <w:t>3. 打造智能自主导航病床：集成3路TCRT5000循迹模块、NearLink星闪室内定位和3路HC-SR04超声波传感器，配合L298N双H桥驱动4WD底盘与PID速度调节，实现病床在医院走廊中的黑线循迹自主导航与目标病房精准停靠。</w:t>
      </w:r>
    </w:p>
    <w:p w14:paraId="2E788CA1">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4. 建设云端AI智能分析平台：整合Kimi K3大模型能力，设计5种专科AI护理Agent（高位截瘫、糖尿病、中风、慢阻肺、通用），实现个性化健康报告自动生成、专科护理咨询、压力矩阵深度分析与患者情绪关注点智能提取。</w:t>
      </w:r>
    </w:p>
    <w:p w14:paraId="61B7C731">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5. 开发语音AI陪护系统：通过SiliconFlow TeleSpeechASR语音识别将患者语音转为文字，经Kimi K3 AI生成关怀回复，再由CosyVoice2合成自然语音播放，形成完整的语音交互陪护闭环。</w:t>
      </w:r>
    </w:p>
    <w:p w14:paraId="6261804F">
      <w:pPr>
        <w:autoSpaceDE w:val="0"/>
        <w:autoSpaceDN w:val="0"/>
        <w:spacing w:line="300" w:lineRule="auto"/>
        <w:rPr>
          <w:rFonts w:hint="eastAsia" w:ascii="宋体" w:hAnsi="宋体" w:eastAsia="宋体"/>
          <w:sz w:val="28"/>
          <w:szCs w:val="28"/>
        </w:rPr>
      </w:pPr>
      <w:r>
        <w:rPr>
          <w:rFonts w:ascii="黑体" w:hAnsi="黑体" w:eastAsia="黑体" w:cs="Times New Roman"/>
          <w:b/>
          <w:bCs/>
          <w:color w:val="1F4E79"/>
          <w:sz w:val="24"/>
          <w:szCs w:val="28"/>
        </w:rPr>
        <w:t>项目意义</w:t>
      </w:r>
    </w:p>
    <w:p w14:paraId="51844AEA">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本智能护理病床云平台将实现慢性病患者护理的全天候智能化监测与管理。通过AI大模型与边缘计算的协同，系统能够深度分析患者多维体征数据，提供客观、及时的健康评估与护理建议，显著降低护理人员的工作负担，减少因人工巡检疏忽导致的受压损伤、跌倒等不良事件。系统的多角色协作设计（管理员、医生、患者、家属四种角色）使得医护团队和家属能够实时了解患者状态，真正实现以患者为中心的协同护理模式。</w:t>
      </w:r>
    </w:p>
    <w:p w14:paraId="5B3AC248">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此外，病床自主导航功能的引入开创了移动式智能护理的新范式，使病床能够自主完成病房间转运任务，进一步解放护理人力资源。本项目对于推动智慧医疗与养老护理领域的技术进步具有重要的示范意义。</w:t>
      </w:r>
    </w:p>
    <w:p w14:paraId="783C24BC">
      <w:pPr>
        <w:autoSpaceDE w:val="0"/>
        <w:autoSpaceDN w:val="0"/>
        <w:rPr>
          <w:rFonts w:hint="eastAsia"/>
        </w:rPr>
      </w:pPr>
    </w:p>
    <w:p w14:paraId="365A45AC">
      <w:pPr>
        <w:autoSpaceDE w:val="0"/>
        <w:autoSpaceDN w:val="0"/>
        <w:jc w:val="both"/>
        <w:rPr>
          <w:rFonts w:hint="eastAsia" w:ascii="宋体" w:hAnsi="宋体" w:eastAsia="宋体"/>
          <w:sz w:val="24"/>
          <w:szCs w:val="24"/>
        </w:rPr>
      </w:pPr>
      <w:r>
        <w:rPr>
          <w:rFonts w:ascii="Times New Roman" w:hAnsi="Times New Roman" w:eastAsia="黑体" w:cs="Times New Roman"/>
          <w:b/>
          <w:bCs/>
          <w:sz w:val="24"/>
          <w:szCs w:val="24"/>
        </w:rPr>
        <w:t>关键词：智慧护理  物联网  边缘AI推理  大语言模型  自主导航  多模态传感器融合</w:t>
      </w:r>
    </w:p>
    <w:p w14:paraId="402F9740">
      <w:pPr>
        <w:autoSpaceDE w:val="0"/>
        <w:autoSpaceDN w:val="0"/>
        <w:rPr>
          <w:rFonts w:hint="eastAsia"/>
        </w:rPr>
      </w:pPr>
      <w:r>
        <w:rPr>
          <w:rFonts w:ascii="Times New Roman" w:hAnsi="Times New Roman" w:eastAsia="宋体" w:cs="Times New Roman"/>
        </w:rPr>
        <w:br w:type="page"/>
      </w:r>
    </w:p>
    <w:p w14:paraId="7CCA3BD4">
      <w:pPr>
        <w:pStyle w:val="2"/>
        <w:autoSpaceDE w:val="0"/>
        <w:autoSpaceDN w:val="0"/>
        <w:rPr>
          <w:rFonts w:hint="eastAsia" w:ascii="黑体" w:hAnsi="黑体" w:eastAsia="黑体"/>
        </w:rPr>
      </w:pPr>
      <w:bookmarkStart w:id="1" w:name="_Toc224321309"/>
      <w:r>
        <w:t>1 设计需求分析</w:t>
      </w:r>
      <w:bookmarkEnd w:id="1"/>
    </w:p>
    <w:p w14:paraId="75661C17">
      <w:pPr>
        <w:pStyle w:val="3"/>
        <w:autoSpaceDE w:val="0"/>
        <w:autoSpaceDN w:val="0"/>
        <w:rPr>
          <w:rFonts w:hint="eastAsia" w:ascii="黑体" w:hAnsi="黑体" w:eastAsia="黑体"/>
        </w:rPr>
      </w:pPr>
      <w:bookmarkStart w:id="2" w:name="_Toc224321310"/>
      <w:r>
        <w:t>1.1 需求分析</w:t>
      </w:r>
      <w:bookmarkEnd w:id="2"/>
    </w:p>
    <w:p w14:paraId="695083BB">
      <w:pPr>
        <w:autoSpaceDE w:val="0"/>
        <w:autoSpaceDN w:val="0"/>
        <w:spacing w:line="300" w:lineRule="auto"/>
        <w:ind w:firstLine="562" w:firstLineChars="200"/>
        <w:rPr>
          <w:rFonts w:hint="eastAsia" w:ascii="黑体" w:hAnsi="黑体" w:eastAsia="黑体"/>
          <w:sz w:val="28"/>
          <w:szCs w:val="28"/>
        </w:rPr>
      </w:pPr>
      <w:r>
        <w:rPr>
          <w:rFonts w:ascii="Times New Roman" w:hAnsi="Times New Roman" w:eastAsia="宋体" w:cs="Times New Roman"/>
          <w:b/>
          <w:bCs/>
          <w:color w:val="1F4E79"/>
          <w:sz w:val="28"/>
          <w:szCs w:val="28"/>
        </w:rPr>
        <w:t>老龄化社会的护理刚需</w:t>
      </w:r>
    </w:p>
    <w:p w14:paraId="50DA93FE">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我国正加速步入深度老龄化社会。根据国家卫健委数据，全国慢性病患者数量已超过3亿，其中需要长期卧床护理的患者群体庞大。传统护理模式以人工定时巡检为主，通常每2至4小时巡查一次，无法实现全天候连续监测。在夜间，护理人员配比不足的问题更加突出，患者心率骤变、血氧骤降、体温异常等危急情况难以被第一时间发现。</w:t>
      </w:r>
    </w:p>
    <w:p w14:paraId="6C6C6929">
      <w:pPr>
        <w:autoSpaceDE w:val="0"/>
        <w:autoSpaceDN w:val="0"/>
        <w:spacing w:line="300" w:lineRule="auto"/>
        <w:ind w:firstLine="562" w:firstLineChars="200"/>
        <w:rPr>
          <w:rFonts w:hint="eastAsia" w:ascii="黑体" w:hAnsi="黑体" w:eastAsia="黑体"/>
          <w:sz w:val="28"/>
          <w:szCs w:val="28"/>
        </w:rPr>
      </w:pPr>
      <w:r>
        <w:rPr>
          <w:rFonts w:ascii="Times New Roman" w:hAnsi="Times New Roman" w:eastAsia="宋体" w:cs="Times New Roman"/>
          <w:b/>
          <w:bCs/>
          <w:color w:val="1F4E79"/>
          <w:sz w:val="28"/>
          <w:szCs w:val="28"/>
        </w:rPr>
        <w:t>体位护理与受压管理的迫切需求</w:t>
      </w:r>
    </w:p>
    <w:p w14:paraId="160B4DB2">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长期卧床患者的体位护理与受压管理是临床护理中最为关键的环节之一。临床研究表明，身体局部持续受压超过2小时即可能引发不可逆的组织损伤。然而，传统护理中翻身计划的执行高度依赖护理人员的记忆与责任心，缺乏客观的压力分布监测手段和科学的风险预警机制。此外，不当的体位还可能影响患者的呼吸道通畅性和血液循环。因此，利用压力传感矩阵实时监测患者体压分布、通过AI算法识别睡姿并跟踪持续受压时长，结合翻身提醒与呼吸道保护建议，实现主动式体位护理管理，具有重大的临床价值。</w:t>
      </w:r>
    </w:p>
    <w:p w14:paraId="4AB06C9F">
      <w:pPr>
        <w:jc w:val="center"/>
        <w:rPr>
          <w:rFonts w:hint="eastAsia"/>
        </w:rPr>
      </w:pPr>
      <w:r>
        <w:rPr>
          <w:rFonts w:ascii="Times New Roman" w:hAnsi="Times New Roman" w:eastAsia="宋体" w:cs="Times New Roman"/>
          <w:i/>
          <w:color w:val="808080"/>
          <w:sz w:val="24"/>
        </w:rPr>
        <w:t>(此处插入体位护理流程图)</w:t>
      </w:r>
    </w:p>
    <w:p w14:paraId="6D43EA1F">
      <w:pPr>
        <w:jc w:val="center"/>
        <w:rPr>
          <w:rFonts w:hint="eastAsia"/>
        </w:rPr>
      </w:pPr>
      <w:r>
        <w:rPr>
          <w:rFonts w:ascii="楷体" w:hAnsi="楷体" w:eastAsia="楷体" w:cs="Times New Roman"/>
          <w:b/>
          <w:sz w:val="22"/>
        </w:rPr>
        <w:t>图1.4 持续受压对组织损伤的病理过程与智能监测干预机制</w:t>
      </w:r>
    </w:p>
    <w:p w14:paraId="6179A9B6">
      <w:pPr>
        <w:autoSpaceDE w:val="0"/>
        <w:autoSpaceDN w:val="0"/>
        <w:spacing w:line="300" w:lineRule="auto"/>
        <w:ind w:firstLine="562" w:firstLineChars="200"/>
        <w:rPr>
          <w:rFonts w:hint="eastAsia" w:ascii="黑体" w:hAnsi="黑体" w:eastAsia="黑体" w:cs="Times New Roman"/>
          <w:b/>
          <w:bCs/>
          <w:color w:val="1F4E79"/>
          <w:sz w:val="28"/>
          <w:szCs w:val="28"/>
        </w:rPr>
      </w:pPr>
      <w:r>
        <w:rPr>
          <w:rFonts w:ascii="Times New Roman" w:hAnsi="Times New Roman" w:eastAsia="宋体" w:cs="Times New Roman"/>
          <w:b/>
          <w:bCs/>
          <w:color w:val="1F4E79"/>
          <w:sz w:val="28"/>
          <w:szCs w:val="28"/>
        </w:rPr>
        <w:t>个性化护理的需求</w:t>
      </w:r>
    </w:p>
    <w:p w14:paraId="13708E1A">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不同慢性病患者的护理重点差异显著。例如，高位截瘫患者需特别关注体温调节与呼吸功能；糖尿病患者的血糖波动和足部监测至关重要；中风后遗症患者需重视血压控制与康复训练；慢阻肺患者的血氧监测最为关键。传统的"一刀切"式护理方案无法满足各类患者的差异化需求，亟需引入智能化、个性化的专科护理决策支持。</w:t>
      </w:r>
    </w:p>
    <w:p w14:paraId="60082CE5">
      <w:pPr>
        <w:pStyle w:val="3"/>
        <w:autoSpaceDE w:val="0"/>
        <w:autoSpaceDN w:val="0"/>
        <w:rPr>
          <w:rFonts w:hint="eastAsia" w:ascii="黑体" w:hAnsi="黑体" w:eastAsia="黑体"/>
        </w:rPr>
      </w:pPr>
      <w:bookmarkStart w:id="3" w:name="_Toc224321311"/>
      <w:r>
        <w:t>1.2 行业痛点</w:t>
      </w:r>
      <w:bookmarkEnd w:id="3"/>
    </w:p>
    <w:p w14:paraId="34AF48E6">
      <w:pPr>
        <w:autoSpaceDE w:val="0"/>
        <w:autoSpaceDN w:val="0"/>
        <w:spacing w:line="300" w:lineRule="auto"/>
        <w:ind w:firstLine="562" w:firstLineChars="200"/>
        <w:rPr>
          <w:rFonts w:hint="eastAsia" w:ascii="黑体" w:hAnsi="黑体" w:eastAsia="黑体"/>
          <w:sz w:val="28"/>
          <w:szCs w:val="28"/>
        </w:rPr>
      </w:pPr>
      <w:r>
        <w:rPr>
          <w:rFonts w:ascii="Times New Roman" w:hAnsi="Times New Roman" w:eastAsia="宋体" w:cs="Times New Roman"/>
          <w:b/>
          <w:bCs/>
          <w:color w:val="1F4E79"/>
          <w:sz w:val="28"/>
          <w:szCs w:val="28"/>
        </w:rPr>
        <w:t>监测手段单一，缺乏多维度融合</w:t>
      </w:r>
    </w:p>
    <w:p w14:paraId="438C751F">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当前市面上的智能护理产品多聚焦于单一维度的监测（如仅心率、仅压力垫），缺乏将心率血氧、体温、姿态、压力分布、脉搏血压等多维度数据进行融合分析的能力。单一指标的异常往往不能反映患者的真实状态，多指标联合分析才能提供更准确的健康评估。</w:t>
      </w:r>
    </w:p>
    <w:p w14:paraId="7E7610BB">
      <w:pPr>
        <w:autoSpaceDE w:val="0"/>
        <w:autoSpaceDN w:val="0"/>
        <w:spacing w:line="300" w:lineRule="auto"/>
        <w:ind w:firstLine="562" w:firstLineChars="200"/>
        <w:rPr>
          <w:rFonts w:hint="eastAsia" w:ascii="黑体" w:hAnsi="黑体" w:eastAsia="黑体" w:cs="Times New Roman"/>
          <w:b/>
          <w:bCs/>
          <w:color w:val="1F4E79"/>
          <w:sz w:val="28"/>
          <w:szCs w:val="28"/>
        </w:rPr>
      </w:pPr>
      <w:r>
        <w:rPr>
          <w:rFonts w:ascii="Times New Roman" w:hAnsi="Times New Roman" w:eastAsia="宋体" w:cs="Times New Roman"/>
          <w:b/>
          <w:bCs/>
          <w:color w:val="1F4E79"/>
          <w:sz w:val="28"/>
          <w:szCs w:val="28"/>
        </w:rPr>
        <w:t>数据分析智能化程度低</w:t>
      </w:r>
    </w:p>
    <w:p w14:paraId="126CDA69">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现有产品的告警机制大多基于简单的阈值判断，例如心率超过120次/分即触发报警。这种粗粒度的规则无法区分患者个体差异和疾病类型差异，容易产生大量误报警。缺乏AI大模型级别的深度分析能力，无法为医护人员提供有临床参考价值的综合健康报告和专科护理建议。</w:t>
      </w:r>
    </w:p>
    <w:p w14:paraId="7503A703">
      <w:pPr>
        <w:autoSpaceDE w:val="0"/>
        <w:autoSpaceDN w:val="0"/>
        <w:spacing w:line="300" w:lineRule="auto"/>
        <w:ind w:firstLine="562" w:firstLineChars="200"/>
        <w:rPr>
          <w:rFonts w:hint="eastAsia" w:ascii="黑体" w:hAnsi="黑体" w:eastAsia="黑体" w:cs="Times New Roman"/>
          <w:b/>
          <w:bCs/>
          <w:color w:val="1F4E79"/>
          <w:sz w:val="28"/>
          <w:szCs w:val="28"/>
        </w:rPr>
      </w:pPr>
      <w:r>
        <w:rPr>
          <w:rFonts w:ascii="Times New Roman" w:hAnsi="Times New Roman" w:eastAsia="宋体" w:cs="Times New Roman"/>
          <w:b/>
          <w:bCs/>
          <w:color w:val="1F4E79"/>
          <w:sz w:val="28"/>
          <w:szCs w:val="28"/>
        </w:rPr>
        <w:t>患者心理关怀缺失</w:t>
      </w:r>
    </w:p>
    <w:p w14:paraId="282B1920">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长期卧床患者常伴有孤独、焦虑、抑郁等负面心理状态，然而绝大多数护理系统仅关注生理指标监测，对患者的心理需求和情感关怀几乎为零。护理人员受限于时间和精力，难以为每位患者提供持续的情感陪伴与心理支持。因此，引入语音AI陪护功能，通过自然语言交互为患者提供全天候的情感关怀，具有重要的人文价值。</w:t>
      </w:r>
    </w:p>
    <w:p w14:paraId="186F9DFE">
      <w:pPr>
        <w:autoSpaceDE w:val="0"/>
        <w:autoSpaceDN w:val="0"/>
        <w:spacing w:line="300" w:lineRule="auto"/>
        <w:ind w:firstLine="562" w:firstLineChars="200"/>
        <w:rPr>
          <w:rFonts w:hint="eastAsia" w:ascii="黑体" w:hAnsi="黑体" w:eastAsia="黑体" w:cs="Times New Roman"/>
          <w:b/>
          <w:bCs/>
          <w:color w:val="1F4E79"/>
          <w:sz w:val="28"/>
          <w:szCs w:val="28"/>
        </w:rPr>
      </w:pPr>
      <w:r>
        <w:rPr>
          <w:rFonts w:ascii="Times New Roman" w:hAnsi="Times New Roman" w:eastAsia="宋体" w:cs="Times New Roman"/>
          <w:b/>
          <w:bCs/>
          <w:color w:val="1F4E79"/>
          <w:sz w:val="28"/>
          <w:szCs w:val="28"/>
        </w:rPr>
        <w:t>病床转运依赖人力</w:t>
      </w:r>
    </w:p>
    <w:p w14:paraId="0D0CEA0D">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在医院环境中，患者的病房间转运（如前往检查室、治疗室）通常需要2至3名护理人员协同完成，不仅耗时耗力，还存在转运过程中因设备管路脱落等导致的安全风险。赋予病床自主导航能力，使其能够沿预设路线自主行驶至目标病房，可以有效降低人力成本并提升转运安全性。</w:t>
      </w:r>
    </w:p>
    <w:p w14:paraId="437BA0DB">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基于上述痛点，本团队设计并开发了智能护理病床云平台，致力于通过"端-边-云"三层架构和AI大模型赋能，构建一套覆盖生理监测、智能分析、语音陪护、自主导航的全方位智能护理解决方案，切实解决慢性病患者长期护理的核心难题。</w:t>
      </w:r>
    </w:p>
    <w:p w14:paraId="78D6CADF">
      <w:pPr>
        <w:jc w:val="center"/>
        <w:rPr>
          <w:rFonts w:hint="eastAsia"/>
        </w:rPr>
      </w:pPr>
      <w:commentRangeStart w:id="3"/>
      <w:r>
        <w:rPr>
          <w:rFonts w:ascii="Times New Roman" w:hAnsi="Times New Roman" w:eastAsia="宋体" w:cs="Times New Roman"/>
          <w:i/>
          <w:color w:val="808080"/>
          <w:sz w:val="24"/>
        </w:rPr>
        <w:t>(此处插入痛点方案对应图)</w:t>
      </w:r>
    </w:p>
    <w:p w14:paraId="6331BAA1">
      <w:pPr>
        <w:jc w:val="center"/>
        <w:rPr>
          <w:rFonts w:hint="eastAsia"/>
        </w:rPr>
      </w:pPr>
      <w:r>
        <w:rPr>
          <w:rFonts w:ascii="楷体" w:hAnsi="楷体" w:eastAsia="楷体" w:cs="Times New Roman"/>
          <w:b/>
          <w:sz w:val="22"/>
        </w:rPr>
        <w:t>图1.5 行业痛点与系统解决方案对应关系图</w:t>
      </w:r>
      <w:commentRangeEnd w:id="3"/>
      <w:r>
        <w:commentReference w:id="3"/>
      </w:r>
    </w:p>
    <w:p w14:paraId="05D1A8CE">
      <w:pPr>
        <w:pStyle w:val="2"/>
        <w:autoSpaceDE w:val="0"/>
        <w:autoSpaceDN w:val="0"/>
        <w:rPr>
          <w:rFonts w:hint="eastAsia" w:ascii="黑体" w:hAnsi="黑体" w:eastAsia="黑体"/>
        </w:rPr>
      </w:pPr>
      <w:bookmarkStart w:id="4" w:name="_Toc224321312"/>
      <w:r>
        <w:t>2 特色与创新</w:t>
      </w:r>
      <w:bookmarkEnd w:id="4"/>
    </w:p>
    <w:p w14:paraId="5745930B">
      <w:pPr>
        <w:pStyle w:val="3"/>
        <w:autoSpaceDE w:val="0"/>
        <w:autoSpaceDN w:val="0"/>
        <w:rPr>
          <w:rFonts w:hint="eastAsia" w:ascii="黑体" w:hAnsi="黑体" w:eastAsia="黑体"/>
        </w:rPr>
      </w:pPr>
      <w:bookmarkStart w:id="5" w:name="_Toc224321313"/>
      <w:r>
        <w:t>2.1 技术创新</w:t>
      </w:r>
      <w:bookmarkEnd w:id="5"/>
    </w:p>
    <w:p w14:paraId="2326ED48">
      <w:pPr>
        <w:autoSpaceDE w:val="0"/>
        <w:autoSpaceDN w:val="0"/>
        <w:spacing w:line="300" w:lineRule="auto"/>
        <w:ind w:firstLine="562" w:firstLineChars="200"/>
        <w:rPr>
          <w:rFonts w:hint="eastAsia" w:ascii="黑体" w:hAnsi="黑体" w:eastAsia="黑体"/>
          <w:sz w:val="28"/>
          <w:szCs w:val="28"/>
        </w:rPr>
      </w:pPr>
      <w:r>
        <w:rPr>
          <w:rFonts w:ascii="Times New Roman" w:hAnsi="Times New Roman" w:eastAsia="宋体" w:cs="Times New Roman"/>
          <w:b/>
          <w:bCs/>
          <w:color w:val="1F4E79"/>
          <w:sz w:val="28"/>
          <w:szCs w:val="28"/>
        </w:rPr>
        <w:t>"端-边-云"三层融合架构</w:t>
      </w:r>
    </w:p>
    <w:p w14:paraId="2769A64B">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系统创新性地采用"端-边-云"三层架构，实现了感知、计算、应用的有机分离与协同。端层（ESP32-S3）负责多传感器实时采集，以10秒为周期通过MQTT协议上报数据，确保低功耗、高实时性。边层（树莓派4B）部署本地MQTT Broker[11]（Mosquitto）和轻量级CNN模型，实现毫秒级边缘AI推理，即使在网络中断的情况下仍可独立完成睡姿分类和受压风险监测。云层（Express API）则集成Kimi K3大语言模型，提供深度智能分析能力。三层各司其职，既保证了系统的实时响应能力，又充分利用了云端AI的深度分析优势。</w:t>
      </w:r>
    </w:p>
    <w:p w14:paraId="1B1D5B7F">
      <w:pPr>
        <w:jc w:val="center"/>
        <w:rPr>
          <w:rFonts w:hint="eastAsia"/>
        </w:rPr>
      </w:pPr>
      <w:commentRangeStart w:id="4"/>
      <w:r>
        <w:rPr>
          <w:rFonts w:ascii="Times New Roman" w:hAnsi="Times New Roman" w:eastAsia="宋体" w:cs="Times New Roman"/>
          <w:i/>
          <w:color w:val="808080"/>
          <w:sz w:val="24"/>
        </w:rPr>
        <w:t>(此处插入三层架构详图)</w:t>
      </w:r>
    </w:p>
    <w:p w14:paraId="504BDF38">
      <w:pPr>
        <w:jc w:val="center"/>
        <w:rPr>
          <w:rFonts w:hint="eastAsia"/>
        </w:rPr>
      </w:pPr>
      <w:r>
        <w:rPr>
          <w:rFonts w:ascii="楷体" w:hAnsi="楷体" w:eastAsia="楷体" w:cs="Times New Roman"/>
          <w:b/>
          <w:sz w:val="22"/>
        </w:rPr>
        <w:t>图2.1 “端-边-云”三层融合架构及数据流向示意图</w:t>
      </w:r>
      <w:commentRangeEnd w:id="4"/>
      <w:r>
        <w:commentReference w:id="4"/>
      </w:r>
    </w:p>
    <w:p w14:paraId="09BF3725">
      <w:pPr>
        <w:autoSpaceDE w:val="0"/>
        <w:autoSpaceDN w:val="0"/>
        <w:spacing w:line="300" w:lineRule="auto"/>
        <w:ind w:firstLine="562" w:firstLineChars="200"/>
        <w:rPr>
          <w:rFonts w:hint="eastAsia" w:ascii="黑体" w:hAnsi="黑体" w:eastAsia="黑体"/>
          <w:sz w:val="28"/>
          <w:szCs w:val="28"/>
        </w:rPr>
      </w:pPr>
      <w:r>
        <w:rPr>
          <w:rFonts w:ascii="Times New Roman" w:hAnsi="Times New Roman" w:eastAsia="宋体" w:cs="Times New Roman"/>
          <w:b/>
          <w:bCs/>
          <w:color w:val="1F4E79"/>
          <w:sz w:val="28"/>
          <w:szCs w:val="28"/>
        </w:rPr>
        <w:t>多专科AI护理Agent</w:t>
      </w:r>
    </w:p>
    <w:p w14:paraId="07B34B14">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系统内置5种专科AI护理Agent，分别针对高位截瘫、糖尿病、中风后遗症、慢阻肺和通用护理场景设计。每种Agent配备独立的系统提示词（System Prompt）和个性化的体征告警阈值。例如，高位截瘫Agent将血氧安全下限设为92%且特别关注体温调节异常；糖尿病Agent重点监控血糖波动范围（3.9-11.1 mmol/L）并关注足部护理；慢阻肺Agent将血氧阈值适应性调低至88%以减少误报。这种设计使得AI能够像不同科室的专科护士一样，为各类慢性病患者提供针对性的护理建议。</w:t>
      </w:r>
    </w:p>
    <w:p w14:paraId="0454006E">
      <w:pPr>
        <w:autoSpaceDE w:val="0"/>
        <w:autoSpaceDN w:val="0"/>
        <w:spacing w:line="300" w:lineRule="auto"/>
        <w:ind w:firstLine="562" w:firstLineChars="200"/>
        <w:rPr>
          <w:rFonts w:hint="eastAsia" w:ascii="黑体" w:hAnsi="黑体" w:eastAsia="黑体"/>
          <w:sz w:val="28"/>
          <w:szCs w:val="28"/>
        </w:rPr>
      </w:pPr>
      <w:r>
        <w:rPr>
          <w:rFonts w:ascii="Times New Roman" w:hAnsi="Times New Roman" w:eastAsia="宋体" w:cs="Times New Roman"/>
          <w:b/>
          <w:bCs/>
          <w:color w:val="1F4E79"/>
          <w:sz w:val="28"/>
          <w:szCs w:val="28"/>
        </w:rPr>
        <w:t>边缘AI轻量推理</w:t>
      </w:r>
    </w:p>
    <w:p w14:paraId="25A13E59">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在树莓派端部署了自研的PostureCNN卷积神经网络模型[14][15]，该模型仅有不到15K个参数，推理耗时低于1毫秒。模型接收8×8压力矩阵数据作为输入，能够实时分类6种睡眠姿态（仰卧、左侧卧、右侧卧、俯卧、坐姿、空床），并配合基于规则的持续高压跟踪算法实现三级受压风险预警（30分钟黄色预警、60分钟橙色预警、120分钟红色预警）。轻量级的模型设计使得边缘设备无需GPU即可流畅运行，确保了低成本部署的可行性。</w:t>
      </w:r>
    </w:p>
    <w:p w14:paraId="2EB4CC0E">
      <w:pPr>
        <w:jc w:val="center"/>
        <w:rPr>
          <w:rFonts w:hint="eastAsia"/>
        </w:rPr>
      </w:pPr>
      <w:r>
        <w:drawing>
          <wp:inline distT="0" distB="0" distL="114300" distR="114300">
            <wp:extent cx="5219700" cy="21336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1"/>
                    <a:stretch>
                      <a:fillRect/>
                    </a:stretch>
                  </pic:blipFill>
                  <pic:spPr>
                    <a:xfrm>
                      <a:off x="0" y="0"/>
                      <a:ext cx="5220000" cy="2133723"/>
                    </a:xfrm>
                    <a:prstGeom prst="rect">
                      <a:avLst/>
                    </a:prstGeom>
                  </pic:spPr>
                </pic:pic>
              </a:graphicData>
            </a:graphic>
          </wp:inline>
        </w:drawing>
      </w:r>
    </w:p>
    <w:p w14:paraId="58B2F27B">
      <w:pPr>
        <w:jc w:val="center"/>
        <w:rPr>
          <w:rFonts w:hint="eastAsia"/>
        </w:rPr>
      </w:pPr>
      <w:r>
        <w:rPr>
          <w:rFonts w:ascii="楷体" w:hAnsi="楷体" w:eastAsia="楷体" w:cs="Times New Roman"/>
          <w:b/>
          <w:sz w:val="22"/>
        </w:rPr>
        <w:t>图2.2 PostureCNN轻量卷积神经网络模型结构</w:t>
      </w:r>
    </w:p>
    <w:p w14:paraId="7F54DF9F">
      <w:pPr>
        <w:autoSpaceDE w:val="0"/>
        <w:autoSpaceDN w:val="0"/>
        <w:spacing w:line="300" w:lineRule="auto"/>
        <w:ind w:firstLine="562" w:firstLineChars="200"/>
        <w:rPr>
          <w:rFonts w:ascii="Times New Roman" w:hAnsi="Times New Roman" w:eastAsia="黑体" w:cs="Times New Roman"/>
          <w:b/>
          <w:bCs/>
          <w:color w:val="1F4E79"/>
          <w:sz w:val="28"/>
          <w:szCs w:val="28"/>
        </w:rPr>
      </w:pPr>
      <w:r>
        <w:rPr>
          <w:rFonts w:ascii="Times New Roman" w:hAnsi="Times New Roman" w:eastAsia="宋体" w:cs="Times New Roman"/>
          <w:b/>
          <w:bCs/>
          <w:color w:val="1F4E79"/>
          <w:sz w:val="28"/>
          <w:szCs w:val="28"/>
        </w:rPr>
        <w:t>双模型边缘AI推理架构</w:t>
      </w:r>
    </w:p>
    <w:p w14:paraId="7613C547">
      <w:pPr>
        <w:autoSpaceDE w:val="0"/>
        <w:autoSpaceDN w:val="0"/>
        <w:spacing w:line="300" w:lineRule="auto"/>
        <w:ind w:firstLine="480" w:firstLineChars="200"/>
        <w:jc w:val="both"/>
        <w:rPr>
          <w:rFonts w:ascii="Times New Roman" w:hAnsi="Times New Roman" w:eastAsia="宋体" w:cs="Times New Roman"/>
          <w:sz w:val="24"/>
          <w:szCs w:val="24"/>
        </w:rPr>
      </w:pPr>
      <w:r>
        <w:rPr>
          <w:rFonts w:ascii="Times New Roman" w:hAnsi="Times New Roman" w:eastAsia="宋体" w:cs="Times New Roman"/>
          <w:sz w:val="24"/>
          <w:szCs w:val="24"/>
        </w:rPr>
        <w:t>在PostureCNN的基础上，系统进一步引入了受MobileNetV3[31]启发的PostureMobileNet模型，采用深度可分离卷积（Depthwise Separable Convolution）替代标准卷积以提升参数效率，并引入Squeeze-and-Excitation（SE）注意力模块[32]实现通道自适应加权。模型使用Hardswish激活函数替代ReLU以提高计算效率，总参数量约45K，在树莓派4B上推理耗时仍低于2毫秒。训练阶段采用AdamW优化器配合余弦退火学习率调度（Cosine Annealing）[33]和数据增强（随机旋转、翻转、缩放、高斯噪声），显著提升了模型的泛化能力。系统支持将模型导出为ONNX格式[34]，利用ONNX Runtime进行工业级推理部署，在无PyTorch环境下亦可运行。系统启动时自动按优先级选择最佳可用引擎：ONNX Runtime &gt; PostureMobileNet &gt; PostureCNN &gt; 规则回退。</w:t>
      </w:r>
    </w:p>
    <w:p w14:paraId="361E2210">
      <w:pPr>
        <w:autoSpaceDE w:val="0"/>
        <w:autoSpaceDN w:val="0"/>
        <w:jc w:val="both"/>
        <w:rPr>
          <w:rFonts w:ascii="Times New Roman" w:hAnsi="Times New Roman" w:eastAsia="宋体" w:cs="Times New Roman"/>
          <w:sz w:val="24"/>
          <w:szCs w:val="24"/>
        </w:rPr>
      </w:pPr>
    </w:p>
    <w:p w14:paraId="6F8431FF">
      <w:pPr>
        <w:jc w:val="center"/>
        <w:rPr>
          <w:rFonts w:hint="eastAsia"/>
        </w:rPr>
      </w:pPr>
      <w:commentRangeStart w:id="5"/>
      <w:r>
        <w:drawing>
          <wp:inline xmlns:a="http://schemas.openxmlformats.org/drawingml/2006/main" xmlns:pic="http://schemas.openxmlformats.org/drawingml/2006/picture">
            <wp:extent cx="5220000" cy="2369956"/>
            <wp:docPr id="19" name="Picture 19"/>
            <wp:cNvGraphicFramePr>
              <a:graphicFrameLocks noChangeAspect="1"/>
            </wp:cNvGraphicFramePr>
            <a:graphic>
              <a:graphicData uri="http://schemas.openxmlformats.org/drawingml/2006/picture">
                <pic:pic>
                  <pic:nvPicPr>
                    <pic:cNvPr id="0" name="fig2_3_mobilenet.png"/>
                    <pic:cNvPicPr/>
                  </pic:nvPicPr>
                  <pic:blipFill>
                    <a:blip r:embed="rId23"/>
                    <a:stretch>
                      <a:fillRect/>
                    </a:stretch>
                  </pic:blipFill>
                  <pic:spPr>
                    <a:xfrm>
                      <a:off x="0" y="0"/>
                      <a:ext cx="5220000" cy="2369956"/>
                    </a:xfrm>
                    <a:prstGeom prst="rect"/>
                  </pic:spPr>
                </pic:pic>
              </a:graphicData>
            </a:graphic>
          </wp:inline>
        </w:drawing>
      </w:r>
    </w:p>
    <w:p w14:paraId="3D7EF18F">
      <w:pPr>
        <w:jc w:val="center"/>
        <w:rPr>
          <w:rFonts w:hint="eastAsia"/>
        </w:rPr>
      </w:pPr>
      <w:r>
        <w:rPr>
          <w:rFonts w:ascii="楷体" w:hAnsi="楷体" w:eastAsia="楷体"/>
          <w:b/>
          <w:sz w:val="22"/>
        </w:rPr>
        <w:t>图2.3 PostureMobileNet深度可分离卷积网络结构与SE注意力模块</w:t>
      </w:r>
      <w:commentRangeEnd w:id="5"/>
      <w:r>
        <w:commentReference w:id="5"/>
      </w:r>
    </w:p>
    <w:p w14:paraId="4A05C068">
      <w:pPr>
        <w:autoSpaceDE w:val="0"/>
        <w:autoSpaceDN w:val="0"/>
        <w:spacing w:line="300" w:lineRule="auto"/>
        <w:ind w:firstLine="562" w:firstLineChars="200"/>
        <w:rPr>
          <w:rFonts w:ascii="Times New Roman" w:hAnsi="Times New Roman" w:eastAsia="黑体" w:cs="Times New Roman"/>
          <w:b/>
          <w:bCs/>
          <w:color w:val="1F4E79"/>
          <w:sz w:val="28"/>
          <w:szCs w:val="28"/>
        </w:rPr>
      </w:pPr>
      <w:r>
        <w:rPr>
          <w:rFonts w:ascii="Times New Roman" w:hAnsi="Times New Roman" w:eastAsia="宋体"/>
          <w:b/>
          <w:sz w:val="28"/>
        </w:rPr>
        <w:t>涂鸦AI云TuyaLink物联网平台集成</w:t>
      </w:r>
    </w:p>
    <w:p w14:paraId="59B33E3B">
      <w:pPr>
        <w:autoSpaceDE w:val="0"/>
        <w:autoSpaceDN w:val="0"/>
        <w:spacing w:line="300" w:lineRule="auto"/>
        <w:ind w:firstLine="480" w:firstLineChars="200"/>
        <w:jc w:val="both"/>
        <w:rPr>
          <w:rFonts w:ascii="Times New Roman" w:hAnsi="Times New Roman" w:eastAsia="宋体" w:cs="Times New Roman"/>
          <w:sz w:val="24"/>
          <w:szCs w:val="24"/>
        </w:rPr>
      </w:pPr>
      <w:r>
        <w:rPr>
          <w:rFonts w:ascii="Times New Roman" w:hAnsi="Times New Roman" w:eastAsia="宋体"/>
          <w:sz w:val="24"/>
        </w:rPr>
        <w:t>系统集成了涂鸦AI云TuyaLink物联网平台[35]，实现了“本地MQTT + 云端TuyaLink”双链路数据通道。树莓派作为网关设备，通过TLS加密的MQTTS协议（端口8883）直连涂鸦云，采用设备三元组（ProductId/DeviceId/DeviceSecret）与HMAC-SHA256签名认证机制[36]，按TuyaLink物模型Topic（tylink/{deviceId}/thing/property/report）定期上报设备属性（心率、血氧、体温、血压、睡姿等）。平台支持属性设置与动作调用，远程医护人员可通过涂鸦IoT控制台或移动端向病床下发控制指令（如调整靠背角度、紧急停车、查询状态），指令经tylink标准Topic下发至边缘网关执行。双链路设计确保云端网络不可达时本地MQTT仍可独立工作，提升了系统容灾能力。云端AI调用亦经统一LLM网关按需路由至涂鸦智能体开放服务，实现平台侧多科室智能体的灵活切换。</w:t>
      </w:r>
    </w:p>
    <w:p w14:paraId="4C673F37">
      <w:pPr>
        <w:jc w:val="center"/>
        <w:rPr>
          <w:rFonts w:hint="eastAsia"/>
        </w:rPr>
      </w:pPr>
      <w:r>
        <w:drawing>
          <wp:inline xmlns:a="http://schemas.openxmlformats.org/drawingml/2006/main" xmlns:pic="http://schemas.openxmlformats.org/drawingml/2006/picture">
            <wp:extent cx="5220000" cy="2056844"/>
            <wp:docPr id="20" name="Picture 20"/>
            <wp:cNvGraphicFramePr>
              <a:graphicFrameLocks noChangeAspect="1"/>
            </wp:cNvGraphicFramePr>
            <a:graphic>
              <a:graphicData uri="http://schemas.openxmlformats.org/drawingml/2006/picture">
                <pic:pic>
                  <pic:nvPicPr>
                    <pic:cNvPr id="0" name="fig2_4_tuyalink.png"/>
                    <pic:cNvPicPr/>
                  </pic:nvPicPr>
                  <pic:blipFill>
                    <a:blip r:embed="rId24"/>
                    <a:stretch>
                      <a:fillRect/>
                    </a:stretch>
                  </pic:blipFill>
                  <pic:spPr>
                    <a:xfrm>
                      <a:off x="0" y="0"/>
                      <a:ext cx="5220000" cy="2056844"/>
                    </a:xfrm>
                    <a:prstGeom prst="rect"/>
                  </pic:spPr>
                </pic:pic>
              </a:graphicData>
            </a:graphic>
          </wp:inline>
        </w:drawing>
      </w:r>
    </w:p>
    <w:p w14:paraId="2FF0FC65">
      <w:pPr>
        <w:jc w:val="center"/>
        <w:rPr>
          <w:rFonts w:hint="eastAsia"/>
        </w:rPr>
      </w:pPr>
      <w:r>
        <w:rPr>
          <w:rFonts w:ascii="Times New Roman" w:hAnsi="Times New Roman" w:eastAsia="宋体"/>
          <w:b/>
          <w:sz w:val="22"/>
        </w:rPr>
        <w:t>图2.4 本地MQTT与涂鸦云TuyaLink双链路数据通道架构</w:t>
      </w:r>
    </w:p>
    <w:p w14:paraId="4B0F793F">
      <w:pPr>
        <w:autoSpaceDE w:val="0"/>
        <w:autoSpaceDN w:val="0"/>
        <w:spacing w:line="300" w:lineRule="auto"/>
        <w:ind w:firstLine="562" w:firstLineChars="200"/>
        <w:rPr>
          <w:rFonts w:ascii="Times New Roman" w:hAnsi="Times New Roman" w:eastAsia="黑体" w:cs="Times New Roman"/>
          <w:b/>
          <w:bCs/>
          <w:color w:val="1F4E79"/>
          <w:sz w:val="28"/>
          <w:szCs w:val="28"/>
        </w:rPr>
      </w:pPr>
      <w:r>
        <w:rPr>
          <w:rFonts w:ascii="Times New Roman" w:hAnsi="Times New Roman" w:eastAsia="宋体" w:cs="Times New Roman"/>
          <w:b/>
          <w:bCs/>
          <w:color w:val="1F4E79"/>
          <w:sz w:val="28"/>
          <w:szCs w:val="28"/>
        </w:rPr>
        <w:t>多模态传感器融合告警引擎</w:t>
      </w:r>
    </w:p>
    <w:p w14:paraId="2BAB3576">
      <w:pPr>
        <w:autoSpaceDE w:val="0"/>
        <w:autoSpaceDN w:val="0"/>
        <w:spacing w:line="300" w:lineRule="auto"/>
        <w:ind w:firstLine="480" w:firstLineChars="200"/>
        <w:jc w:val="both"/>
        <w:rPr>
          <w:rFonts w:ascii="Times New Roman" w:hAnsi="Times New Roman" w:eastAsia="宋体" w:cs="Times New Roman"/>
          <w:sz w:val="24"/>
          <w:szCs w:val="24"/>
        </w:rPr>
      </w:pPr>
      <w:r>
        <w:rPr>
          <w:rFonts w:ascii="Times New Roman" w:hAnsi="Times New Roman" w:eastAsia="宋体"/>
          <w:sz w:val="24"/>
        </w:rPr>
        <w:t>为提升告警准确率并减少单一传感器的误报，系统实现了基于Dempster-Shafer证据理论[37]的多模态传感器融合引擎。引擎融合三种异构数据源：基于MediaPipe Pose[38]的摄像头视觉跌倒检测（分析人体关键点的Y坐标变化和躯干倾斜角度）、压力矩阵AI分析（MobileNet睡姿分类 + 受压持续时间跟踪）、以及体征生理数据（心率、血氧、体温异常检测）。各数据源独立输出证据质量函数（m(danger)/m(safe)/m(Θ)）后，采用标准Dempster组合规则计算联合信度Belief与似然度Plausibility，并以冲突系数K量化数据源间矛盾程度。当多源证据高度一致时提升告警置信度，当源间矛盾时降低置信度以避免误报。融合结果最终输出四级告警（none/info/warning/critical）及置信度分数。</w:t>
      </w:r>
    </w:p>
    <w:p w14:paraId="622EC5F5">
      <w:pPr>
        <w:jc w:val="center"/>
        <w:rPr>
          <w:rFonts w:hint="eastAsia"/>
        </w:rPr>
      </w:pPr>
      <w:commentRangeStart w:id="6"/>
      <w:r>
        <w:rPr>
          <w:rFonts w:ascii="Times New Roman" w:hAnsi="Times New Roman" w:eastAsia="宋体"/>
          <w:sz w:val="24"/>
        </w:rPr>
        <w:t>(此处插入多模态融合流程图，含视觉/压力/体征三路证据 → D-S融合 → 四级告警输出)</w:t>
      </w:r>
    </w:p>
    <w:p w14:paraId="376D3CE5">
      <w:pPr>
        <w:jc w:val="center"/>
        <w:rPr>
          <w:rFonts w:hint="eastAsia"/>
        </w:rPr>
      </w:pPr>
      <w:r>
        <w:rPr>
          <w:rFonts w:ascii="楷体" w:hAnsi="楷体" w:eastAsia="楷体"/>
          <w:b/>
          <w:sz w:val="22"/>
        </w:rPr>
        <w:t>图2.5 基于Dempster-Shafer证据理论的多模态传感器融合框架</w:t>
      </w:r>
      <w:commentRangeEnd w:id="6"/>
      <w:r>
        <w:commentReference w:id="6"/>
      </w:r>
    </w:p>
    <w:p w14:paraId="74C5DE73">
      <w:pPr>
        <w:autoSpaceDE w:val="0"/>
        <w:autoSpaceDN w:val="0"/>
        <w:spacing w:line="300" w:lineRule="auto"/>
        <w:ind w:firstLine="562" w:firstLineChars="200"/>
        <w:rPr>
          <w:rFonts w:ascii="Times New Roman" w:hAnsi="Times New Roman" w:eastAsia="黑体" w:cs="Times New Roman"/>
          <w:b/>
          <w:bCs/>
          <w:color w:val="1F4E79"/>
          <w:sz w:val="28"/>
          <w:szCs w:val="28"/>
        </w:rPr>
      </w:pPr>
      <w:r>
        <w:rPr>
          <w:rFonts w:ascii="Times New Roman" w:hAnsi="Times New Roman" w:eastAsia="宋体" w:cs="Times New Roman"/>
          <w:b/>
          <w:bCs/>
          <w:color w:val="1F4E79"/>
          <w:sz w:val="28"/>
          <w:szCs w:val="28"/>
        </w:rPr>
        <w:t>AI自主决策闭环</w:t>
      </w:r>
    </w:p>
    <w:p w14:paraId="65F3E9FF">
      <w:pPr>
        <w:autoSpaceDE w:val="0"/>
        <w:autoSpaceDN w:val="0"/>
        <w:spacing w:line="300" w:lineRule="auto"/>
        <w:ind w:firstLine="480" w:firstLineChars="200"/>
        <w:jc w:val="both"/>
        <w:rPr>
          <w:rFonts w:ascii="Times New Roman" w:hAnsi="Times New Roman" w:eastAsia="宋体" w:cs="Times New Roman"/>
          <w:sz w:val="24"/>
          <w:szCs w:val="24"/>
        </w:rPr>
      </w:pPr>
      <w:r>
        <w:rPr>
          <w:rFonts w:ascii="Times New Roman" w:hAnsi="Times New Roman" w:eastAsia="宋体"/>
          <w:sz w:val="24"/>
        </w:rPr>
        <w:t>系统构建了完整的"感知→决策→执行"AI-in-the-Loop自主决策闭环[39]。决策引擎内置9条优先级规则：（1）低血氧自动抬升靠背（SpO2&lt;90%持续30秒，自动抬升15°改善通气）；（2）异常心率告警及语音提醒；（3）持续高温自动降温提示；（4）血压异常多级告警；（5）受压超时自动翻身提醒（结合压力矩阵持续高压时长）；（6）压疮高风险护理方案推送；（7）跌倒/离床自动紧急告警（联动多模态融合结果）；（8）长时间未翻身语音关怀提醒；（9）基于1D-CNN时序模型的预测性受压预防（预测未来30分钟受压风险并提前干预）。每条规则配备独立的冷却时间和优先级权重，防止重复触发。决策引擎通过直接控制推杆电机（调整靠背角度）和语音合成（播放关怀提醒）实现执行闭环，同时将所有决策日志上报云端存档。</w:t>
      </w:r>
    </w:p>
    <w:p w14:paraId="5964BE2B">
      <w:pPr>
        <w:jc w:val="center"/>
        <w:rPr>
          <w:rFonts w:hint="eastAsia"/>
        </w:rPr>
      </w:pPr>
      <w:commentRangeStart w:id="7"/>
      <w:r>
        <w:rPr>
          <w:rFonts w:ascii="Times New Roman" w:hAnsi="Times New Roman" w:eastAsia="宋体"/>
          <w:sz w:val="24"/>
        </w:rPr>
        <w:t>(此处插入AI自主决策闭环流程图，含传感器输入 → 8条规则优先级调度 → 推杆/语音/告警执行)</w:t>
      </w:r>
    </w:p>
    <w:p w14:paraId="08E04BFE">
      <w:pPr>
        <w:jc w:val="center"/>
        <w:rPr>
          <w:rFonts w:hint="eastAsia"/>
        </w:rPr>
      </w:pPr>
      <w:r>
        <w:rPr>
          <w:rFonts w:ascii="楷体" w:hAnsi="楷体" w:eastAsia="楷体"/>
          <w:b/>
          <w:sz w:val="22"/>
        </w:rPr>
        <w:t>图2.6 AI-in-the-Loop自主决策引擎规则调度与执行闭环</w:t>
      </w:r>
      <w:commentRangeEnd w:id="7"/>
      <w:r>
        <w:commentReference w:id="7"/>
      </w:r>
    </w:p>
    <w:p w14:paraId="69050123">
      <w:pPr>
        <w:autoSpaceDE w:val="0"/>
        <w:autoSpaceDN w:val="0"/>
        <w:spacing w:line="300" w:lineRule="auto"/>
        <w:ind w:firstLine="562" w:firstLineChars="200"/>
        <w:rPr>
          <w:rFonts w:hint="eastAsia" w:ascii="黑体" w:hAnsi="黑体" w:eastAsia="黑体"/>
          <w:sz w:val="28"/>
          <w:szCs w:val="28"/>
        </w:rPr>
      </w:pPr>
      <w:r>
        <w:rPr>
          <w:rFonts w:ascii="Times New Roman" w:hAnsi="Times New Roman" w:eastAsia="宋体" w:cs="Times New Roman"/>
          <w:b/>
          <w:bCs/>
          <w:color w:val="1F4E79"/>
          <w:sz w:val="28"/>
          <w:szCs w:val="28"/>
        </w:rPr>
        <w:t>全流程语音AI陪护</w:t>
      </w:r>
    </w:p>
    <w:p w14:paraId="00098392">
      <w:pPr>
        <w:autoSpaceDE w:val="0"/>
        <w:autoSpaceDN w:val="0"/>
        <w:spacing w:line="300" w:lineRule="auto"/>
        <w:ind w:firstLine="480" w:firstLineChars="200"/>
        <w:jc w:val="both"/>
        <w:rPr>
          <w:rFonts w:ascii="Times New Roman" w:hAnsi="Times New Roman" w:eastAsia="宋体" w:cs="Times New Roman"/>
          <w:sz w:val="24"/>
          <w:szCs w:val="24"/>
        </w:rPr>
      </w:pPr>
      <w:r>
        <w:rPr>
          <w:rFonts w:ascii="Times New Roman" w:hAnsi="Times New Roman" w:eastAsia="宋体"/>
          <w:sz w:val="24"/>
        </w:rPr>
        <w:t>系统创新性地构建了"录音→ASR识别→AI对话→TTS合成→播放"的全流程语音交互链路。患者通过USB麦克风说话，音频经SiliconFlow TeleSpeechASR引擎[25]转录为文字；文字内容连同患者病史背景发送至Kimi K3大模型生成关怀性回复；回复文字再经CosyVoice2语音合成引擎[26]转化为自然流畅的语音通过PAM8403功放播放。整个过程对患者而言如同与一位贴心的护理助手对话，有效缓解长期卧床带来的孤独感与焦虑情绪。链路采用基于能量的VAD自动录音（无需任何按键）与WebSocket流式管道（ASR→LLM→TTS逐句合成播放）压缩端到端延迟，流式通道异常时自动回退HTTP模式。</w:t>
      </w:r>
    </w:p>
    <w:p w14:paraId="08092214">
      <w:pPr>
        <w:jc w:val="center"/>
        <w:rPr>
          <w:rFonts w:hint="eastAsia"/>
        </w:rPr>
      </w:pPr>
      <w:commentRangeStart w:id="8"/>
      <w:r>
        <w:rPr>
          <w:rFonts w:ascii="Times New Roman" w:hAnsi="Times New Roman" w:eastAsia="宋体" w:cs="Times New Roman"/>
          <w:i/>
          <w:color w:val="808080"/>
          <w:sz w:val="24"/>
        </w:rPr>
        <w:t>(此处插入语音链路图)</w:t>
      </w:r>
    </w:p>
    <w:p w14:paraId="616D08EB">
      <w:pPr>
        <w:jc w:val="center"/>
        <w:rPr>
          <w:rFonts w:hint="eastAsia"/>
        </w:rPr>
      </w:pPr>
      <w:r>
        <w:rPr>
          <w:rFonts w:ascii="楷体" w:hAnsi="楷体" w:eastAsia="楷体" w:cs="Times New Roman"/>
          <w:b/>
          <w:sz w:val="22"/>
        </w:rPr>
        <w:t>图2.7 全流程语音AI陪护交互链路</w:t>
      </w:r>
      <w:commentRangeEnd w:id="8"/>
      <w:r>
        <w:commentReference w:id="8"/>
      </w:r>
    </w:p>
    <w:p w14:paraId="2EFC1AF3">
      <w:pPr>
        <w:autoSpaceDE w:val="0"/>
        <w:autoSpaceDN w:val="0"/>
        <w:spacing w:line="300" w:lineRule="auto"/>
        <w:ind w:firstLine="562" w:firstLineChars="200"/>
        <w:rPr>
          <w:rFonts w:hint="eastAsia" w:ascii="黑体" w:hAnsi="黑体" w:eastAsia="黑体"/>
          <w:sz w:val="28"/>
          <w:szCs w:val="28"/>
        </w:rPr>
      </w:pPr>
      <w:r>
        <w:rPr>
          <w:rFonts w:ascii="Times New Roman" w:hAnsi="Times New Roman" w:eastAsia="宋体" w:cs="Times New Roman"/>
          <w:b/>
          <w:bCs/>
          <w:color w:val="1F4E79"/>
          <w:sz w:val="28"/>
          <w:szCs w:val="28"/>
        </w:rPr>
        <w:t>自主寻房导航系统</w:t>
      </w:r>
    </w:p>
    <w:p w14:paraId="18A29C0B">
      <w:pPr>
        <w:autoSpaceDE w:val="0"/>
        <w:autoSpaceDN w:val="0"/>
        <w:spacing w:line="300" w:lineRule="auto"/>
        <w:ind w:firstLine="480" w:firstLineChars="200"/>
        <w:jc w:val="both"/>
        <w:rPr>
          <w:rFonts w:ascii="Times New Roman" w:hAnsi="Times New Roman" w:eastAsia="宋体" w:cs="Times New Roman"/>
          <w:sz w:val="24"/>
          <w:szCs w:val="24"/>
        </w:rPr>
      </w:pPr>
      <w:r>
        <w:rPr>
          <w:rFonts w:ascii="Times New Roman" w:hAnsi="Times New Roman" w:eastAsia="宋体"/>
          <w:sz w:val="24"/>
        </w:rPr>
        <w:t>病床底盘集成了完整的自主导航系统：3路TCRT5000循迹传感器实现黑线路径追踪，NearLink星闪锚点三边测距实现病房定位与识别（RC522 RFID读卡器[18]保留为备用方案），3路HC-SR04超声波传感器实现前方和两侧的障碍物检测（15cm紧急停车、30cm减速避让）。L298N双H桥驱动4WD TT马达底盘，配合PID速度调节算法[19]确保平稳行驶。护理人员只需在Web遥控界面输入目标病房号，病床即可沿预设路线自主导航到达。</w:t>
      </w:r>
    </w:p>
    <w:p w14:paraId="31491B94">
      <w:pPr>
        <w:jc w:val="center"/>
        <w:rPr>
          <w:rFonts w:hint="eastAsia"/>
        </w:rPr>
      </w:pPr>
      <w:commentRangeStart w:id="9"/>
      <w:r>
        <w:rPr>
          <w:rFonts w:ascii="Times New Roman" w:hAnsi="Times New Roman" w:eastAsia="宋体" w:cs="Times New Roman"/>
          <w:i/>
          <w:color w:val="808080"/>
          <w:sz w:val="24"/>
        </w:rPr>
        <w:t>(此处插入导航流程图)</w:t>
      </w:r>
    </w:p>
    <w:p w14:paraId="5CB3BE7A">
      <w:pPr>
        <w:jc w:val="center"/>
        <w:rPr>
          <w:rFonts w:hint="eastAsia"/>
        </w:rPr>
      </w:pPr>
      <w:r>
        <w:rPr>
          <w:rFonts w:ascii="楷体" w:hAnsi="楷体" w:eastAsia="楷体" w:cs="Times New Roman"/>
          <w:b/>
          <w:sz w:val="22"/>
        </w:rPr>
        <w:t>图2.8 自主寻房导航系统工作流程与传感器协同机制</w:t>
      </w:r>
      <w:commentRangeEnd w:id="9"/>
      <w:r>
        <w:commentReference w:id="9"/>
      </w:r>
    </w:p>
    <w:p w14:paraId="769F339F">
      <w:pPr>
        <w:pStyle w:val="3"/>
        <w:autoSpaceDE w:val="0"/>
        <w:autoSpaceDN w:val="0"/>
        <w:rPr>
          <w:rFonts w:hint="eastAsia" w:ascii="黑体" w:hAnsi="黑体" w:eastAsia="黑体"/>
        </w:rPr>
      </w:pPr>
      <w:bookmarkStart w:id="6" w:name="_Toc224321314"/>
      <w:r>
        <w:t>2.2 功能创新和优势</w:t>
      </w:r>
      <w:bookmarkEnd w:id="6"/>
    </w:p>
    <w:p w14:paraId="548C4AC7">
      <w:pPr>
        <w:autoSpaceDE w:val="0"/>
        <w:autoSpaceDN w:val="0"/>
        <w:spacing w:line="300" w:lineRule="auto"/>
        <w:ind w:firstLine="562" w:firstLineChars="200"/>
        <w:rPr>
          <w:rFonts w:hint="eastAsia" w:ascii="黑体" w:hAnsi="黑体" w:eastAsia="黑体"/>
          <w:sz w:val="28"/>
          <w:szCs w:val="28"/>
        </w:rPr>
      </w:pPr>
      <w:r>
        <w:rPr>
          <w:rFonts w:ascii="Times New Roman" w:hAnsi="Times New Roman" w:eastAsia="宋体" w:cs="Times New Roman"/>
          <w:b/>
          <w:bCs/>
          <w:color w:val="1F4E79"/>
          <w:sz w:val="28"/>
          <w:szCs w:val="28"/>
        </w:rPr>
        <w:t>AI大模型深度赋能</w:t>
      </w:r>
    </w:p>
    <w:p w14:paraId="251DA36A">
      <w:pPr>
        <w:autoSpaceDE w:val="0"/>
        <w:autoSpaceDN w:val="0"/>
        <w:spacing w:line="300" w:lineRule="auto"/>
        <w:ind w:firstLine="480" w:firstLineChars="200"/>
        <w:jc w:val="both"/>
        <w:rPr>
          <w:rFonts w:ascii="Times New Roman" w:hAnsi="Times New Roman" w:eastAsia="宋体" w:cs="Times New Roman"/>
          <w:sz w:val="24"/>
          <w:szCs w:val="24"/>
        </w:rPr>
      </w:pPr>
      <w:r>
        <w:rPr>
          <w:rFonts w:ascii="Times New Roman" w:hAnsi="Times New Roman" w:eastAsia="宋体" w:cs="Times New Roman"/>
          <w:sz w:val="24"/>
          <w:szCs w:val="24"/>
        </w:rPr>
        <w:t>区别于传统的阈值告警系统，本平台深度集成Moonshot Kimi K3大语言模型[16]，提供四大AI分析能力：健康报告自动生成（综合24小时体征数据与告警记录，输出诊断分析与康复建议）、专科护理咨询（根据患者疾病类型由对应Agent提供专业回答）、压力矩阵深度分析（结合CNN分类结果给出翻身护理方案）、以及家属关注点智能提取（分析3天内患者与AI的对话内容，提取情绪状态、身体诉求和心理需求）。</w:t>
      </w:r>
    </w:p>
    <w:p w14:paraId="7D12DB4B">
      <w:pPr>
        <w:jc w:val="center"/>
        <w:rPr>
          <w:rFonts w:hint="eastAsia"/>
        </w:rPr>
      </w:pPr>
      <w:commentRangeStart w:id="10"/>
      <w:r>
        <w:rPr>
          <w:rFonts w:ascii="Times New Roman" w:hAnsi="Times New Roman" w:eastAsia="宋体" w:cs="Times New Roman"/>
          <w:i/>
          <w:color w:val="808080"/>
          <w:sz w:val="24"/>
        </w:rPr>
        <w:t>(此处插入AI能力架构图)</w:t>
      </w:r>
    </w:p>
    <w:p w14:paraId="5773B884">
      <w:pPr>
        <w:jc w:val="center"/>
        <w:rPr>
          <w:rFonts w:hint="eastAsia"/>
        </w:rPr>
      </w:pPr>
      <w:r>
        <w:rPr>
          <w:rFonts w:ascii="楷体" w:hAnsi="楷体" w:eastAsia="楷体" w:cs="Times New Roman"/>
          <w:b/>
          <w:sz w:val="22"/>
        </w:rPr>
        <w:t>图2.9 Kimi K3大模型四大AI分析能力架构</w:t>
      </w:r>
      <w:commentRangeEnd w:id="10"/>
      <w:r>
        <w:commentReference w:id="10"/>
      </w:r>
    </w:p>
    <w:p w14:paraId="0D7A8BEE">
      <w:pPr>
        <w:autoSpaceDE w:val="0"/>
        <w:autoSpaceDN w:val="0"/>
        <w:spacing w:line="300" w:lineRule="auto"/>
        <w:ind w:firstLine="562" w:firstLineChars="200"/>
        <w:rPr>
          <w:rFonts w:hint="eastAsia" w:ascii="黑体" w:hAnsi="黑体" w:eastAsia="黑体"/>
          <w:sz w:val="28"/>
          <w:szCs w:val="28"/>
        </w:rPr>
      </w:pPr>
      <w:r>
        <w:rPr>
          <w:rFonts w:ascii="Times New Roman" w:hAnsi="Times New Roman" w:eastAsia="宋体" w:cs="Times New Roman"/>
          <w:b/>
          <w:bCs/>
          <w:color w:val="1F4E79"/>
          <w:sz w:val="28"/>
          <w:szCs w:val="28"/>
        </w:rPr>
        <w:t>多角色差异化协作</w:t>
      </w:r>
    </w:p>
    <w:p w14:paraId="3156D31F">
      <w:pPr>
        <w:autoSpaceDE w:val="0"/>
        <w:autoSpaceDN w:val="0"/>
        <w:spacing w:line="300" w:lineRule="auto"/>
        <w:ind w:firstLine="480" w:firstLineChars="200"/>
        <w:jc w:val="both"/>
        <w:rPr>
          <w:rFonts w:ascii="Times New Roman" w:hAnsi="Times New Roman" w:eastAsia="宋体" w:cs="Times New Roman"/>
          <w:sz w:val="24"/>
          <w:szCs w:val="24"/>
        </w:rPr>
      </w:pPr>
      <w:r>
        <w:rPr>
          <w:rFonts w:ascii="Times New Roman" w:hAnsi="Times New Roman" w:eastAsia="宋体" w:cs="Times New Roman"/>
          <w:sz w:val="24"/>
          <w:szCs w:val="24"/>
        </w:rPr>
        <w:t>系统设计了管理员、医生、患者、家属四种用户角色，通过JWT令牌认证[24]与RBAC权限控制实现差异化访问。管理员拥有全部权限，可管理所有患者和系统配置；医生可查看名下所有患者的体征数据和AI报告；患者可查看自己的健康数据和使用语音聊天；家属则可查看关联患者的健康状态和AI生成的关注点分析报告。这种设计使得护理信息在不同角色间精准流转，真正实现了以患者为中心的多方协同护理。</w:t>
      </w:r>
    </w:p>
    <w:p w14:paraId="6AEE25CC">
      <w:pPr>
        <w:autoSpaceDE w:val="0"/>
        <w:autoSpaceDN w:val="0"/>
        <w:spacing w:line="300" w:lineRule="auto"/>
        <w:ind w:firstLine="562" w:firstLineChars="200"/>
        <w:rPr>
          <w:rFonts w:hint="eastAsia" w:ascii="黑体" w:hAnsi="黑体" w:eastAsia="黑体"/>
          <w:sz w:val="28"/>
          <w:szCs w:val="28"/>
        </w:rPr>
      </w:pPr>
      <w:r>
        <w:rPr>
          <w:rFonts w:ascii="Times New Roman" w:hAnsi="Times New Roman" w:eastAsia="宋体"/>
          <w:b/>
          <w:sz w:val="28"/>
        </w:rPr>
        <w:t>11页面Web可视化Dashboard</w:t>
      </w:r>
    </w:p>
    <w:p w14:paraId="4D2D05A2">
      <w:pPr>
        <w:autoSpaceDE w:val="0"/>
        <w:autoSpaceDN w:val="0"/>
        <w:spacing w:line="300" w:lineRule="auto"/>
        <w:ind w:firstLine="480" w:firstLineChars="200"/>
        <w:jc w:val="both"/>
        <w:rPr>
          <w:rFonts w:ascii="Times New Roman" w:hAnsi="Times New Roman" w:eastAsia="宋体" w:cs="Times New Roman"/>
          <w:sz w:val="24"/>
          <w:szCs w:val="24"/>
        </w:rPr>
      </w:pPr>
      <w:r>
        <w:rPr>
          <w:rFonts w:ascii="Times New Roman" w:hAnsi="Times New Roman" w:eastAsia="宋体"/>
          <w:sz w:val="24"/>
        </w:rPr>
        <w:t>前端采用原生HTML/CSS/JS开发，结合Chart.js图表库[29]和Canvas热力图渲染技术，构建了11个功能页面：入口导航页、登录页、总览仪表盘（含压力热力图与体征折线图）、异常预警管理、AI体检报告、患者病历管理、智能提醒、Web端AI聊天、语音聊天、数字孪生3D以及家属关注点分析页面。8×8压力矩阵数据通过Canvas实时绘制为色彩直观的热力图，帮助护理人员一目了然地识别患者的高压区域。</w:t>
      </w:r>
    </w:p>
    <w:p w14:paraId="533E01E0">
      <w:pPr>
        <w:jc w:val="center"/>
        <w:rPr>
          <w:rFonts w:hint="eastAsia"/>
        </w:rPr>
      </w:pPr>
      <w:commentRangeStart w:id="11"/>
      <w:r>
        <w:drawing>
          <wp:inline xmlns:a="http://schemas.openxmlformats.org/drawingml/2006/main" xmlns:pic="http://schemas.openxmlformats.org/drawingml/2006/picture">
            <wp:extent cx="4320000" cy="2799146"/>
            <wp:docPr id="21" name="Picture 21"/>
            <wp:cNvGraphicFramePr>
              <a:graphicFrameLocks noChangeAspect="1"/>
            </wp:cNvGraphicFramePr>
            <a:graphic>
              <a:graphicData uri="http://schemas.openxmlformats.org/drawingml/2006/picture">
                <pic:pic>
                  <pic:nvPicPr>
                    <pic:cNvPr id="0" name="shot_heatmap_card.png"/>
                    <pic:cNvPicPr/>
                  </pic:nvPicPr>
                  <pic:blipFill>
                    <a:blip r:embed="rId25"/>
                    <a:stretch>
                      <a:fillRect/>
                    </a:stretch>
                  </pic:blipFill>
                  <pic:spPr>
                    <a:xfrm>
                      <a:off x="0" y="0"/>
                      <a:ext cx="4320000" cy="2799146"/>
                    </a:xfrm>
                    <a:prstGeom prst="rect"/>
                  </pic:spPr>
                </pic:pic>
              </a:graphicData>
            </a:graphic>
          </wp:inline>
        </w:drawing>
      </w:r>
    </w:p>
    <w:p w14:paraId="0CDAC90B">
      <w:pPr>
        <w:jc w:val="center"/>
        <w:rPr>
          <w:rFonts w:hint="eastAsia"/>
        </w:rPr>
      </w:pPr>
      <w:r>
        <w:rPr>
          <w:rFonts w:ascii="楷体" w:hAnsi="楷体" w:eastAsia="楷体" w:cs="Times New Roman"/>
          <w:b/>
          <w:sz w:val="22"/>
        </w:rPr>
        <w:t>图2.10 前端8x8压力矩阵Canvas热力图渲染效果展示</w:t>
      </w:r>
      <w:commentRangeEnd w:id="11"/>
      <w:r>
        <w:commentReference w:id="11"/>
      </w:r>
    </w:p>
    <w:p w14:paraId="1FD016FB">
      <w:pPr>
        <w:autoSpaceDE w:val="0"/>
        <w:autoSpaceDN w:val="0"/>
        <w:spacing w:line="300" w:lineRule="auto"/>
        <w:ind w:firstLine="562" w:firstLineChars="200"/>
        <w:rPr>
          <w:rFonts w:ascii="Times New Roman" w:hAnsi="Times New Roman" w:eastAsia="黑体" w:cs="Times New Roman"/>
          <w:b/>
          <w:bCs/>
          <w:color w:val="1F4E79"/>
          <w:sz w:val="28"/>
          <w:szCs w:val="28"/>
        </w:rPr>
      </w:pPr>
      <w:r>
        <w:rPr>
          <w:rFonts w:ascii="Times New Roman" w:hAnsi="Times New Roman" w:eastAsia="宋体" w:cs="Times New Roman"/>
          <w:b/>
          <w:bCs/>
          <w:color w:val="1F4E79"/>
          <w:sz w:val="28"/>
          <w:szCs w:val="28"/>
        </w:rPr>
        <w:t>数字孪生3D可视化</w:t>
      </w:r>
    </w:p>
    <w:p w14:paraId="0D0E6E82">
      <w:pPr>
        <w:autoSpaceDE w:val="0"/>
        <w:autoSpaceDN w:val="0"/>
        <w:spacing w:line="300" w:lineRule="auto"/>
        <w:ind w:firstLine="480" w:firstLineChars="200"/>
        <w:jc w:val="both"/>
        <w:rPr>
          <w:rFonts w:ascii="Times New Roman" w:hAnsi="Times New Roman" w:eastAsia="宋体" w:cs="Times New Roman"/>
          <w:sz w:val="24"/>
          <w:szCs w:val="24"/>
        </w:rPr>
      </w:pPr>
      <w:r>
        <w:rPr>
          <w:rFonts w:ascii="Times New Roman" w:hAnsi="Times New Roman" w:eastAsia="宋体" w:cs="Times New Roman"/>
          <w:sz w:val="24"/>
          <w:szCs w:val="24"/>
        </w:rPr>
        <w:t>系统前端新增基于Three.js[40]的数字孪生3D可视化页面，构建了病床的三维模型，包括可动态调节的靠背关节和人体姿态模型。页面实时从API获取传感器数据，驱动3D场景中的压力热力图渲染（2D平面热力图 + 3D柱状图双视角）、人体姿态动画切换（仰卧/侧卧/俯卧/坐起/空床）、以及生命体征数值面板更新。OrbitControls支持鼠标交互旋转、缩放和平移，为远程医护人员提供了前所未有的空间直觉化监护体验。数字孪生技术[41]使得护理人员无需到床旁即可全面掌握患者的体位和受压状况。</w:t>
      </w:r>
    </w:p>
    <w:p w14:paraId="7DB22419">
      <w:pPr>
        <w:jc w:val="center"/>
        <w:rPr>
          <w:rFonts w:hint="eastAsia"/>
        </w:rPr>
      </w:pPr>
      <w:commentRangeStart w:id="12"/>
      <w:r>
        <w:rPr>
          <w:rFonts w:ascii="Times New Roman" w:hAnsi="Times New Roman" w:eastAsia="宋体"/>
          <w:sz w:val="24"/>
        </w:rPr>
        <w:t>(此处插入数字孪生3D可视化页面截图，含3D病床模型 + 压力热力图 + 体征面板)</w:t>
      </w:r>
    </w:p>
    <w:p w14:paraId="361FE019">
      <w:pPr>
        <w:jc w:val="center"/>
        <w:rPr>
          <w:rFonts w:hint="eastAsia"/>
        </w:rPr>
      </w:pPr>
      <w:r>
        <w:rPr>
          <w:rFonts w:ascii="楷体" w:hAnsi="楷体" w:eastAsia="楷体"/>
          <w:b/>
          <w:sz w:val="22"/>
        </w:rPr>
        <w:t>图2.11 基于Three.js的数字孪生3D可视化交互界面</w:t>
      </w:r>
      <w:commentRangeEnd w:id="12"/>
      <w:r>
        <w:commentReference w:id="12"/>
      </w:r>
    </w:p>
    <w:p w14:paraId="7FE4F339">
      <w:pPr>
        <w:autoSpaceDE w:val="0"/>
        <w:autoSpaceDN w:val="0"/>
        <w:spacing w:line="300" w:lineRule="auto"/>
        <w:ind w:firstLine="562" w:firstLineChars="200"/>
        <w:rPr>
          <w:rFonts w:ascii="Times New Roman" w:hAnsi="Times New Roman" w:eastAsia="黑体" w:cs="Times New Roman"/>
          <w:b/>
          <w:bCs/>
          <w:color w:val="1F4E79"/>
          <w:sz w:val="28"/>
          <w:szCs w:val="28"/>
        </w:rPr>
      </w:pPr>
      <w:r>
        <w:rPr>
          <w:rFonts w:ascii="Times New Roman" w:hAnsi="Times New Roman" w:eastAsia="宋体" w:cs="Times New Roman"/>
          <w:b/>
          <w:bCs/>
          <w:color w:val="1F4E79"/>
          <w:sz w:val="28"/>
          <w:szCs w:val="28"/>
        </w:rPr>
        <w:t>联邦学习隐私保护训练</w:t>
      </w:r>
    </w:p>
    <w:p w14:paraId="0D53D13D">
      <w:pPr>
        <w:autoSpaceDE w:val="0"/>
        <w:autoSpaceDN w:val="0"/>
        <w:spacing w:line="300" w:lineRule="auto"/>
        <w:ind w:firstLine="480" w:firstLineChars="200"/>
        <w:jc w:val="both"/>
        <w:rPr>
          <w:rFonts w:ascii="Times New Roman" w:hAnsi="Times New Roman" w:eastAsia="宋体" w:cs="Times New Roman"/>
          <w:sz w:val="24"/>
          <w:szCs w:val="24"/>
        </w:rPr>
      </w:pPr>
      <w:r>
        <w:rPr>
          <w:rFonts w:ascii="Times New Roman" w:hAnsi="Times New Roman" w:eastAsia="宋体" w:cs="Times New Roman"/>
          <w:sz w:val="24"/>
          <w:szCs w:val="24"/>
        </w:rPr>
        <w:t>为解决多床位协作训练AI模型时的患者隐私问题，系统实现了基于FedAvg算法[42]的联邦学习概念验证模块。每个床位作为联邦客户端在本地数据上训练模型，仅上传模型权重差值（weight delta）至中心服务器进行加权聚合，原始患者压力数据始终不离开本地设备。为进一步保护隐私，在权重差值上传前添加差分隐私噪声[43]（校准高斯噪声，隐私预算ε=2.0），使得服务器即使获得模型更新也无法反推出单个患者的压力分布特征。该设计为多医院/多病区场景下的协作AI训练提供了隐私安全的技术路径。</w:t>
      </w:r>
    </w:p>
    <w:p w14:paraId="638ECAA1">
      <w:pPr>
        <w:jc w:val="center"/>
        <w:rPr>
          <w:rFonts w:hint="eastAsia"/>
        </w:rPr>
      </w:pPr>
      <w:commentRangeStart w:id="13"/>
      <w:r>
        <w:rPr>
          <w:rFonts w:ascii="Times New Roman" w:hAnsi="Times New Roman" w:eastAsia="宋体"/>
          <w:sz w:val="24"/>
        </w:rPr>
        <w:t>(此处插入联邦学习架构图，含多床位客户端 → 本地训练 → 差分隐私 → FedAvg聚合 → 全局模型分发)</w:t>
      </w:r>
    </w:p>
    <w:p w14:paraId="7800688A">
      <w:pPr>
        <w:jc w:val="center"/>
        <w:rPr>
          <w:rFonts w:hint="eastAsia"/>
        </w:rPr>
      </w:pPr>
      <w:r>
        <w:rPr>
          <w:rFonts w:ascii="楷体" w:hAnsi="楷体" w:eastAsia="楷体"/>
          <w:b/>
          <w:sz w:val="22"/>
        </w:rPr>
        <w:t>图2.12 基于FedAvg的联邦学习隐私保护训练架构</w:t>
      </w:r>
      <w:commentRangeEnd w:id="13"/>
      <w:r>
        <w:commentReference w:id="13"/>
      </w:r>
    </w:p>
    <w:p w14:paraId="42B75F1C">
      <w:pPr>
        <w:autoSpaceDE w:val="0"/>
        <w:autoSpaceDN w:val="0"/>
        <w:spacing w:line="300" w:lineRule="auto"/>
        <w:ind w:firstLine="562" w:firstLineChars="200"/>
        <w:rPr>
          <w:rFonts w:ascii="Times New Roman" w:hAnsi="Times New Roman" w:eastAsia="黑体" w:cs="Times New Roman"/>
          <w:b/>
          <w:bCs/>
          <w:color w:val="1F4E79"/>
          <w:sz w:val="28"/>
          <w:szCs w:val="28"/>
        </w:rPr>
      </w:pPr>
      <w:r>
        <w:rPr>
          <w:rFonts w:ascii="Times New Roman" w:hAnsi="Times New Roman" w:eastAsia="宋体" w:cs="Times New Roman"/>
          <w:b/>
          <w:bCs/>
          <w:color w:val="1F4E79"/>
          <w:sz w:val="28"/>
          <w:szCs w:val="28"/>
        </w:rPr>
        <w:t>区块链健康数据存证</w:t>
      </w:r>
    </w:p>
    <w:p w14:paraId="0FC87B15">
      <w:pPr>
        <w:autoSpaceDE w:val="0"/>
        <w:autoSpaceDN w:val="0"/>
        <w:spacing w:line="300" w:lineRule="auto"/>
        <w:ind w:firstLine="480" w:firstLineChars="200"/>
        <w:jc w:val="both"/>
        <w:rPr>
          <w:rFonts w:ascii="Times New Roman" w:hAnsi="Times New Roman" w:eastAsia="宋体" w:cs="Times New Roman"/>
          <w:sz w:val="24"/>
          <w:szCs w:val="24"/>
        </w:rPr>
      </w:pPr>
      <w:r>
        <w:rPr>
          <w:rFonts w:ascii="Times New Roman" w:hAnsi="Times New Roman" w:eastAsia="宋体" w:cs="Times New Roman"/>
          <w:sz w:val="24"/>
          <w:szCs w:val="24"/>
        </w:rPr>
        <w:t>系统引入轻量级区块链模块[44]用于健康数据的不可篡改存证。每5分钟，系统将患者体征数据的SHA-256摘要（而非原始数据）写入本地链式哈希结构中，同时记录告警事件、AI分析报告和决策引擎执行日志。每个区块包含前一区块的哈希值、时间戳、数据摘要和工作量证明（Proof-of-Work），形成单向链式依赖。任何对历史记录的篡改都会导致后续所有区块的哈希校验失败，从而被系统检测。该设计为医疗数据的溯源审计和法律合规性提供了可靠的技术保障[45]。</w:t>
      </w:r>
    </w:p>
    <w:p w14:paraId="19269A2A">
      <w:pPr>
        <w:jc w:val="center"/>
        <w:rPr>
          <w:rFonts w:hint="eastAsia"/>
        </w:rPr>
      </w:pPr>
      <w:commentRangeStart w:id="14"/>
      <w:r>
        <w:rPr>
          <w:rFonts w:ascii="Times New Roman" w:hAnsi="Times New Roman" w:eastAsia="宋体"/>
          <w:sz w:val="24"/>
        </w:rPr>
        <w:t>(此处插入区块链存证结构图，含区块链式哈希 + SHA-256摘要 + PoW + 验证链路)</w:t>
      </w:r>
    </w:p>
    <w:p w14:paraId="78F5064F">
      <w:pPr>
        <w:jc w:val="center"/>
        <w:rPr>
          <w:rFonts w:hint="eastAsia"/>
        </w:rPr>
      </w:pPr>
      <w:r>
        <w:rPr>
          <w:rFonts w:ascii="楷体" w:hAnsi="楷体" w:eastAsia="楷体"/>
          <w:b/>
          <w:sz w:val="22"/>
        </w:rPr>
        <w:t>图2.13 轻量级健康数据区块链存证结构</w:t>
      </w:r>
      <w:commentRangeEnd w:id="14"/>
      <w:r>
        <w:commentReference w:id="14"/>
      </w:r>
    </w:p>
    <w:p w14:paraId="6B0008B8">
      <w:pPr>
        <w:autoSpaceDE w:val="0"/>
        <w:autoSpaceDN w:val="0"/>
        <w:spacing w:line="300" w:lineRule="auto"/>
        <w:ind w:firstLine="562" w:firstLineChars="200"/>
        <w:rPr>
          <w:rFonts w:ascii="Times New Roman" w:hAnsi="Times New Roman" w:eastAsia="黑体" w:cs="Times New Roman"/>
          <w:b/>
          <w:bCs/>
          <w:color w:val="1F4E79"/>
          <w:sz w:val="28"/>
          <w:szCs w:val="28"/>
        </w:rPr>
      </w:pPr>
      <w:r>
        <w:rPr>
          <w:rFonts w:ascii="Times New Roman" w:hAnsi="Times New Roman" w:eastAsia="宋体" w:cs="Times New Roman"/>
          <w:b/>
          <w:bCs/>
          <w:color w:val="1F4E79"/>
          <w:sz w:val="28"/>
          <w:szCs w:val="28"/>
        </w:rPr>
        <w:t>语音情感识别增强</w:t>
      </w:r>
    </w:p>
    <w:p w14:paraId="7B5B7D24">
      <w:pPr>
        <w:autoSpaceDE w:val="0"/>
        <w:autoSpaceDN w:val="0"/>
        <w:spacing w:line="300" w:lineRule="auto"/>
        <w:ind w:firstLine="480" w:firstLineChars="200"/>
        <w:jc w:val="both"/>
        <w:rPr>
          <w:rFonts w:ascii="Times New Roman" w:hAnsi="Times New Roman" w:eastAsia="宋体" w:cs="Times New Roman"/>
          <w:sz w:val="24"/>
          <w:szCs w:val="24"/>
        </w:rPr>
      </w:pPr>
      <w:r>
        <w:rPr>
          <w:rFonts w:ascii="Times New Roman" w:hAnsi="Times New Roman" w:eastAsia="宋体"/>
          <w:sz w:val="24"/>
        </w:rPr>
        <w:t>在语音AI陪护的基础上，系统新增了语音情感识别（Speech Emotion Recognition, SER）[46]能力。系统通过Kimi K3大模型对患者的对话文本进行多维度情感分析，输出主要情绪类型、情绪强度（0-1）、效价（Valence，-1至+1表示正负面程度）、唤醒度（Arousal，0-1表示情绪激动程度）以及抑郁/焦虑/疼痛三维风险指标。系统持续追踪情感变化趋势，为护理人员提供患者心理状态的量化评估依据。大模型不可用时系统自动降级为关键词规则分类器并给出粗粒度Valence-Arousal映射，保障离线可用。结合自然语言处理中的情感计算技术[47]，该功能使智能病床从纯生理监测扩展到了心理关怀层面。</w:t>
      </w:r>
    </w:p>
    <w:p w14:paraId="7FDCC97B">
      <w:pPr>
        <w:jc w:val="center"/>
        <w:rPr>
          <w:rFonts w:hint="eastAsia"/>
        </w:rPr>
      </w:pPr>
      <w:commentRangeStart w:id="15"/>
      <w:r>
        <w:rPr>
          <w:rFonts w:ascii="Times New Roman" w:hAnsi="Times New Roman" w:eastAsia="宋体"/>
          <w:sz w:val="24"/>
        </w:rPr>
        <w:t>(此处插入情感分析维度示意图，含Valence-Arousal二维情感空间 + 风险指标雷达图)</w:t>
      </w:r>
    </w:p>
    <w:p w14:paraId="542A7A2E">
      <w:pPr>
        <w:jc w:val="center"/>
        <w:rPr>
          <w:rFonts w:hint="eastAsia"/>
        </w:rPr>
      </w:pPr>
      <w:r>
        <w:rPr>
          <w:rFonts w:ascii="楷体" w:hAnsi="楷体" w:eastAsia="楷体"/>
          <w:b/>
          <w:sz w:val="22"/>
        </w:rPr>
        <w:t>图2.14 语音情感识别多维度分析模型与Valence-Arousal情感空间</w:t>
      </w:r>
      <w:commentRangeEnd w:id="15"/>
      <w:r>
        <w:commentReference w:id="15"/>
      </w:r>
    </w:p>
    <w:p w14:paraId="405F563B">
      <w:pPr>
        <w:autoSpaceDE w:val="0"/>
        <w:autoSpaceDN w:val="0"/>
        <w:spacing w:line="300" w:lineRule="auto"/>
        <w:ind w:firstLine="562" w:firstLineChars="200"/>
        <w:rPr>
          <w:rFonts w:hint="eastAsia" w:ascii="黑体" w:hAnsi="黑体" w:eastAsia="黑体"/>
          <w:sz w:val="28"/>
          <w:szCs w:val="28"/>
        </w:rPr>
      </w:pPr>
      <w:r>
        <w:rPr>
          <w:rFonts w:ascii="Times New Roman" w:hAnsi="Times New Roman" w:eastAsia="宋体" w:cs="Times New Roman"/>
          <w:b/>
          <w:bCs/>
          <w:color w:val="1F4E79"/>
          <w:sz w:val="28"/>
          <w:szCs w:val="28"/>
        </w:rPr>
        <w:t>低成本可复制方案</w:t>
      </w:r>
    </w:p>
    <w:p w14:paraId="247BE7DB">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整套硬件系统预估总成本仅约900元人民币（含运费），所用器件均为市面常见的开源硬件模块，无需定制PCB或专用芯片。软件层面全部采用开源技术栈（Node.js、Express、SQLite、PyTorch、Flask），降低了技术门槛和维护成本。这种低成本、易复制的设计理念使得系统具备在基层医疗机构和养老院规模化推广的潜力。</w:t>
      </w:r>
    </w:p>
    <w:p w14:paraId="1F904A4C">
      <w:pPr>
        <w:autoSpaceDE w:val="0"/>
        <w:autoSpaceDN w:val="0"/>
        <w:spacing w:line="300" w:lineRule="auto"/>
        <w:ind w:firstLine="562" w:firstLineChars="200"/>
        <w:rPr>
          <w:rFonts w:hint="eastAsia" w:ascii="Times New Roman" w:hAnsi="Times New Roman" w:eastAsia="黑体" w:cs="Times New Roman"/>
          <w:b/>
          <w:bCs/>
          <w:color w:val="1F4E79"/>
          <w:sz w:val="28"/>
          <w:szCs w:val="28"/>
        </w:rPr>
      </w:pPr>
      <w:r>
        <w:rPr>
          <w:rFonts w:ascii="Times New Roman" w:hAnsi="Times New Roman" w:eastAsia="宋体" w:cs="Times New Roman"/>
          <w:b/>
          <w:bCs/>
          <w:color w:val="1F4E79"/>
          <w:sz w:val="28"/>
          <w:szCs w:val="28"/>
        </w:rPr>
        <w:t>自然语言控制</w:t>
      </w:r>
    </w:p>
    <w:p w14:paraId="7D7F1B19">
      <w:pPr>
        <w:autoSpaceDE w:val="0"/>
        <w:autoSpaceDN w:val="0"/>
        <w:spacing w:line="300" w:lineRule="auto"/>
        <w:ind w:firstLine="480" w:firstLineChars="200"/>
        <w:jc w:val="both"/>
        <w:rPr>
          <w:rFonts w:hint="eastAsia" w:ascii="Times New Roman" w:hAnsi="Times New Roman" w:eastAsia="宋体" w:cs="Times New Roman"/>
          <w:sz w:val="24"/>
          <w:szCs w:val="24"/>
        </w:rPr>
      </w:pPr>
      <w:r>
        <w:rPr>
          <w:rFonts w:ascii="Times New Roman" w:hAnsi="Times New Roman" w:eastAsia="宋体" w:cs="Times New Roman"/>
          <w:sz w:val="24"/>
          <w:szCs w:val="24"/>
        </w:rPr>
        <w:t>传统智能病床通常采用遥控器或触屏面板的交互方式，操作门槛较高，尤其对于行动不便的老年患者和高位截瘻患者而言，物理按键操作存在显著困难。本系统创新性地引入自然语言控制（Natural Language Control, NLC）功能，患者仅需通过语音指令即可控制病床硬件，如“把靠背升起来”“往前走”“去302房”等自然语言，无需记忆特定按键或触控操作。</w:t>
      </w:r>
    </w:p>
    <w:p w14:paraId="103F97F4">
      <w:pPr>
        <w:autoSpaceDE w:val="0"/>
        <w:autoSpaceDN w:val="0"/>
        <w:spacing w:line="300" w:lineRule="auto"/>
        <w:ind w:firstLine="480" w:firstLineChars="200"/>
        <w:jc w:val="both"/>
        <w:rPr>
          <w:rFonts w:hint="eastAsia" w:ascii="Times New Roman" w:hAnsi="Times New Roman" w:eastAsia="宋体" w:cs="Times New Roman"/>
          <w:sz w:val="24"/>
          <w:szCs w:val="24"/>
        </w:rPr>
      </w:pPr>
      <w:r>
        <w:rPr>
          <w:rFonts w:ascii="Times New Roman" w:hAnsi="Times New Roman" w:eastAsia="宋体" w:cs="Times New Roman"/>
          <w:sz w:val="24"/>
          <w:szCs w:val="24"/>
        </w:rPr>
        <w:t>NLC与语音AI陪聊功能采用双模式架构设计，通过专属唤醒词实现模式切换：说“病床控制”进入NLC模式，说“退出控制”退出该模式；说“小护小护”进入AI陪聊模式，说“结束聊天”退出陪聊模式。两种模式的唤醒词和退出词完全独立，避免了误触发问题[47]。</w:t>
      </w:r>
    </w:p>
    <w:p w14:paraId="72B52781">
      <w:pPr>
        <w:autoSpaceDE w:val="0"/>
        <w:autoSpaceDN w:val="0"/>
        <w:spacing w:line="300" w:lineRule="auto"/>
        <w:ind w:firstLine="480" w:firstLineChars="200"/>
        <w:jc w:val="both"/>
        <w:rPr>
          <w:rFonts w:hint="eastAsia" w:ascii="Times New Roman" w:hAnsi="Times New Roman" w:eastAsia="宋体" w:cs="Times New Roman"/>
          <w:sz w:val="24"/>
          <w:szCs w:val="24"/>
        </w:rPr>
      </w:pPr>
      <w:r>
        <w:rPr>
          <w:rFonts w:ascii="Times New Roman" w:hAnsi="Times New Roman" w:eastAsia="宋体" w:cs="Times New Roman"/>
          <w:sz w:val="24"/>
          <w:szCs w:val="24"/>
        </w:rPr>
        <w:t>NLC模式下，系统采用基于大语言模型的意图解析架构：患者语音经SiliconFlow TeleSpeechASR识别为文本后，通过精心设计的NLC System Prompt调用Kimi K3进行意图解析，将自然语言映射为标准化的动作JSON。系统支持11种硬件控制动作，涵盖靠背升降、底盘移动和自主导航三大类。解析后的动作指令通过HTTP POST发送至本地Flask遥控服务的/api/cmd端点执行硬件操作，同时生成TTS语音进行确认播报。</w:t>
      </w:r>
    </w:p>
    <w:p w14:paraId="2AB98516">
      <w:pPr>
        <w:jc w:val="center"/>
        <w:rPr>
          <w:rFonts w:hint="eastAsia"/>
        </w:rPr>
      </w:pPr>
      <w:commentRangeStart w:id="16"/>
      <w:r>
        <w:rPr>
          <w:rFonts w:ascii="Times New Roman" w:hAnsi="Times New Roman" w:eastAsia="宋体"/>
          <w:sz w:val="24"/>
        </w:rPr>
        <w:t>(此处插入NLC流程图)</w:t>
      </w:r>
    </w:p>
    <w:p w14:paraId="2A337556">
      <w:pPr>
        <w:jc w:val="center"/>
        <w:rPr>
          <w:rFonts w:hint="eastAsia"/>
          <w:b/>
          <w:bCs/>
          <w:sz w:val="21"/>
          <w:szCs w:val="21"/>
        </w:rPr>
      </w:pPr>
      <w:r>
        <w:rPr>
          <w:rFonts w:ascii="楷体" w:hAnsi="楷体" w:eastAsia="楷体"/>
          <w:b/>
          <w:bCs/>
          <w:sz w:val="22"/>
          <w:szCs w:val="21"/>
        </w:rPr>
        <w:t>图2.</w:t>
      </w:r>
      <w:r>
        <w:rPr>
          <w:rFonts w:hint="eastAsia" w:ascii="楷体" w:hAnsi="楷体" w:eastAsia="楷体"/>
          <w:b/>
          <w:bCs/>
          <w:sz w:val="22"/>
          <w:szCs w:val="21"/>
        </w:rPr>
        <w:t>15</w:t>
      </w:r>
      <w:r>
        <w:rPr>
          <w:rFonts w:ascii="楷体" w:hAnsi="楷体" w:eastAsia="楷体"/>
          <w:b/>
          <w:bCs/>
          <w:sz w:val="22"/>
          <w:szCs w:val="21"/>
        </w:rPr>
        <w:t xml:space="preserve"> 自然语言控制（NLC）双模式架构与意图解析流程图</w:t>
      </w:r>
      <w:commentRangeEnd w:id="16"/>
      <w:r>
        <w:commentReference w:id="16"/>
      </w:r>
    </w:p>
    <w:p w14:paraId="13291DA4">
      <w:pPr>
        <w:autoSpaceDE w:val="0"/>
        <w:autoSpaceDN w:val="0"/>
        <w:spacing w:line="300" w:lineRule="auto"/>
        <w:ind w:firstLine="480" w:firstLineChars="200"/>
        <w:jc w:val="both"/>
        <w:rPr>
          <w:rFonts w:hint="eastAsia" w:ascii="Times New Roman" w:hAnsi="Times New Roman" w:eastAsia="宋体" w:cs="Times New Roman"/>
          <w:sz w:val="24"/>
          <w:szCs w:val="24"/>
        </w:rPr>
      </w:pPr>
      <w:r>
        <w:rPr>
          <w:rFonts w:ascii="Times New Roman" w:hAnsi="Times New Roman" w:eastAsia="宋体" w:cs="Times New Roman"/>
          <w:sz w:val="24"/>
          <w:szCs w:val="24"/>
        </w:rPr>
        <w:t>所有语音控制操作均记录在voice_commands数据表中，包含原始语音文本、解析动作、AI回复和执行状态，为系统运行审计和交互体验优化提供数据支撑。</w:t>
      </w:r>
    </w:p>
    <w:p w14:paraId="1938888F">
      <w:pPr>
        <w:spacing w:line="300" w:lineRule="auto"/>
      </w:pPr>
      <w:r>
        <w:rPr>
          <w:rFonts w:ascii="Times New Roman" w:hAnsi="Times New Roman" w:eastAsia="黑体"/>
          <w:b/>
          <w:sz w:val="24"/>
        </w:rPr>
        <w:t>多智能体协同护理决策（Multi-Agent Swarm）</w:t>
      </w:r>
    </w:p>
    <w:p w14:paraId="4A2CA4A3">
      <w:pPr>
        <w:spacing w:line="300" w:lineRule="auto"/>
        <w:ind w:firstLine="480" w:firstLineChars="200"/>
      </w:pPr>
      <w:r>
        <w:rPr>
          <w:rFonts w:ascii="Times New Roman" w:hAnsi="Times New Roman" w:eastAsia="宋体"/>
          <w:sz w:val="24"/>
        </w:rPr>
        <w:t>在单一决策引擎之上，系统进一步实现了多智能体协同框架：护理协调者（NursingCoordinator）统一调度体征监护、压疮预防、急救分诊、情绪陪伴4个专科Agent，各Agent拥有独立的触发条件、优先级与专属提示词，通过消息信箱机制协作会诊。框架引入L0-L3四级工具权限沙箱：从只读查询（L0）到语音提醒（L1）、护理建议推送（L2）、硬件执行（L3）逐级收紧，任何Agent的动作调用均须通过权限校验器审查，为医疗场景下AI自主行为划定安全边界。云端同步提供多Agent并行会诊接口（/api/agents/coordinate）与Swarm运行状态查询端点。</w:t>
      </w:r>
    </w:p>
    <w:p w14:paraId="3442C085">
      <w:pPr>
        <w:spacing w:line="300" w:lineRule="auto"/>
        <w:jc w:val="center"/>
      </w:pPr>
      <w:r>
        <w:rPr>
          <w:rFonts w:ascii="Times New Roman" w:hAnsi="Times New Roman" w:eastAsia="宋体"/>
          <w:sz w:val="24"/>
        </w:rPr>
        <w:t>(此处插入Multi-Agent Swarm架构图，含Coordinator调度 + 4专科Agent + L0-L3权限沙箱)</w:t>
      </w:r>
    </w:p>
    <w:p w14:paraId="20908DA2">
      <w:pPr>
        <w:spacing w:line="300" w:lineRule="auto"/>
        <w:jc w:val="center"/>
        <w:rPr>
          <w:b/>
          <w:bCs/>
        </w:rPr>
      </w:pPr>
      <w:r>
        <w:rPr>
          <w:rFonts w:ascii="楷体" w:hAnsi="楷体" w:eastAsia="楷体"/>
          <w:b/>
          <w:bCs/>
          <w:sz w:val="22"/>
        </w:rPr>
        <w:t>图2.16 多智能体协同护理决策框架与权限分层沙箱</w:t>
      </w:r>
    </w:p>
    <w:p w14:paraId="3B92E987">
      <w:pPr>
        <w:spacing w:line="300" w:lineRule="auto"/>
      </w:pPr>
      <w:r>
        <w:rPr>
          <w:rFonts w:ascii="Times New Roman" w:hAnsi="Times New Roman" w:eastAsia="黑体"/>
          <w:b/>
          <w:sz w:val="24"/>
        </w:rPr>
        <w:t>非接触呼吸率监测（压力信号频域提取）</w:t>
      </w:r>
    </w:p>
    <w:p w14:paraId="30511946">
      <w:pPr>
        <w:spacing w:line="300" w:lineRule="auto"/>
        <w:ind w:firstLine="480" w:firstLineChars="200"/>
      </w:pPr>
      <w:r>
        <w:rPr>
          <w:rFonts w:ascii="Times New Roman" w:hAnsi="Times New Roman" w:eastAsia="宋体"/>
          <w:sz w:val="24"/>
        </w:rPr>
        <w:t>系统复用Velostat压力矩阵实现零额外硬件的呼吸率监测：ESP32以4Hz发布床面压力总和，边缘端维护60秒滑动窗口，经去趋势、Hamming加窗与FFT频谱分析，在0.15-0.6Hz呼吸频带内检测谱峰，将胸腹起伏引起的微小压力波动转化为呼吸率（次/分）。谱峰显著性作为质量指标，体动干扰或空床时自动抑制输出以避免误报。呼吸率随体征数据一同上云入库，并在仪表盘实时展示，为呼吸抑制、睡眠呼吸异常等风险提供无感知、无接触的连续监测手段。</w:t>
      </w:r>
    </w:p>
    <w:p w14:paraId="6C48229F">
      <w:pPr>
        <w:spacing w:line="300" w:lineRule="auto"/>
        <w:jc w:val="center"/>
      </w:pPr>
      <w:r>
        <w:rPr>
          <w:rFonts w:ascii="Times New Roman" w:hAnsi="Times New Roman" w:eastAsia="宋体"/>
          <w:sz w:val="24"/>
        </w:rPr>
        <w:t>(此处插入呼吸率提取流程图，含4Hz压力时序 → 去趋势/加窗 → FFT频谱 → 呼吸频带谱峰)</w:t>
      </w:r>
    </w:p>
    <w:p w14:paraId="071E5038">
      <w:pPr>
        <w:spacing w:line="300" w:lineRule="auto"/>
        <w:jc w:val="center"/>
        <w:rPr>
          <w:b/>
          <w:bCs/>
        </w:rPr>
      </w:pPr>
      <w:r>
        <w:rPr>
          <w:rFonts w:ascii="楷体" w:hAnsi="楷体" w:eastAsia="楷体"/>
          <w:b/>
          <w:bCs/>
          <w:sz w:val="22"/>
        </w:rPr>
        <w:t>图2.17 基于压力矩阵频域分析的非接触呼吸率提取流程</w:t>
      </w:r>
    </w:p>
    <w:p w14:paraId="62F8F398">
      <w:pPr>
        <w:spacing w:line="300" w:lineRule="auto"/>
      </w:pPr>
      <w:r>
        <w:rPr>
          <w:rFonts w:ascii="Times New Roman" w:hAnsi="Times New Roman" w:eastAsia="黑体"/>
          <w:b/>
          <w:sz w:val="24"/>
        </w:rPr>
        <w:t>语音SOS急救直通</w:t>
      </w:r>
    </w:p>
    <w:p w14:paraId="018F863A">
      <w:pPr>
        <w:spacing w:line="300" w:lineRule="auto"/>
        <w:ind w:firstLine="480" w:firstLineChars="200"/>
      </w:pPr>
      <w:r>
        <w:rPr>
          <w:rFonts w:ascii="Times New Roman" w:hAnsi="Times New Roman" w:eastAsia="宋体"/>
          <w:sz w:val="24"/>
        </w:rPr>
        <w:t>语音链路内置SOS急救词直通机制：患者在任意模式下（无需唤醒词）说出“救命”“呼吸困难”“胸口疼”等急救关键词，边缘端本地即时匹配命中——不经过大模型、零网络往返延迟——立即以critical级别直通云端告警接口，经Socket.IO实时弹窗推送至所有在线护士站页面，同时本地语音即时安抚患者。30秒冷却机制防止重复告警；本地TTS降级链（预置音频→espeak-ng→文字提示）保证断网时仍有反馈。该设计将急救响应从“对话式交互”缩短为“关键词直通”，为突发状况争取黄金时间。</w:t>
      </w:r>
    </w:p>
    <w:p w14:paraId="407A8EE8">
      <w:pPr>
        <w:pStyle w:val="2"/>
        <w:autoSpaceDE w:val="0"/>
        <w:autoSpaceDN w:val="0"/>
        <w:rPr>
          <w:rFonts w:hint="eastAsia"/>
        </w:rPr>
      </w:pPr>
      <w:bookmarkStart w:id="7" w:name="_Toc224321315"/>
      <w:r>
        <w:t>3 功能设计</w:t>
      </w:r>
      <w:bookmarkEnd w:id="7"/>
    </w:p>
    <w:p w14:paraId="38C925A9">
      <w:pPr>
        <w:pStyle w:val="3"/>
        <w:autoSpaceDE w:val="0"/>
        <w:autoSpaceDN w:val="0"/>
        <w:rPr>
          <w:rFonts w:hint="eastAsia"/>
        </w:rPr>
      </w:pPr>
      <w:bookmarkStart w:id="8" w:name="_Toc224321316"/>
      <w:r>
        <w:t>3.1 整体结构</w:t>
      </w:r>
      <w:bookmarkEnd w:id="8"/>
    </w:p>
    <w:p w14:paraId="17B693E5">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本系统利用多传感器融合采集、边缘AI推理和云端大模型智能分析等技术，实现了从数据采集到本地分析再到云端深度诊断的全流程智能护理。端层使用ESP32-S3搭载6类传感器完成体征数据采集，通过WiFi连接和MQTT协议将数据传输至边层树莓派。边层部署Mosquitto MQTT Broker接收并解析数据，由PostureCNN模型完成实时睡姿分类，同时通过HTTP Bridge将数据转发至云端。云端Express API服务接收数据后写入SQLite数据库持久化存储，进行阈值告警检测，并在需要时调用Kimi K3大模型执行深度分析。前端Web Dashboard通过RESTful API获取数据并实时可视化展示。</w:t>
      </w:r>
    </w:p>
    <w:p w14:paraId="52548751">
      <w:pPr>
        <w:jc w:val="center"/>
        <w:rPr>
          <w:rFonts w:hint="eastAsia"/>
        </w:rPr>
      </w:pPr>
      <w:commentRangeStart w:id="17"/>
      <w:r>
        <w:drawing>
          <wp:inline distT="0" distB="0" distL="114300" distR="114300">
            <wp:extent cx="5219700" cy="2217420"/>
            <wp:effectExtent l="0" t="0" r="0" b="508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5"/>
                    <a:stretch>
                      <a:fillRect/>
                    </a:stretch>
                  </pic:blipFill>
                  <pic:spPr>
                    <a:xfrm>
                      <a:off x="0" y="0"/>
                      <a:ext cx="5220000" cy="2217906"/>
                    </a:xfrm>
                    <a:prstGeom prst="rect">
                      <a:avLst/>
                    </a:prstGeom>
                  </pic:spPr>
                </pic:pic>
              </a:graphicData>
            </a:graphic>
          </wp:inline>
        </w:drawing>
      </w:r>
    </w:p>
    <w:p w14:paraId="0FD80113">
      <w:pPr>
        <w:jc w:val="center"/>
        <w:rPr>
          <w:rFonts w:hint="eastAsia"/>
        </w:rPr>
      </w:pPr>
      <w:r>
        <w:rPr>
          <w:rFonts w:ascii="楷体" w:hAnsi="楷体" w:eastAsia="楷体" w:cs="Times New Roman"/>
          <w:b/>
          <w:sz w:val="22"/>
        </w:rPr>
        <w:t>图3.1 系统功能模块总体架构图</w:t>
      </w:r>
      <w:commentRangeEnd w:id="17"/>
      <w:r>
        <w:commentReference w:id="17"/>
      </w:r>
    </w:p>
    <w:p w14:paraId="6CADF6CA">
      <w:pPr>
        <w:pStyle w:val="4"/>
        <w:autoSpaceDE w:val="0"/>
        <w:autoSpaceDN w:val="0"/>
        <w:rPr>
          <w:rFonts w:hint="eastAsia" w:ascii="黑体" w:hAnsi="黑体" w:eastAsia="黑体"/>
          <w:sz w:val="30"/>
          <w:szCs w:val="30"/>
        </w:rPr>
      </w:pPr>
      <w:bookmarkStart w:id="9" w:name="_Toc224321317"/>
      <w:r>
        <w:t>3.1.1 体征数据实时监测与告警</w:t>
      </w:r>
      <w:bookmarkEnd w:id="9"/>
    </w:p>
    <w:p w14:paraId="68E188C2">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sz w:val="24"/>
        </w:rPr>
        <w:t>系统每10秒从ESP32-S3采集一组完整的体征数据，包括心率、血氧饱和度、体表温度、血压（收缩压/舒张压）、六轴姿态数据、8×8压力矩阵原始数据，以及由压力时序频域分析提取的呼吸率；血糖数据支持人工录入与外接血糖仪预留接口，与传感数据共用同一告警链路。数据经MQTT传输至树莓派后，首先在本地进行基于疾病类型的个性化阈值检测：系统根据患者关联的AI Agent配置获取对应的阈值范围，当任一指标超出安全范围时立即生成告警记录并写入云端数据库。告警状态支持三阶段流转：active（新建）→acknowledged（已确认）→resolved（已处理），便于护理团队跟踪处理进度。</w:t>
      </w:r>
    </w:p>
    <w:p w14:paraId="2F48718A">
      <w:pPr>
        <w:jc w:val="center"/>
        <w:rPr>
          <w:rFonts w:hint="eastAsia"/>
        </w:rPr>
      </w:pPr>
      <w:commentRangeStart w:id="18"/>
      <w:r>
        <w:rPr>
          <w:rFonts w:ascii="Times New Roman" w:hAnsi="Times New Roman" w:eastAsia="宋体" w:cs="Times New Roman"/>
          <w:i/>
          <w:color w:val="808080"/>
          <w:sz w:val="24"/>
        </w:rPr>
        <w:t>(此处插入告警流程图)</w:t>
      </w:r>
    </w:p>
    <w:p w14:paraId="093886AA">
      <w:pPr>
        <w:jc w:val="center"/>
        <w:rPr>
          <w:rFonts w:hint="eastAsia"/>
        </w:rPr>
      </w:pPr>
      <w:r>
        <w:rPr>
          <w:rFonts w:ascii="楷体" w:hAnsi="楷体" w:eastAsia="楷体" w:cs="Times New Roman"/>
          <w:b/>
          <w:sz w:val="22"/>
        </w:rPr>
        <w:t>图3.2 体征数据实时采集与个性化阈值告警流程</w:t>
      </w:r>
      <w:commentRangeEnd w:id="18"/>
      <w:r>
        <w:commentReference w:id="18"/>
      </w:r>
    </w:p>
    <w:p w14:paraId="5892DED4">
      <w:pPr>
        <w:pStyle w:val="4"/>
        <w:autoSpaceDE w:val="0"/>
        <w:autoSpaceDN w:val="0"/>
        <w:rPr>
          <w:rFonts w:hint="eastAsia" w:ascii="黑体" w:hAnsi="黑体" w:eastAsia="黑体"/>
          <w:sz w:val="30"/>
          <w:szCs w:val="30"/>
        </w:rPr>
      </w:pPr>
      <w:bookmarkStart w:id="10" w:name="_Toc224321318"/>
      <w:r>
        <w:t>3.1.2 边缘AI睡姿分类与受压风险监测</w:t>
      </w:r>
      <w:bookmarkEnd w:id="10"/>
    </w:p>
    <w:p w14:paraId="157B5844">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树莓派端部署的PostureCNN模型采用两层卷积加全连接的轻量架构，接收8×8压力矩阵作为单通道输入，输出6种睡姿的分类概率。模型在离线训练阶段使用大量标注数据，在线推理阶段仅需不到1毫秒即可完成一次分类。在此基础上，受压监测模块持续跟踪矩阵中各区域的高压持续时长，当某一区域连续承受高压超过30分钟、60分钟或120分钟时分别触发黄色、橙色和红色三级预警。翻身检测模块通过对比前后帧压力矩阵的差异幅度来判断患者是否发生了体位变化，自动记录翻身时间和频率。</w:t>
      </w:r>
    </w:p>
    <w:p w14:paraId="37F5D5BC">
      <w:pPr>
        <w:jc w:val="center"/>
        <w:rPr>
          <w:rFonts w:hint="eastAsia"/>
        </w:rPr>
      </w:pPr>
      <w:r>
        <w:drawing>
          <wp:inline distT="0" distB="0" distL="114300" distR="114300">
            <wp:extent cx="5219700" cy="1838960"/>
            <wp:effectExtent l="0" t="0" r="0" b="254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6"/>
                    <a:stretch>
                      <a:fillRect/>
                    </a:stretch>
                  </pic:blipFill>
                  <pic:spPr>
                    <a:xfrm>
                      <a:off x="0" y="0"/>
                      <a:ext cx="5220000" cy="1839448"/>
                    </a:xfrm>
                    <a:prstGeom prst="rect">
                      <a:avLst/>
                    </a:prstGeom>
                  </pic:spPr>
                </pic:pic>
              </a:graphicData>
            </a:graphic>
          </wp:inline>
        </w:drawing>
      </w:r>
    </w:p>
    <w:p w14:paraId="6D156D81">
      <w:pPr>
        <w:jc w:val="center"/>
        <w:rPr>
          <w:rFonts w:hint="eastAsia"/>
        </w:rPr>
      </w:pPr>
      <w:r>
        <w:rPr>
          <w:rFonts w:ascii="楷体" w:hAnsi="楷体" w:eastAsia="楷体" w:cs="Times New Roman"/>
          <w:b/>
          <w:sz w:val="22"/>
        </w:rPr>
        <w:t>图3.3 PostureCNN推理与受压风险三级预警机制示意图</w:t>
      </w:r>
    </w:p>
    <w:p w14:paraId="6A16D064">
      <w:pPr>
        <w:pStyle w:val="4"/>
        <w:autoSpaceDE w:val="0"/>
        <w:autoSpaceDN w:val="0"/>
        <w:rPr>
          <w:rFonts w:hint="eastAsia" w:ascii="黑体" w:hAnsi="黑体" w:eastAsia="黑体"/>
          <w:sz w:val="30"/>
          <w:szCs w:val="30"/>
        </w:rPr>
      </w:pPr>
      <w:bookmarkStart w:id="11" w:name="_Toc224321319"/>
      <w:r>
        <w:t>3.1.3 AI智能健康报告生成</w:t>
      </w:r>
      <w:bookmarkEnd w:id="11"/>
    </w:p>
    <w:p w14:paraId="08458724">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rPr>
        <w:t>当</w:t>
      </w:r>
      <w:r>
        <w:rPr>
          <w:rFonts w:ascii="Times New Roman" w:hAnsi="Times New Roman" w:eastAsia="宋体" w:cs="Times New Roman"/>
          <w:sz w:val="24"/>
          <w:szCs w:val="24"/>
        </w:rPr>
        <w:t>医生或管理员请求生成健康报告时，系统自动收集目标患者近24小时的体征数据和告警记录，将其结构化后作为上下文发送至Kimi K3大语言模型。AI模型综合分析体征趋势、异常事件和疾病背景，生成包含健康评估摘要、AI辅助诊断、康复建议三部分的完整报告。报告自动写入数据库并在前端展示，医生可按日期查看历史报告进行纵向对比。</w:t>
      </w:r>
    </w:p>
    <w:p w14:paraId="6E5E1863">
      <w:pPr>
        <w:jc w:val="center"/>
        <w:rPr>
          <w:rFonts w:hint="eastAsia"/>
        </w:rPr>
      </w:pPr>
      <w:commentRangeStart w:id="19"/>
      <w:r>
        <w:rPr>
          <w:rFonts w:ascii="Times New Roman" w:hAnsi="Times New Roman" w:eastAsia="宋体" w:cs="Times New Roman"/>
          <w:i/>
          <w:color w:val="808080"/>
          <w:sz w:val="24"/>
        </w:rPr>
        <w:t>(此处插入报告生成流程图)</w:t>
      </w:r>
    </w:p>
    <w:p w14:paraId="2ADA8387">
      <w:pPr>
        <w:jc w:val="center"/>
        <w:rPr>
          <w:rFonts w:hint="eastAsia"/>
        </w:rPr>
      </w:pPr>
      <w:r>
        <w:rPr>
          <w:rFonts w:ascii="楷体" w:hAnsi="楷体" w:eastAsia="楷体" w:cs="Times New Roman"/>
          <w:b/>
          <w:sz w:val="22"/>
        </w:rPr>
        <w:t>图3.4 AI智能健康报告生成流程图</w:t>
      </w:r>
      <w:commentRangeEnd w:id="19"/>
      <w:r>
        <w:commentReference w:id="19"/>
      </w:r>
    </w:p>
    <w:p w14:paraId="1BF4ABBC">
      <w:pPr>
        <w:pStyle w:val="4"/>
        <w:autoSpaceDE w:val="0"/>
        <w:autoSpaceDN w:val="0"/>
        <w:rPr>
          <w:rFonts w:hint="eastAsia" w:ascii="黑体" w:hAnsi="黑体" w:eastAsia="黑体"/>
          <w:sz w:val="30"/>
          <w:szCs w:val="30"/>
        </w:rPr>
      </w:pPr>
      <w:bookmarkStart w:id="12" w:name="_Toc224321320"/>
      <w:r>
        <w:t>3.1.4 语音AI陪护与家属关注分析</w:t>
      </w:r>
      <w:bookmarkEnd w:id="12"/>
    </w:p>
    <w:p w14:paraId="146D0F09">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语音AI陪护功能支持两种交互模式。设备端模式下，患者对USB麦克风说话，音频文件上传至云端，经TeleSpeechASR转录后由Kimi K3生成回复，再经CosyVoice2合成语音返回设备端播放。Web端模式下，家属或患者可直接在聊天界面输入文字与AI对话。所有对话记录持久化存储于数据库。家属关注分析功能则利用Kimi K3对患者近3天的对话内容进行深度分析，自动提取最关心的问题、当前情绪状态、身体不适诉求和心理需求，生成结构化的关注点报告供家属查阅。</w:t>
      </w:r>
    </w:p>
    <w:p w14:paraId="36E6878A">
      <w:pPr>
        <w:jc w:val="center"/>
        <w:rPr>
          <w:rFonts w:hint="eastAsia"/>
        </w:rPr>
      </w:pPr>
      <w:commentRangeStart w:id="20"/>
      <w:r>
        <w:rPr>
          <w:rFonts w:ascii="Times New Roman" w:hAnsi="Times New Roman" w:eastAsia="宋体" w:cs="Times New Roman"/>
          <w:i/>
          <w:color w:val="808080"/>
          <w:sz w:val="24"/>
        </w:rPr>
        <w:t>(此处插入语音分析数据流图)</w:t>
      </w:r>
    </w:p>
    <w:p w14:paraId="44EA869C">
      <w:pPr>
        <w:jc w:val="center"/>
        <w:rPr>
          <w:rFonts w:hint="eastAsia"/>
        </w:rPr>
      </w:pPr>
      <w:r>
        <w:rPr>
          <w:rFonts w:ascii="楷体" w:hAnsi="楷体" w:eastAsia="楷体" w:cs="Times New Roman"/>
          <w:b/>
          <w:sz w:val="22"/>
        </w:rPr>
        <w:t>图3.5 语音AI陪护与家属关注分析数据流</w:t>
      </w:r>
      <w:commentRangeEnd w:id="20"/>
      <w:r>
        <w:commentReference w:id="20"/>
      </w:r>
    </w:p>
    <w:p w14:paraId="2B62D54D">
      <w:pPr>
        <w:pStyle w:val="4"/>
        <w:autoSpaceDE w:val="0"/>
        <w:autoSpaceDN w:val="0"/>
        <w:rPr>
          <w:rFonts w:hint="eastAsia" w:ascii="Times New Roman" w:hAnsi="Times New Roman" w:eastAsia="黑体" w:cs="Times New Roman"/>
          <w:sz w:val="30"/>
          <w:szCs w:val="30"/>
        </w:rPr>
      </w:pPr>
      <w:bookmarkStart w:id="13" w:name="_Toc224321321"/>
      <w:r>
        <w:t>3.1.5 自然语言控制</w:t>
      </w:r>
      <w:bookmarkEnd w:id="13"/>
    </w:p>
    <w:p w14:paraId="099DB1B5">
      <w:pPr>
        <w:autoSpaceDE w:val="0"/>
        <w:autoSpaceDN w:val="0"/>
        <w:spacing w:line="300" w:lineRule="auto"/>
        <w:ind w:firstLine="480" w:firstLineChars="200"/>
        <w:jc w:val="both"/>
        <w:rPr>
          <w:rFonts w:hint="eastAsia" w:ascii="Times New Roman" w:hAnsi="Times New Roman" w:eastAsia="宋体" w:cs="Times New Roman"/>
          <w:sz w:val="24"/>
          <w:szCs w:val="24"/>
        </w:rPr>
      </w:pPr>
      <w:r>
        <w:rPr>
          <w:rFonts w:ascii="Times New Roman" w:hAnsi="Times New Roman" w:eastAsia="宋体" w:cs="Times New Roman"/>
          <w:sz w:val="24"/>
          <w:szCs w:val="24"/>
        </w:rPr>
        <w:t>本模块实现了基于自然语言的病床硬件语音控制功能，与语音AI陪聊模块形成互补。两者通过专属唤醒词（“病床控制”/“小护小护”）和退出词（“退出控制”/“结束聊天”）实现模式隔离，避免在陪聊过程中误触发硬件操作。</w:t>
      </w:r>
    </w:p>
    <w:p w14:paraId="01B73237">
      <w:pPr>
        <w:autoSpaceDE w:val="0"/>
        <w:autoSpaceDN w:val="0"/>
        <w:spacing w:line="300" w:lineRule="auto"/>
        <w:ind w:firstLine="480" w:firstLineChars="200"/>
        <w:jc w:val="both"/>
        <w:rPr>
          <w:rFonts w:hint="eastAsia" w:ascii="Times New Roman" w:hAnsi="Times New Roman" w:eastAsia="宋体" w:cs="Times New Roman"/>
          <w:sz w:val="24"/>
          <w:szCs w:val="24"/>
        </w:rPr>
      </w:pPr>
      <w:r>
        <w:rPr>
          <w:rFonts w:ascii="Times New Roman" w:hAnsi="Times New Roman" w:eastAsia="宋体" w:cs="Times New Roman"/>
          <w:sz w:val="24"/>
          <w:szCs w:val="24"/>
        </w:rPr>
        <w:t>NLC功能流程：（1）患者说出唤醒词“病床控制”进入NLC模式；（2）后续语音经ASR识别后发送至云端/api/voice/device/command接口；（3）Kimi K3通过专用NLC System Prompt解析用户意图，输出标准化JSON；（4）设备端收到action后，通过本地HTTP调用Flask Web遥控的/api/cmd端点执行硬件操作；（5）同时播放TTS语音确认。</w:t>
      </w:r>
    </w:p>
    <w:p w14:paraId="6C0E2A11">
      <w:pPr>
        <w:autoSpaceDE w:val="0"/>
        <w:autoSpaceDN w:val="0"/>
        <w:spacing w:line="300" w:lineRule="auto"/>
        <w:ind w:firstLine="480" w:firstLineChars="200"/>
        <w:jc w:val="both"/>
        <w:rPr>
          <w:rFonts w:hint="eastAsia" w:ascii="Times New Roman" w:hAnsi="Times New Roman" w:eastAsia="宋体" w:cs="Times New Roman"/>
          <w:sz w:val="24"/>
          <w:szCs w:val="24"/>
        </w:rPr>
      </w:pPr>
      <w:r>
        <w:rPr>
          <w:rFonts w:ascii="Times New Roman" w:hAnsi="Times New Roman" w:eastAsia="宋体"/>
          <w:sz w:val="24"/>
        </w:rPr>
        <w:t>系统支持11种NLC控制动作，涵盖三大类场景：靠背控制（升/降/停）、底盘运动控制（前进/后退/左转/右转/停止）、智能导航控制（循迹/星闪寻房/停止导航）。特别地，导航类指令支持参数提取，如“去302房”可自动提取房间号“302”并传递给星闪定位寻房导航模块。</w:t>
      </w:r>
    </w:p>
    <w:p w14:paraId="7670AFF5">
      <w:pPr>
        <w:jc w:val="center"/>
        <w:rPr>
          <w:rFonts w:hint="eastAsia"/>
        </w:rPr>
      </w:pPr>
      <w:commentRangeStart w:id="21"/>
      <w:r>
        <w:rPr>
          <w:rFonts w:ascii="Times New Roman" w:hAnsi="Times New Roman" w:eastAsia="宋体"/>
          <w:sz w:val="24"/>
        </w:rPr>
        <w:t>(此处插入NLC功能模块图)</w:t>
      </w:r>
    </w:p>
    <w:p w14:paraId="5C1B3C6B">
      <w:pPr>
        <w:jc w:val="center"/>
        <w:rPr>
          <w:rFonts w:hint="eastAsia"/>
          <w:b/>
          <w:bCs/>
          <w:sz w:val="21"/>
          <w:szCs w:val="21"/>
        </w:rPr>
      </w:pPr>
      <w:r>
        <w:rPr>
          <w:rFonts w:ascii="楷体" w:hAnsi="楷体" w:eastAsia="楷体"/>
          <w:b/>
          <w:bCs/>
          <w:sz w:val="22"/>
          <w:szCs w:val="21"/>
        </w:rPr>
        <w:t>图3.6 自然语言控制功能模块交互流程图</w:t>
      </w:r>
      <w:commentRangeEnd w:id="21"/>
      <w:r>
        <w:commentReference w:id="21"/>
      </w:r>
    </w:p>
    <w:p w14:paraId="6F68F228">
      <w:pPr>
        <w:pStyle w:val="4"/>
      </w:pPr>
      <w:r>
        <w:t>3.1.6 智能提醒：定时语音播报</w:t>
      </w:r>
    </w:p>
    <w:p w14:paraId="0BFF84A0">
      <w:pPr>
        <w:spacing w:line="300" w:lineRule="auto"/>
        <w:ind w:firstLine="480" w:firstLineChars="200"/>
      </w:pPr>
      <w:r>
        <w:rPr>
          <w:rFonts w:ascii="Times New Roman" w:hAnsi="Times New Roman" w:eastAsia="宋体"/>
          <w:sz w:val="24"/>
        </w:rPr>
        <w:t>系统为每位住院患者提供个性化的定时提醒功能，支持吃药提醒与喝水提醒两种类型。医生或管理员可在前端「智能提醒」页面为患者创建提醒计划，设置执行时间、药物名称、用药剂量及备注说明。每条提醒计划均在数据库中生成当日执行日志（reminder_logs），并由服务器定时调度器按分钟粒度进行监控。</w:t>
      </w:r>
    </w:p>
    <w:p w14:paraId="249FA8B4">
      <w:pPr>
        <w:spacing w:line="300" w:lineRule="auto"/>
        <w:ind w:firstLine="482" w:firstLineChars="200"/>
      </w:pPr>
      <w:r>
        <w:rPr>
          <w:rFonts w:ascii="Times New Roman" w:hAnsi="Times New Roman" w:eastAsia="宋体"/>
          <w:b/>
          <w:sz w:val="24"/>
        </w:rPr>
        <w:t>语音播报机制</w:t>
      </w:r>
    </w:p>
    <w:p w14:paraId="10E23C11">
      <w:pPr>
        <w:spacing w:line="300" w:lineRule="auto"/>
        <w:ind w:firstLine="480" w:firstLineChars="200"/>
      </w:pPr>
      <w:r>
        <w:rPr>
          <w:rFonts w:ascii="Times New Roman" w:hAnsi="Times New Roman" w:eastAsia="宋体"/>
          <w:sz w:val="24"/>
        </w:rPr>
        <w:t>服务器每分钟执行一次定时扫描：查询所有处于 pending 状态、预定时间在当前时刻 ±30 秒以内的全部日志条目。对每条到期日志执行以下步骤：</w:t>
      </w:r>
    </w:p>
    <w:p w14:paraId="09D1C65D">
      <w:pPr>
        <w:spacing w:line="300" w:lineRule="auto"/>
        <w:ind w:firstLine="480" w:firstLineChars="200"/>
      </w:pPr>
      <w:r>
        <w:rPr>
          <w:rFonts w:ascii="Times New Roman" w:hAnsi="Times New Roman" w:eastAsia="宋体"/>
          <w:sz w:val="24"/>
        </w:rPr>
        <w:t>① 立即将日志状态更新为 notified，防止下一分钟重复播报；② 调用 SiliconFlow CosyVoice2 TTS 接口，将提醒文本（格式：「患者姓名，现在是HH:mm，该吃药/喝水了。标题，剂量。备注」）合成为 MP3 音频，编码为 Base64；③ 通过 Server-Sent Events（SSE）长连接，将音频数据与文本实时推送至所有已订阅的护士站浏览器。</w:t>
      </w:r>
    </w:p>
    <w:p w14:paraId="20580E91">
      <w:pPr>
        <w:spacing w:line="300" w:lineRule="auto"/>
        <w:ind w:firstLine="482" w:firstLineChars="200"/>
      </w:pPr>
      <w:r>
        <w:rPr>
          <w:rFonts w:ascii="Times New Roman" w:hAnsi="Times New Roman" w:eastAsia="宋体"/>
          <w:b/>
          <w:sz w:val="24"/>
        </w:rPr>
        <w:t>前端实时接收与播放</w:t>
      </w:r>
    </w:p>
    <w:p w14:paraId="66B94305">
      <w:pPr>
        <w:spacing w:line="300" w:lineRule="auto"/>
        <w:ind w:firstLine="480" w:firstLineChars="200"/>
      </w:pPr>
      <w:r>
        <w:rPr>
          <w:rFonts w:ascii="Times New Roman" w:hAnsi="Times New Roman" w:eastAsia="宋体"/>
          <w:sz w:val="24"/>
        </w:rPr>
        <w:t>护士站浏览器打开「智能提醒」页面后，点击「开启语音播报」按钮即可订阅 /api/reminders/sse 端点（基于 EventSource API）。当服务器推送 reminder 事件时：若携带 audio_base64 则直接通过 &lt;audio&gt; 标签播放 MP3；若 TTS API 不可用，系统自动降级至浏览器内置 Web Speech API（speechSynthesis）进行本地朗读，保障零依赖情况下的可用性。页面同步刷新今日执行日志，更新提醒状态徽章为「已播报」。</w:t>
      </w:r>
    </w:p>
    <w:p w14:paraId="57CC136F">
      <w:pPr>
        <w:spacing w:line="300" w:lineRule="auto"/>
        <w:ind w:firstLine="482" w:firstLineChars="200"/>
      </w:pPr>
      <w:r>
        <w:rPr>
          <w:rFonts w:ascii="Times New Roman" w:hAnsi="Times New Roman" w:eastAsia="宋体"/>
          <w:b/>
          <w:sz w:val="24"/>
        </w:rPr>
        <w:t>提醒状态机</w:t>
      </w:r>
    </w:p>
    <w:p w14:paraId="135D76D2">
      <w:pPr>
        <w:spacing w:line="300" w:lineRule="auto"/>
        <w:ind w:firstLine="480" w:firstLineChars="200"/>
      </w:pPr>
      <w:r>
        <w:rPr>
          <w:rFonts w:ascii="Times New Roman" w:hAnsi="Times New Roman" w:eastAsia="宋体"/>
          <w:sz w:val="24"/>
        </w:rPr>
        <w:t>每条 reminder_log 记录经历以下状态转换：pending（创建）→ notified（服务器定时播报）→ completed（护士手动确认完成）；pending → missed（超过 10 分钟未处理，由定时器自动标记）；notified → skipped（护士手动跳过）。前端统计面板实时展示今日各状态计数：总数、待执行、已播报、已完成、已错过。</w:t>
      </w:r>
    </w:p>
    <w:p w14:paraId="743AE177">
      <w:pPr>
        <w:pStyle w:val="4"/>
        <w:autoSpaceDE w:val="0"/>
        <w:autoSpaceDN w:val="0"/>
        <w:rPr>
          <w:rFonts w:hint="eastAsia" w:ascii="黑体" w:hAnsi="黑体" w:eastAsia="黑体"/>
          <w:sz w:val="30"/>
          <w:szCs w:val="30"/>
        </w:rPr>
      </w:pPr>
      <w:bookmarkStart w:id="14" w:name="_Toc224321322"/>
      <w:r>
        <w:t>3.1.7 病床自主导航系统</w:t>
      </w:r>
      <w:bookmarkEnd w:id="14"/>
    </w:p>
    <w:p w14:paraId="11E8876C">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sz w:val="24"/>
        </w:rPr>
        <w:t>导航系统实现了三种运行模式：自主导航模式下，病床沿地面黑线循迹行驶，结合NearLink星闪锚点三边测距实时解算自身位置，到达目标病房坐标后精准停靠；遥控模式下，护理人员通过手机访问Flask Web遥控界面（5000端口），使用方向键远程操控病床移动和病床靠背升降；混合模式下，病床在自主导航过程中遇到障碍物时自动停车等待，护理人员可随时通过遥控接管。3路超声波传感器实时扫描前方和两侧环境，在30cm距离处触发减速，15cm距离处触发紧急停车，确保导航安全性。</w:t>
      </w:r>
    </w:p>
    <w:p w14:paraId="209FF102">
      <w:pPr>
        <w:jc w:val="center"/>
        <w:rPr>
          <w:rFonts w:hint="eastAsia"/>
        </w:rPr>
      </w:pPr>
      <w:commentRangeStart w:id="22"/>
      <w:r>
        <w:rPr>
          <w:rFonts w:ascii="Times New Roman" w:hAnsi="Times New Roman" w:eastAsia="宋体" w:cs="Times New Roman"/>
          <w:i/>
          <w:color w:val="808080"/>
          <w:sz w:val="24"/>
        </w:rPr>
        <w:t>(此处插入导航状态机图)</w:t>
      </w:r>
    </w:p>
    <w:p w14:paraId="32EDAB1A">
      <w:pPr>
        <w:jc w:val="center"/>
        <w:rPr>
          <w:rFonts w:hint="eastAsia"/>
        </w:rPr>
      </w:pPr>
      <w:r>
        <w:rPr>
          <w:rFonts w:ascii="楷体" w:hAnsi="楷体" w:eastAsia="楷体" w:cs="Times New Roman"/>
          <w:b/>
          <w:sz w:val="22"/>
        </w:rPr>
        <w:t>图3.</w:t>
      </w:r>
      <w:r>
        <w:rPr>
          <w:rFonts w:hint="eastAsia" w:ascii="楷体" w:hAnsi="楷体" w:eastAsia="楷体" w:cs="Times New Roman"/>
          <w:b/>
          <w:sz w:val="22"/>
        </w:rPr>
        <w:t>7</w:t>
      </w:r>
      <w:r>
        <w:rPr>
          <w:rFonts w:ascii="楷体" w:hAnsi="楷体" w:eastAsia="楷体" w:cs="Times New Roman"/>
          <w:b/>
          <w:sz w:val="22"/>
        </w:rPr>
        <w:t xml:space="preserve"> 病床自主导航系统三种运行模式状态机</w:t>
      </w:r>
      <w:commentRangeEnd w:id="22"/>
      <w:r>
        <w:commentReference w:id="22"/>
      </w:r>
    </w:p>
    <w:p w14:paraId="20D1EEC7">
      <w:pPr>
        <w:pStyle w:val="4"/>
      </w:pPr>
      <w:r>
        <w:t>3.1.8 气囊分区自动减压系统</w:t>
      </w:r>
    </w:p>
    <w:p w14:paraId="50DAADCF">
      <w:pPr>
        <w:spacing w:line="300" w:lineRule="auto"/>
        <w:ind w:firstLine="480" w:firstLineChars="200"/>
      </w:pPr>
      <w:r>
        <w:rPr>
          <w:rFonts w:ascii="Times New Roman" w:hAnsi="Times New Roman" w:eastAsia="宋体"/>
          <w:sz w:val="24"/>
        </w:rPr>
        <w:t>针对长期卧床患者的压疮风险，系统设计了气囊分区自动减压模块，与Velostat压力矩阵构成“感知—决策—执行”闭环。压力矩阵持续监测卧床压力分布，当边缘决策模块检测到某一区域持续受压超过阈值时，通过MQTT下发减压指令，由树莓派GPIO控制继电器驱动5V气泵对床垫气囊充气，并经左、右两路电磁阀实现分区独立放气，周期性改变身体支撑点分布，在无人工干预下实现自动减压防压疮。系统内置多重安全限制：单次充气不超过10秒、减压循环最小间隔5分钟、异常状态自动排气断泵，保障医疗场景下的使用安全。</w:t>
      </w:r>
    </w:p>
    <w:p w14:paraId="62C9C1F6">
      <w:pPr>
        <w:pStyle w:val="2"/>
        <w:autoSpaceDE w:val="0"/>
        <w:autoSpaceDN w:val="0"/>
        <w:rPr>
          <w:rFonts w:hint="eastAsia" w:ascii="黑体" w:hAnsi="黑体" w:eastAsia="黑体"/>
        </w:rPr>
      </w:pPr>
      <w:bookmarkStart w:id="15" w:name="_Toc224321323"/>
      <w:r>
        <w:t>4 系统实现</w:t>
      </w:r>
      <w:bookmarkEnd w:id="15"/>
    </w:p>
    <w:p w14:paraId="7122D913">
      <w:pPr>
        <w:pStyle w:val="3"/>
        <w:autoSpaceDE w:val="0"/>
        <w:autoSpaceDN w:val="0"/>
        <w:rPr>
          <w:rFonts w:hint="eastAsia" w:ascii="黑体" w:hAnsi="黑体" w:eastAsia="黑体"/>
        </w:rPr>
      </w:pPr>
      <w:bookmarkStart w:id="16" w:name="_Toc224321324"/>
      <w:r>
        <w:t>4.1 总体情况</w:t>
      </w:r>
      <w:bookmarkEnd w:id="16"/>
    </w:p>
    <w:p w14:paraId="60EE9E85">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开发一套基于物联网与AI大模型的慢性病患者智能护理系统，构建集多传感器融合采集、边缘AI推理、云端大模型分析、自主导航和语音陪护于一体的智能护理病床云平台。</w:t>
      </w:r>
    </w:p>
    <w:p w14:paraId="3D442E75">
      <w:pPr>
        <w:pStyle w:val="4"/>
        <w:autoSpaceDE w:val="0"/>
        <w:autoSpaceDN w:val="0"/>
        <w:rPr>
          <w:rFonts w:hint="eastAsia" w:ascii="黑体" w:hAnsi="黑体" w:eastAsia="黑体"/>
          <w:sz w:val="28"/>
          <w:szCs w:val="28"/>
        </w:rPr>
      </w:pPr>
      <w:bookmarkStart w:id="17" w:name="_Toc224321325"/>
      <w:r>
        <w:t>4.1.1 感知层技术</w:t>
      </w:r>
      <w:bookmarkEnd w:id="17"/>
    </w:p>
    <w:p w14:paraId="7BB705AF">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ESP32-S3-N16R8微控制器[28]（16MB Flash, 8MB PSRAM）作为采集核心，通过I2C总线连接MAX30102心率血氧传感器[20]（地址0x57）、MLX90614红外测温传感器[21]（地址0x5A）和MPU6050六轴姿态传感器[22]（地址0x68），实现三设备共线采集。8×8 Velostat压力矩阵[23]通过两片CD74HC4051模拟多路复用器进行行列扫描，每帧扫描64个压力点。HK-2000B+脉搏传感器采集脉搏波形并估算血压。CSI V2摄像头提供MJPEG视频推流。所有传感器数据以10秒为周期通过WiFi和MQTT协议统一上报。</w:t>
      </w:r>
    </w:p>
    <w:p w14:paraId="3761F9D8">
      <w:pPr>
        <w:pStyle w:val="4"/>
        <w:autoSpaceDE w:val="0"/>
        <w:autoSpaceDN w:val="0"/>
        <w:rPr>
          <w:rFonts w:hint="eastAsia" w:ascii="黑体" w:hAnsi="黑体" w:eastAsia="黑体"/>
          <w:sz w:val="28"/>
          <w:szCs w:val="28"/>
        </w:rPr>
      </w:pPr>
      <w:bookmarkStart w:id="18" w:name="_Toc224321326"/>
      <w:r>
        <w:t>4.1.2 传输层技术</w:t>
      </w:r>
      <w:bookmarkEnd w:id="18"/>
    </w:p>
    <w:p w14:paraId="44BAA344">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MQTT协议：ESP32-S3作为MQTT客户端，向树莓派上部署的Mosquitto MQTT Broker发布体征数据，共定义6个Topic分别承载不同类型的传感器数据。MQTT的轻量级发布/订阅模式非常适合物联网场景下的低带宽、低延迟数据传输。</w:t>
      </w:r>
    </w:p>
    <w:p w14:paraId="471652B3">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HTTP协议：树莓派上的MQTT Bridge模块（基于Python paho-mqtt + requests库）订阅本地MQTT消息，解析后通过HTTP POST请求转发至云端Express API，实现边缘到云端的数据桥接。</w:t>
      </w:r>
    </w:p>
    <w:p w14:paraId="3E6F858D">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MJPEG推流：摄像头视频数据通过HTTP MJPEG协议直接推流至局域网，供Web端和移动端实时查看患者状态。</w:t>
      </w:r>
    </w:p>
    <w:p w14:paraId="57635AF9">
      <w:pPr>
        <w:jc w:val="center"/>
        <w:rPr>
          <w:rFonts w:hint="eastAsia"/>
        </w:rPr>
      </w:pPr>
      <w:commentRangeStart w:id="23"/>
      <w:r>
        <w:rPr>
          <w:rFonts w:ascii="Times New Roman" w:hAnsi="Times New Roman" w:eastAsia="宋体" w:cs="Times New Roman"/>
          <w:i/>
          <w:color w:val="808080"/>
          <w:sz w:val="24"/>
        </w:rPr>
        <w:t>(此处插入协议拓扑图)</w:t>
      </w:r>
    </w:p>
    <w:p w14:paraId="19A5D9C0">
      <w:pPr>
        <w:jc w:val="center"/>
        <w:rPr>
          <w:rFonts w:hint="eastAsia"/>
        </w:rPr>
      </w:pPr>
      <w:r>
        <w:rPr>
          <w:rFonts w:ascii="楷体" w:hAnsi="楷体" w:eastAsia="楷体" w:cs="Times New Roman"/>
          <w:b/>
          <w:sz w:val="22"/>
        </w:rPr>
        <w:t>图4.1 系统数据传输协议栈与网络拓扑图</w:t>
      </w:r>
      <w:commentRangeEnd w:id="23"/>
      <w:r>
        <w:commentReference w:id="23"/>
      </w:r>
    </w:p>
    <w:p w14:paraId="0A9F65AF">
      <w:pPr>
        <w:pStyle w:val="4"/>
        <w:autoSpaceDE w:val="0"/>
        <w:autoSpaceDN w:val="0"/>
        <w:rPr>
          <w:rFonts w:hint="eastAsia" w:ascii="黑体" w:hAnsi="黑体" w:eastAsia="黑体"/>
          <w:sz w:val="28"/>
          <w:szCs w:val="28"/>
        </w:rPr>
      </w:pPr>
      <w:bookmarkStart w:id="19" w:name="_Toc224321327"/>
      <w:r>
        <w:t>4.1.3 控制层技术</w:t>
      </w:r>
      <w:bookmarkEnd w:id="19"/>
    </w:p>
    <w:p w14:paraId="200C9044">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边缘AI推理：树莓派4B[27]（8GB版本）运行PyTorch框架[14]，加载PostureCNN模型进行实时睡姿分类。同时运行基于规则的受压监测引擎和帧间差异翻身检测算法。</w:t>
      </w:r>
    </w:p>
    <w:p w14:paraId="1D074231">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sz w:val="24"/>
        </w:rPr>
        <w:t>自主导航引擎：导航主程序统一调度循迹模块（3路TCRT5000数字量输入）、NearLink星闪定位模块（Hi3863V100锚点测距经MQTT上报，卡尔曼滤波解算坐标）、超声波避障模块（3路HC-SR04 GPIO触发/回响）和电机驱动模块（L298N PWM控制），实现循迹导航、星闪定位、障碍避让的协同控制。</w:t>
      </w:r>
    </w:p>
    <w:p w14:paraId="3A832233">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电动推杆：12V 150mm行程电动推杆通过L298N驱动实现病床靠背的升降控制，支持Web遥控界面的远程操作。</w:t>
      </w:r>
    </w:p>
    <w:p w14:paraId="53C3D48B">
      <w:pPr>
        <w:jc w:val="center"/>
        <w:rPr>
          <w:rFonts w:hint="eastAsia"/>
        </w:rPr>
      </w:pPr>
      <w:commentRangeStart w:id="24"/>
      <w:r>
        <w:rPr>
          <w:rFonts w:ascii="Times New Roman" w:hAnsi="Times New Roman" w:eastAsia="宋体" w:cs="Times New Roman"/>
          <w:i/>
          <w:color w:val="808080"/>
          <w:sz w:val="24"/>
        </w:rPr>
        <w:t>(此处插入硬件模块交互图)</w:t>
      </w:r>
    </w:p>
    <w:p w14:paraId="1ABDC66B">
      <w:pPr>
        <w:jc w:val="center"/>
        <w:rPr>
          <w:rFonts w:hint="eastAsia"/>
        </w:rPr>
      </w:pPr>
      <w:r>
        <w:rPr>
          <w:rFonts w:ascii="楷体" w:hAnsi="楷体" w:eastAsia="楷体" w:cs="Times New Roman"/>
          <w:b/>
          <w:sz w:val="22"/>
        </w:rPr>
        <w:t>图4.2 导航与控制系统硬件模块交互关系图</w:t>
      </w:r>
      <w:commentRangeEnd w:id="24"/>
      <w:r>
        <w:commentReference w:id="24"/>
      </w:r>
    </w:p>
    <w:p w14:paraId="7D71BC40">
      <w:pPr>
        <w:pStyle w:val="4"/>
        <w:autoSpaceDE w:val="0"/>
        <w:autoSpaceDN w:val="0"/>
        <w:rPr>
          <w:rFonts w:hint="eastAsia" w:ascii="黑体" w:hAnsi="黑体" w:eastAsia="黑体"/>
          <w:sz w:val="28"/>
          <w:szCs w:val="28"/>
        </w:rPr>
      </w:pPr>
      <w:bookmarkStart w:id="20" w:name="_Toc224321328"/>
      <w:r>
        <w:t>4.1.4 软件开发</w:t>
      </w:r>
      <w:bookmarkEnd w:id="20"/>
    </w:p>
    <w:p w14:paraId="0F4FEB19">
      <w:pPr>
        <w:autoSpaceDE w:val="0"/>
        <w:autoSpaceDN w:val="0"/>
        <w:rPr>
          <w:rFonts w:hint="eastAsia"/>
        </w:rPr>
      </w:pPr>
    </w:p>
    <w:p w14:paraId="07FADDB3">
      <w:pPr>
        <w:autoSpaceDE w:val="0"/>
        <w:autoSpaceDN w:val="0"/>
        <w:spacing w:line="300" w:lineRule="auto"/>
        <w:ind w:firstLine="562" w:firstLineChars="200"/>
        <w:jc w:val="both"/>
        <w:rPr>
          <w:rFonts w:hint="eastAsia" w:ascii="黑体" w:hAnsi="黑体" w:eastAsia="黑体"/>
          <w:sz w:val="28"/>
          <w:szCs w:val="28"/>
        </w:rPr>
      </w:pPr>
      <w:r>
        <w:rPr>
          <w:rFonts w:ascii="Times New Roman" w:hAnsi="Times New Roman" w:eastAsia="宋体" w:cs="Times New Roman"/>
          <w:b/>
          <w:bCs/>
          <w:sz w:val="28"/>
          <w:szCs w:val="28"/>
        </w:rPr>
        <w:t>云端技术栈：</w:t>
      </w:r>
    </w:p>
    <w:tbl>
      <w:tblPr>
        <w:tblStyle w:val="16"/>
        <w:tblW w:w="90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00"/>
        <w:gridCol w:w="3200"/>
        <w:gridCol w:w="4000"/>
      </w:tblGrid>
      <w:tr w14:paraId="219237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3E17D7AC">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组件</w:t>
            </w:r>
          </w:p>
        </w:tc>
        <w:tc>
          <w:tcPr>
            <w:tcW w:w="32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33B9AB71">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技术</w:t>
            </w:r>
          </w:p>
        </w:tc>
        <w:tc>
          <w:tcPr>
            <w:tcW w:w="40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74F2CC3D">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说明</w:t>
            </w:r>
          </w:p>
        </w:tc>
      </w:tr>
      <w:tr w14:paraId="2D65FE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15D515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后端框架</w:t>
            </w:r>
          </w:p>
        </w:tc>
        <w:tc>
          <w:tcPr>
            <w:tcW w:w="3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7405281A">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Express 4.18</w:t>
            </w:r>
          </w:p>
        </w:tc>
        <w:tc>
          <w:tcPr>
            <w:tcW w:w="4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4E05693">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RESTful API，8个路由模块</w:t>
            </w:r>
          </w:p>
        </w:tc>
      </w:tr>
      <w:tr w14:paraId="46D54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3CDE57D7">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数据库</w:t>
            </w:r>
          </w:p>
        </w:tc>
        <w:tc>
          <w:tcPr>
            <w:tcW w:w="3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38DCAE7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SQLite3 (better-sqlite3)</w:t>
            </w:r>
          </w:p>
        </w:tc>
        <w:tc>
          <w:tcPr>
            <w:tcW w:w="4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51D0F01">
            <w:pPr>
              <w:autoSpaceDE w:val="0"/>
              <w:autoSpaceDN w:val="0"/>
              <w:jc w:val="center"/>
              <w:rPr>
                <w:rFonts w:hint="eastAsia" w:ascii="宋体" w:hAnsi="宋体" w:eastAsia="宋体"/>
                <w:sz w:val="24"/>
                <w:szCs w:val="24"/>
              </w:rPr>
            </w:pPr>
            <w:r>
              <w:rPr>
                <w:rFonts w:ascii="Times New Roman" w:hAnsi="Times New Roman" w:eastAsia="宋体"/>
                <w:sz w:val="24"/>
              </w:rPr>
              <w:t>WAL模式，12张数据表+9个索引</w:t>
            </w:r>
          </w:p>
        </w:tc>
      </w:tr>
      <w:tr w14:paraId="55406E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7F05F061">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认证</w:t>
            </w:r>
          </w:p>
        </w:tc>
        <w:tc>
          <w:tcPr>
            <w:tcW w:w="3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21E3B1A6">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JWT + bcryptjs</w:t>
            </w:r>
          </w:p>
        </w:tc>
        <w:tc>
          <w:tcPr>
            <w:tcW w:w="4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723034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4种角色（admin/doctor/patient/family）</w:t>
            </w:r>
          </w:p>
        </w:tc>
      </w:tr>
      <w:tr w14:paraId="2D692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23E8F79D">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AI大模型</w:t>
            </w:r>
          </w:p>
        </w:tc>
        <w:tc>
          <w:tcPr>
            <w:tcW w:w="3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3B6FFCC8">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Moonshot Kimi K3</w:t>
            </w:r>
          </w:p>
        </w:tc>
        <w:tc>
          <w:tcPr>
            <w:tcW w:w="4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24147B7">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健康报告、护理咨询、压力分析</w:t>
            </w:r>
          </w:p>
        </w:tc>
      </w:tr>
      <w:tr w14:paraId="05284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60EC2D4">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语音ASR</w:t>
            </w:r>
          </w:p>
        </w:tc>
        <w:tc>
          <w:tcPr>
            <w:tcW w:w="3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F550E7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SiliconFlow TeleSpeechASR</w:t>
            </w:r>
          </w:p>
        </w:tc>
        <w:tc>
          <w:tcPr>
            <w:tcW w:w="4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2D17CD35">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音频→文字转录</w:t>
            </w:r>
          </w:p>
        </w:tc>
      </w:tr>
      <w:tr w14:paraId="4F7AC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7456239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语音TTS</w:t>
            </w:r>
          </w:p>
        </w:tc>
        <w:tc>
          <w:tcPr>
            <w:tcW w:w="3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279F3018">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SiliconFlow CosyVoice2</w:t>
            </w:r>
          </w:p>
        </w:tc>
        <w:tc>
          <w:tcPr>
            <w:tcW w:w="4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2104C80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文字→语音合成（MP3）</w:t>
            </w:r>
          </w:p>
        </w:tc>
      </w:tr>
      <w:tr w14:paraId="340C32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44094DC">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前端</w:t>
            </w:r>
          </w:p>
        </w:tc>
        <w:tc>
          <w:tcPr>
            <w:tcW w:w="3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2C9B789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原生HTML/CSS/JS + Chart.js</w:t>
            </w:r>
          </w:p>
        </w:tc>
        <w:tc>
          <w:tcPr>
            <w:tcW w:w="4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36EFDD1">
            <w:pPr>
              <w:autoSpaceDE w:val="0"/>
              <w:autoSpaceDN w:val="0"/>
              <w:jc w:val="center"/>
              <w:rPr>
                <w:rFonts w:hint="eastAsia" w:ascii="宋体" w:hAnsi="宋体" w:eastAsia="宋体"/>
                <w:sz w:val="24"/>
                <w:szCs w:val="24"/>
              </w:rPr>
            </w:pPr>
            <w:r>
              <w:rPr>
                <w:rFonts w:ascii="Times New Roman" w:hAnsi="Times New Roman" w:eastAsia="宋体"/>
                <w:sz w:val="24"/>
              </w:rPr>
              <w:t>11个页面，Canvas热力图</w:t>
            </w:r>
          </w:p>
        </w:tc>
      </w:tr>
      <w:tr w14:paraId="1C7A1C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2FAA188">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进程管理</w:t>
            </w:r>
          </w:p>
        </w:tc>
        <w:tc>
          <w:tcPr>
            <w:tcW w:w="3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7413C55B">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PM2</w:t>
            </w:r>
          </w:p>
        </w:tc>
        <w:tc>
          <w:tcPr>
            <w:tcW w:w="4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358723ED">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自动重启、日志管理</w:t>
            </w:r>
          </w:p>
        </w:tc>
      </w:tr>
      <w:tr w14:paraId="1DFE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139BC03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反向代理</w:t>
            </w:r>
          </w:p>
        </w:tc>
        <w:tc>
          <w:tcPr>
            <w:tcW w:w="3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5928B698">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Nginx</w:t>
            </w:r>
          </w:p>
        </w:tc>
        <w:tc>
          <w:tcPr>
            <w:tcW w:w="4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9F1D82A">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SSL终结、静态文件加速</w:t>
            </w:r>
          </w:p>
        </w:tc>
      </w:tr>
    </w:tbl>
    <w:p w14:paraId="44073406">
      <w:pPr>
        <w:autoSpaceDE w:val="0"/>
        <w:autoSpaceDN w:val="0"/>
        <w:rPr>
          <w:rFonts w:hint="eastAsia"/>
        </w:rPr>
      </w:pPr>
    </w:p>
    <w:p w14:paraId="6363A2D1">
      <w:pPr>
        <w:autoSpaceDE w:val="0"/>
        <w:autoSpaceDN w:val="0"/>
        <w:spacing w:line="300" w:lineRule="auto"/>
        <w:ind w:firstLine="562" w:firstLineChars="200"/>
        <w:jc w:val="both"/>
        <w:rPr>
          <w:rFonts w:hint="eastAsia" w:ascii="黑体" w:hAnsi="黑体" w:eastAsia="黑体"/>
          <w:sz w:val="28"/>
          <w:szCs w:val="28"/>
        </w:rPr>
      </w:pPr>
      <w:r>
        <w:rPr>
          <w:rFonts w:ascii="Times New Roman" w:hAnsi="Times New Roman" w:eastAsia="宋体" w:cs="Times New Roman"/>
          <w:b/>
          <w:bCs/>
          <w:sz w:val="28"/>
          <w:szCs w:val="28"/>
        </w:rPr>
        <w:t>边缘层技术栈：</w:t>
      </w:r>
    </w:p>
    <w:tbl>
      <w:tblPr>
        <w:tblStyle w:val="16"/>
        <w:tblW w:w="90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00"/>
        <w:gridCol w:w="3200"/>
        <w:gridCol w:w="4000"/>
      </w:tblGrid>
      <w:tr w14:paraId="6CBDC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006A2790">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组件</w:t>
            </w:r>
          </w:p>
        </w:tc>
        <w:tc>
          <w:tcPr>
            <w:tcW w:w="32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037C678E">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技术</w:t>
            </w:r>
          </w:p>
        </w:tc>
        <w:tc>
          <w:tcPr>
            <w:tcW w:w="40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569D5474">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说明</w:t>
            </w:r>
          </w:p>
        </w:tc>
      </w:tr>
      <w:tr w14:paraId="6F16B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48C9594F">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MQTT Broker</w:t>
            </w:r>
          </w:p>
        </w:tc>
        <w:tc>
          <w:tcPr>
            <w:tcW w:w="3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F7417D1">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Mosquitto</w:t>
            </w:r>
          </w:p>
        </w:tc>
        <w:tc>
          <w:tcPr>
            <w:tcW w:w="4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53C2B14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本地消息代理，6个Topic</w:t>
            </w:r>
          </w:p>
        </w:tc>
      </w:tr>
      <w:tr w14:paraId="64EF5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5455883">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MQTT Bridge</w:t>
            </w:r>
          </w:p>
        </w:tc>
        <w:tc>
          <w:tcPr>
            <w:tcW w:w="3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60617454">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Python paho-mqtt + requests</w:t>
            </w:r>
          </w:p>
        </w:tc>
        <w:tc>
          <w:tcPr>
            <w:tcW w:w="4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15B89315">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消息解析→HTTP转发</w:t>
            </w:r>
          </w:p>
        </w:tc>
      </w:tr>
      <w:tr w14:paraId="283FA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4D802F2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边缘AI</w:t>
            </w:r>
          </w:p>
        </w:tc>
        <w:tc>
          <w:tcPr>
            <w:tcW w:w="3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499EE5E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PyTorch PostureCNN</w:t>
            </w:r>
          </w:p>
        </w:tc>
        <w:tc>
          <w:tcPr>
            <w:tcW w:w="4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FE7BCB7">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15K参数，&lt;1ms推理</w:t>
            </w:r>
          </w:p>
        </w:tc>
      </w:tr>
      <w:tr w14:paraId="6A3189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2E49B295">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受压监测</w:t>
            </w:r>
          </w:p>
        </w:tc>
        <w:tc>
          <w:tcPr>
            <w:tcW w:w="3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C54D20C">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规则引擎</w:t>
            </w:r>
          </w:p>
        </w:tc>
        <w:tc>
          <w:tcPr>
            <w:tcW w:w="4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3D0B00FC">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30/60/120分钟三级预警</w:t>
            </w:r>
          </w:p>
        </w:tc>
      </w:tr>
      <w:tr w14:paraId="78065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96A736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翻身检测</w:t>
            </w:r>
          </w:p>
        </w:tc>
        <w:tc>
          <w:tcPr>
            <w:tcW w:w="3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53DAF204">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帧间差异算法</w:t>
            </w:r>
          </w:p>
        </w:tc>
        <w:tc>
          <w:tcPr>
            <w:tcW w:w="4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11835FF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自动记录翻身频率</w:t>
            </w:r>
          </w:p>
        </w:tc>
      </w:tr>
      <w:tr w14:paraId="1D1E3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25B50FD4">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自主导航</w:t>
            </w:r>
          </w:p>
        </w:tc>
        <w:tc>
          <w:tcPr>
            <w:tcW w:w="3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2E2CED71">
            <w:pPr>
              <w:autoSpaceDE w:val="0"/>
              <w:autoSpaceDN w:val="0"/>
              <w:jc w:val="center"/>
              <w:rPr>
                <w:rFonts w:hint="eastAsia" w:ascii="宋体" w:hAnsi="宋体" w:eastAsia="宋体"/>
                <w:sz w:val="24"/>
                <w:szCs w:val="24"/>
              </w:rPr>
            </w:pPr>
            <w:r>
              <w:rPr>
                <w:rFonts w:ascii="Times New Roman" w:hAnsi="Times New Roman" w:eastAsia="宋体"/>
                <w:sz w:val="24"/>
              </w:rPr>
              <w:t>3路TCRT5000循迹</w:t>
            </w:r>
          </w:p>
        </w:tc>
        <w:tc>
          <w:tcPr>
            <w:tcW w:w="4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C9DCF16">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PID速度调节</w:t>
            </w:r>
          </w:p>
        </w:tc>
      </w:tr>
      <w:tr w14:paraId="6E1DEB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2BA26A56">
            <w:pPr>
              <w:autoSpaceDE w:val="0"/>
              <w:autoSpaceDN w:val="0"/>
              <w:jc w:val="center"/>
              <w:rPr>
                <w:rFonts w:hint="eastAsia" w:ascii="宋体" w:hAnsi="宋体" w:eastAsia="宋体"/>
                <w:sz w:val="24"/>
                <w:szCs w:val="24"/>
              </w:rPr>
            </w:pPr>
            <w:r>
              <w:rPr>
                <w:rFonts w:ascii="Times New Roman" w:hAnsi="Times New Roman" w:eastAsia="宋体"/>
                <w:sz w:val="24"/>
              </w:rPr>
              <w:t>星闪定位</w:t>
            </w:r>
          </w:p>
        </w:tc>
        <w:tc>
          <w:tcPr>
            <w:tcW w:w="3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10D62229">
            <w:pPr>
              <w:autoSpaceDE w:val="0"/>
              <w:autoSpaceDN w:val="0"/>
              <w:jc w:val="center"/>
              <w:rPr>
                <w:rFonts w:hint="eastAsia" w:ascii="宋体" w:hAnsi="宋体" w:eastAsia="宋体"/>
                <w:sz w:val="24"/>
                <w:szCs w:val="24"/>
              </w:rPr>
            </w:pPr>
            <w:r>
              <w:rPr>
                <w:rFonts w:ascii="Times New Roman" w:hAnsi="Times New Roman" w:eastAsia="宋体"/>
                <w:sz w:val="24"/>
              </w:rPr>
              <w:t>NearLink Hi3863锚点×3+标签</w:t>
            </w:r>
          </w:p>
        </w:tc>
        <w:tc>
          <w:tcPr>
            <w:tcW w:w="4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1E94C3A">
            <w:pPr>
              <w:autoSpaceDE w:val="0"/>
              <w:autoSpaceDN w:val="0"/>
              <w:jc w:val="center"/>
              <w:rPr>
                <w:rFonts w:hint="eastAsia" w:ascii="宋体" w:hAnsi="宋体" w:eastAsia="宋体"/>
                <w:sz w:val="24"/>
                <w:szCs w:val="24"/>
              </w:rPr>
            </w:pPr>
            <w:r>
              <w:rPr>
                <w:rFonts w:ascii="Times New Roman" w:hAnsi="Times New Roman" w:eastAsia="宋体"/>
                <w:sz w:val="24"/>
              </w:rPr>
              <w:t>三边测距定位与病房识别</w:t>
            </w:r>
          </w:p>
        </w:tc>
      </w:tr>
      <w:tr w14:paraId="7D56E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CE2F0C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避障</w:t>
            </w:r>
          </w:p>
        </w:tc>
        <w:tc>
          <w:tcPr>
            <w:tcW w:w="3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793A9C7C">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3×HC-SR04超声波</w:t>
            </w:r>
          </w:p>
        </w:tc>
        <w:tc>
          <w:tcPr>
            <w:tcW w:w="4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8923DBA">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15cm停车/30cm减速</w:t>
            </w:r>
          </w:p>
        </w:tc>
      </w:tr>
      <w:tr w14:paraId="6FF3E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AA89744">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LCD显示</w:t>
            </w:r>
          </w:p>
        </w:tc>
        <w:tc>
          <w:tcPr>
            <w:tcW w:w="3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0BFC87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3.5寸SPI TFT</w:t>
            </w:r>
          </w:p>
        </w:tc>
        <w:tc>
          <w:tcPr>
            <w:tcW w:w="4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587A8958">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实时体征+导航状态</w:t>
            </w:r>
          </w:p>
        </w:tc>
      </w:tr>
      <w:tr w14:paraId="09BA5F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7B28CC1A">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语音交互</w:t>
            </w:r>
          </w:p>
        </w:tc>
        <w:tc>
          <w:tcPr>
            <w:tcW w:w="3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672B034B">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USB麦克风+PAM8403功放</w:t>
            </w:r>
          </w:p>
        </w:tc>
        <w:tc>
          <w:tcPr>
            <w:tcW w:w="4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782A4C34">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录音→ASR→AI→TTS→播放</w:t>
            </w:r>
          </w:p>
        </w:tc>
      </w:tr>
      <w:tr w14:paraId="2FC9D7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4DF54231">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Web遥控</w:t>
            </w:r>
          </w:p>
        </w:tc>
        <w:tc>
          <w:tcPr>
            <w:tcW w:w="3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54F9438A">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Flask 5000端口</w:t>
            </w:r>
          </w:p>
        </w:tc>
        <w:tc>
          <w:tcPr>
            <w:tcW w:w="4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79A0FAF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手机端方向键/导航/升降</w:t>
            </w:r>
          </w:p>
        </w:tc>
      </w:tr>
    </w:tbl>
    <w:p w14:paraId="6D67267C">
      <w:pPr>
        <w:autoSpaceDE w:val="0"/>
        <w:autoSpaceDN w:val="0"/>
        <w:rPr>
          <w:rFonts w:hint="eastAsia"/>
        </w:rPr>
      </w:pPr>
    </w:p>
    <w:p w14:paraId="056F277D">
      <w:pPr>
        <w:autoSpaceDE w:val="0"/>
        <w:autoSpaceDN w:val="0"/>
        <w:spacing w:line="300" w:lineRule="auto"/>
        <w:ind w:firstLine="480" w:firstLineChars="200"/>
        <w:jc w:val="both"/>
        <w:rPr>
          <w:rFonts w:hint="eastAsia" w:ascii="黑体" w:hAnsi="黑体" w:eastAsia="黑体"/>
          <w:sz w:val="28"/>
          <w:szCs w:val="28"/>
        </w:rPr>
      </w:pPr>
      <w:r>
        <w:t>鸿蒙App端技术栈：</w:t>
      </w:r>
    </w:p>
    <w:p w14:paraId="4C461E4E">
      <w:pPr>
        <w:autoSpaceDE w:val="0"/>
        <w:autoSpaceDN w:val="0"/>
        <w:spacing w:line="300" w:lineRule="auto"/>
        <w:ind w:firstLine="480" w:firstLineChars="200"/>
        <w:jc w:val="both"/>
        <w:rPr>
          <w:rFonts w:hint="eastAsia" w:ascii="宋体" w:hAnsi="宋体" w:eastAsia="宋体"/>
          <w:sz w:val="24"/>
          <w:szCs w:val="24"/>
        </w:rPr>
      </w:pPr>
      <w:r>
        <w:t>基于HarmonyOS 6.0.2（API 22）与ArkTS语言（严格模式）开发原生移动应用，DevEco Studio工程化构建。App封装统一ApiService网络层，与Web端共用云平台RESTful API和JWT认证体系；内置双地址配置——公网访问云端ECS进行远程监护，局域网直连树莓派实现床旁低时延语音控制（NLC）。包含体征仪表盘、智能体协同、AI咨询、告警管理、床体控制五大功能页面。</w:t>
      </w:r>
    </w:p>
    <w:p w14:paraId="293C4A4D">
      <w:pPr>
        <w:pStyle w:val="4"/>
        <w:autoSpaceDE w:val="0"/>
        <w:autoSpaceDN w:val="0"/>
        <w:rPr>
          <w:rFonts w:hint="eastAsia" w:ascii="黑体" w:hAnsi="黑体" w:eastAsia="黑体"/>
          <w:sz w:val="28"/>
          <w:szCs w:val="28"/>
        </w:rPr>
      </w:pPr>
      <w:bookmarkStart w:id="21" w:name="_Toc224321329"/>
      <w:r>
        <w:t>4.1.5 云技术管理</w:t>
      </w:r>
      <w:bookmarkEnd w:id="21"/>
    </w:p>
    <w:p w14:paraId="08FB2B24">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Kimi K3大模型服务：通过Moonshot AI平台API调用Kimi K3大语言模型（2.8万亿参数，基于KDA混合线性注意力与注意力残差架构，原生支持视觉理解、1M token长上下文与深度思考模式）[16]，为系统提供健康报告生成、护理咨询、压力矩阵深度分析和患者情绪分析等核心AI能力。系统为每种专科Agent设计了独立的System Prompt，确保AI回答的专业性和针对性。</w:t>
      </w:r>
    </w:p>
    <w:p w14:paraId="26B2BC47">
      <w:pPr>
        <w:jc w:val="center"/>
        <w:rPr>
          <w:rFonts w:hint="eastAsia"/>
        </w:rPr>
      </w:pPr>
      <w:bookmarkStart w:id="33" w:name="_GoBack"/>
      <w:bookmarkEnd w:id="33"/>
      <w:commentRangeStart w:id="25"/>
      <w:r>
        <w:drawing>
          <wp:inline xmlns:a="http://schemas.openxmlformats.org/drawingml/2006/main" xmlns:pic="http://schemas.openxmlformats.org/drawingml/2006/picture">
            <wp:extent cx="5220000" cy="2603650"/>
            <wp:docPr id="22" name="Picture 22"/>
            <wp:cNvGraphicFramePr>
              <a:graphicFrameLocks noChangeAspect="1"/>
            </wp:cNvGraphicFramePr>
            <a:graphic>
              <a:graphicData uri="http://schemas.openxmlformats.org/drawingml/2006/picture">
                <pic:pic>
                  <pic:nvPicPr>
                    <pic:cNvPr id="0" name="fig4_3_agents.png"/>
                    <pic:cNvPicPr/>
                  </pic:nvPicPr>
                  <pic:blipFill>
                    <a:blip r:embed="rId26"/>
                    <a:stretch>
                      <a:fillRect/>
                    </a:stretch>
                  </pic:blipFill>
                  <pic:spPr>
                    <a:xfrm>
                      <a:off x="0" y="0"/>
                      <a:ext cx="5220000" cy="2603650"/>
                    </a:xfrm>
                    <a:prstGeom prst="rect"/>
                  </pic:spPr>
                </pic:pic>
              </a:graphicData>
            </a:graphic>
          </wp:inline>
        </w:drawing>
      </w:r>
    </w:p>
    <w:p w14:paraId="31EDAC1D">
      <w:pPr>
        <w:jc w:val="center"/>
        <w:rPr>
          <w:rFonts w:hint="eastAsia"/>
        </w:rPr>
      </w:pPr>
      <w:r>
        <w:rPr>
          <w:rFonts w:ascii="楷体" w:hAnsi="楷体" w:eastAsia="楷体" w:cs="Times New Roman"/>
          <w:b/>
          <w:sz w:val="22"/>
        </w:rPr>
        <w:t>图4.3 五种专科AI护理Agent个性化阈值与提示词配置对比</w:t>
      </w:r>
      <w:commentRangeEnd w:id="25"/>
      <w:r>
        <w:commentReference w:id="25"/>
      </w:r>
    </w:p>
    <w:p w14:paraId="05F0907B">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SiliconFlow语音服务：集成TeleSpeechASR语音识别和CosyVoice2语音合成两项云服务，为设备端语音交互提供高质量的语音转文字和文字转语音能力。</w:t>
      </w:r>
    </w:p>
    <w:p w14:paraId="78E37E25">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sz w:val="24"/>
        </w:rPr>
        <w:t>SQLite数据库：采用WAL[13]（Write-Ahead Logging）模式的SQLite3数据库，设计12张数据表（users、patients、vitals、reports、alerts、agent_configs、voice_conversations、patient_concerns、emotion_records、voice_commands、reminders、reminder_logs）和9个性能索引，通过外键约束和CHECK约束保障数据完整性。</w:t>
      </w:r>
    </w:p>
    <w:p w14:paraId="4A6B4BE0">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Nginx反向代理与PM2进程管理：Nginx[30]负责SSL证书终结和静态文件加速，PM2负责Node.js进程的自动重启、日志管理和集群模式部署，确保生产环境的高可用性。</w:t>
      </w:r>
    </w:p>
    <w:p w14:paraId="114AA2B9">
      <w:pPr>
        <w:jc w:val="center"/>
        <w:rPr>
          <w:rFonts w:hint="eastAsia"/>
        </w:rPr>
      </w:pPr>
      <w:commentRangeStart w:id="26"/>
      <w:r>
        <w:rPr>
          <w:rFonts w:ascii="Times New Roman" w:hAnsi="Times New Roman" w:eastAsia="宋体" w:cs="Times New Roman"/>
          <w:i/>
          <w:color w:val="808080"/>
          <w:sz w:val="24"/>
        </w:rPr>
        <w:t>(此处插入云端架构图)</w:t>
      </w:r>
    </w:p>
    <w:p w14:paraId="07A66FFF">
      <w:pPr>
        <w:jc w:val="center"/>
        <w:rPr>
          <w:rFonts w:hint="eastAsia"/>
        </w:rPr>
      </w:pPr>
      <w:r>
        <w:rPr>
          <w:rFonts w:ascii="楷体" w:hAnsi="楷体" w:eastAsia="楷体" w:cs="Times New Roman"/>
          <w:b/>
          <w:sz w:val="22"/>
        </w:rPr>
        <w:t>图4.4 云端服务架构与技术栈集成图</w:t>
      </w:r>
      <w:commentRangeEnd w:id="26"/>
      <w:r>
        <w:commentReference w:id="26"/>
      </w:r>
    </w:p>
    <w:p w14:paraId="1723327A">
      <w:pPr>
        <w:pStyle w:val="2"/>
        <w:autoSpaceDE w:val="0"/>
        <w:autoSpaceDN w:val="0"/>
        <w:rPr>
          <w:rFonts w:hint="eastAsia" w:ascii="黑体" w:hAnsi="黑体" w:eastAsia="黑体"/>
        </w:rPr>
      </w:pPr>
      <w:bookmarkStart w:id="22" w:name="_Toc224321330"/>
      <w:r>
        <w:t>5 其他内容</w:t>
      </w:r>
      <w:bookmarkEnd w:id="22"/>
    </w:p>
    <w:p w14:paraId="3C542592">
      <w:pPr>
        <w:pStyle w:val="3"/>
        <w:autoSpaceDE w:val="0"/>
        <w:autoSpaceDN w:val="0"/>
        <w:rPr>
          <w:rFonts w:hint="eastAsia" w:ascii="黑体" w:hAnsi="黑体" w:eastAsia="黑体"/>
        </w:rPr>
      </w:pPr>
      <w:bookmarkStart w:id="23" w:name="_Toc224321331"/>
      <w:bookmarkEnd w:id="23"/>
      <w:r>
        <w:t>5.1 工程细节与成本分析</w:t>
      </w:r>
    </w:p>
    <w:p w14:paraId="0332352C">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本部分介绍项目的数据库设计、AI能力矩阵、效果展示及作业成本。</w:t>
      </w:r>
    </w:p>
    <w:p w14:paraId="084AEC2A">
      <w:pPr>
        <w:spacing w:line="300" w:lineRule="auto"/>
        <w:ind w:firstLine="480" w:firstLineChars="200"/>
      </w:pPr>
      <w:r>
        <w:rPr>
          <w:rFonts w:ascii="Times New Roman" w:hAnsi="Times New Roman" w:eastAsia="宋体"/>
          <w:sz w:val="24"/>
        </w:rPr>
        <w:t>智能提醒模块新增两张数据表：reminders 表存储提醒计划（patient_id、reminder_type、title、dosage、schedule_time、is_active、created_by），支持按病人查询与启停；reminder_logs 表存储每日执行日志（reminder_id、patient_id、scheduled_time、status、completed_at、note），status 字段枚举值包括 pending / notified / completed / skipped / missed，实现完整的提醒生命周期追踪。</w:t>
      </w:r>
    </w:p>
    <w:p w14:paraId="382E9860">
      <w:pPr>
        <w:pStyle w:val="4"/>
        <w:autoSpaceDE w:val="0"/>
        <w:autoSpaceDN w:val="0"/>
        <w:rPr>
          <w:rFonts w:hint="eastAsia" w:ascii="黑体" w:hAnsi="黑体" w:eastAsia="黑体"/>
          <w:sz w:val="28"/>
          <w:szCs w:val="28"/>
        </w:rPr>
      </w:pPr>
      <w:bookmarkStart w:id="24" w:name="_Toc224321332"/>
      <w:r>
        <w:t>5.1.1 数据库设计</w:t>
      </w:r>
      <w:bookmarkEnd w:id="24"/>
    </w:p>
    <w:p w14:paraId="6E9867FA">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系统使用SQLite3数据库，包含7张数据表。users表存储用户账号、密码哈希和角色信息；patients表记录患者基本信息、床位号、疾病类型和关联的AI Agent；vitals表存储每次采集的完整体征数据（心率、血压、血氧、血糖、体温、睡姿、压力矩阵原始数据）；reports表保存AI生成的健康报告；alerts表管理告警记录及状态流转；voice_conversations表存储语音对话历史；patient_concerns表保存AI分析生成的患者关注点报告。agent_configs表则配置5种专科Agent的系统提示词和个性化阈值。</w:t>
      </w:r>
    </w:p>
    <w:p w14:paraId="67D9CF23">
      <w:pPr>
        <w:jc w:val="center"/>
        <w:rPr>
          <w:rFonts w:hint="eastAsia"/>
        </w:rPr>
      </w:pPr>
      <w:r>
        <w:drawing>
          <wp:inline distT="0" distB="0" distL="114300" distR="114300">
            <wp:extent cx="5219700" cy="2961640"/>
            <wp:effectExtent l="0" t="0" r="0" b="1016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8"/>
                    <a:stretch>
                      <a:fillRect/>
                    </a:stretch>
                  </pic:blipFill>
                  <pic:spPr>
                    <a:xfrm>
                      <a:off x="0" y="0"/>
                      <a:ext cx="5220000" cy="2962215"/>
                    </a:xfrm>
                    <a:prstGeom prst="rect">
                      <a:avLst/>
                    </a:prstGeom>
                  </pic:spPr>
                </pic:pic>
              </a:graphicData>
            </a:graphic>
          </wp:inline>
        </w:drawing>
      </w:r>
    </w:p>
    <w:p w14:paraId="29EC7285">
      <w:pPr>
        <w:jc w:val="center"/>
        <w:rPr>
          <w:rFonts w:hint="eastAsia"/>
        </w:rPr>
      </w:pPr>
      <w:r>
        <w:rPr>
          <w:rFonts w:ascii="楷体" w:hAnsi="楷体" w:eastAsia="楷体" w:cs="Times New Roman"/>
          <w:b/>
          <w:sz w:val="22"/>
        </w:rPr>
        <w:t>图5.1 系统数据库ER关系图</w:t>
      </w:r>
    </w:p>
    <w:p w14:paraId="6EF21501">
      <w:pPr>
        <w:autoSpaceDE w:val="0"/>
        <w:autoSpaceDN w:val="0"/>
        <w:rPr>
          <w:rFonts w:hint="eastAsia"/>
        </w:rPr>
      </w:pPr>
    </w:p>
    <w:p w14:paraId="581CCC82">
      <w:pPr>
        <w:autoSpaceDE w:val="0"/>
        <w:autoSpaceDN w:val="0"/>
        <w:spacing w:line="300" w:lineRule="auto"/>
        <w:ind w:firstLine="562" w:firstLineChars="200"/>
        <w:jc w:val="both"/>
        <w:rPr>
          <w:rFonts w:hint="eastAsia" w:ascii="黑体" w:hAnsi="黑体" w:eastAsia="黑体"/>
          <w:sz w:val="28"/>
          <w:szCs w:val="28"/>
        </w:rPr>
      </w:pPr>
      <w:r>
        <w:rPr>
          <w:rFonts w:ascii="Times New Roman" w:hAnsi="Times New Roman" w:eastAsia="宋体" w:cs="Times New Roman"/>
          <w:b/>
          <w:bCs/>
          <w:sz w:val="28"/>
          <w:szCs w:val="28"/>
        </w:rPr>
        <w:t>AI护理Agent配置：</w:t>
      </w:r>
    </w:p>
    <w:tbl>
      <w:tblPr>
        <w:tblStyle w:val="16"/>
        <w:tblW w:w="90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00"/>
        <w:gridCol w:w="1400"/>
        <w:gridCol w:w="3200"/>
        <w:gridCol w:w="2800"/>
      </w:tblGrid>
      <w:tr w14:paraId="391E2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63DE8EE3">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Agent</w:t>
            </w:r>
          </w:p>
        </w:tc>
        <w:tc>
          <w:tcPr>
            <w:tcW w:w="14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6C1C7760">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适用病种</w:t>
            </w:r>
          </w:p>
        </w:tc>
        <w:tc>
          <w:tcPr>
            <w:tcW w:w="32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1B1C80B5">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关键阈值</w:t>
            </w:r>
          </w:p>
        </w:tc>
        <w:tc>
          <w:tcPr>
            <w:tcW w:w="28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2F8269B6">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特色关注</w:t>
            </w:r>
          </w:p>
        </w:tc>
      </w:tr>
      <w:tr w14:paraId="312547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55238C65">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quadriplegia</w:t>
            </w:r>
          </w:p>
        </w:tc>
        <w:tc>
          <w:tcPr>
            <w:tcW w:w="14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4FCDF095">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高位截瘫</w:t>
            </w:r>
          </w:p>
        </w:tc>
        <w:tc>
          <w:tcPr>
            <w:tcW w:w="3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2A936191">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HR 45-110, SpO2≥92, T≤38℃</w:t>
            </w:r>
          </w:p>
        </w:tc>
        <w:tc>
          <w:tcPr>
            <w:tcW w:w="2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7312BE8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体温调节、受压监测与体位护理、呼吸功能</w:t>
            </w:r>
          </w:p>
        </w:tc>
      </w:tr>
      <w:tr w14:paraId="1F97A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7E2EDB4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diabetes</w:t>
            </w:r>
          </w:p>
        </w:tc>
        <w:tc>
          <w:tcPr>
            <w:tcW w:w="14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669E0FBF">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糖尿病</w:t>
            </w:r>
          </w:p>
        </w:tc>
        <w:tc>
          <w:tcPr>
            <w:tcW w:w="3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8CF08FF">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GLU 3.9-11.1, BP&lt;140/90</w:t>
            </w:r>
          </w:p>
        </w:tc>
        <w:tc>
          <w:tcPr>
            <w:tcW w:w="2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19990D15">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血糖波动、足部监测、饮食运动</w:t>
            </w:r>
          </w:p>
        </w:tc>
      </w:tr>
      <w:tr w14:paraId="7C52D6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190B769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post_stroke</w:t>
            </w:r>
          </w:p>
        </w:tc>
        <w:tc>
          <w:tcPr>
            <w:tcW w:w="14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7D18DB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中风后遗症</w:t>
            </w:r>
          </w:p>
        </w:tc>
        <w:tc>
          <w:tcPr>
            <w:tcW w:w="3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D379AC5">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BP&lt;150/95, HR 50-110</w:t>
            </w:r>
          </w:p>
        </w:tc>
        <w:tc>
          <w:tcPr>
            <w:tcW w:w="2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939753A">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血压控制、康复训练、情绪管理</w:t>
            </w:r>
          </w:p>
        </w:tc>
      </w:tr>
      <w:tr w14:paraId="68BD88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1103D724">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copd</w:t>
            </w:r>
          </w:p>
        </w:tc>
        <w:tc>
          <w:tcPr>
            <w:tcW w:w="14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B613D71">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慢阻肺</w:t>
            </w:r>
          </w:p>
        </w:tc>
        <w:tc>
          <w:tcPr>
            <w:tcW w:w="3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3C7F0F3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SpO2≥88, HR&lt;120</w:t>
            </w:r>
          </w:p>
        </w:tc>
        <w:tc>
          <w:tcPr>
            <w:tcW w:w="2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717676E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血氧监测、呼吸模式、用药提醒</w:t>
            </w:r>
          </w:p>
        </w:tc>
      </w:tr>
      <w:tr w14:paraId="17F07E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4A1C9456">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general</w:t>
            </w:r>
          </w:p>
        </w:tc>
        <w:tc>
          <w:tcPr>
            <w:tcW w:w="14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4573771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通用护理</w:t>
            </w:r>
          </w:p>
        </w:tc>
        <w:tc>
          <w:tcPr>
            <w:tcW w:w="3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79AD857F">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HR 50-120, SpO2≥93, T≤37.5℃</w:t>
            </w:r>
          </w:p>
        </w:tc>
        <w:tc>
          <w:tcPr>
            <w:tcW w:w="2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10E763E8">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综合监测、趋势分析、生活建议</w:t>
            </w:r>
          </w:p>
        </w:tc>
      </w:tr>
    </w:tbl>
    <w:p w14:paraId="00203FC5">
      <w:pPr>
        <w:pStyle w:val="4"/>
        <w:autoSpaceDE w:val="0"/>
        <w:autoSpaceDN w:val="0"/>
        <w:rPr>
          <w:rFonts w:hint="eastAsia" w:ascii="黑体" w:hAnsi="黑体" w:eastAsia="黑体"/>
          <w:sz w:val="28"/>
          <w:szCs w:val="28"/>
        </w:rPr>
      </w:pPr>
      <w:bookmarkStart w:id="25" w:name="_Toc224321333"/>
      <w:r>
        <w:t>5.1.2 AI能力矩阵</w:t>
      </w:r>
      <w:bookmarkEnd w:id="25"/>
    </w:p>
    <w:tbl>
      <w:tblPr>
        <w:tblStyle w:val="16"/>
        <w:tblW w:w="80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26"/>
        <w:gridCol w:w="1827"/>
        <w:gridCol w:w="1414"/>
        <w:gridCol w:w="1724"/>
        <w:gridCol w:w="1709"/>
      </w:tblGrid>
      <w:tr w14:paraId="3F9114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4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703B1EE3">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AI功能</w:t>
            </w:r>
          </w:p>
        </w:tc>
        <w:tc>
          <w:tcPr>
            <w:tcW w:w="18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271CDEC2">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模型/引擎</w:t>
            </w:r>
          </w:p>
        </w:tc>
        <w:tc>
          <w:tcPr>
            <w:tcW w:w="12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199A76BF">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部署位置</w:t>
            </w:r>
          </w:p>
        </w:tc>
        <w:tc>
          <w:tcPr>
            <w:tcW w:w="18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55CA2EB0">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输入</w:t>
            </w:r>
          </w:p>
        </w:tc>
        <w:tc>
          <w:tcPr>
            <w:tcW w:w="18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486E03B5">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输出</w:t>
            </w:r>
          </w:p>
        </w:tc>
      </w:tr>
      <w:tr w14:paraId="78BCE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4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BCEC20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睡姿分类</w:t>
            </w:r>
          </w:p>
        </w:tc>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5F6B86D">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PostureCNN (PyTorch)</w:t>
            </w:r>
          </w:p>
        </w:tc>
        <w:tc>
          <w:tcPr>
            <w:tcW w:w="1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50DE95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树莓派</w:t>
            </w:r>
          </w:p>
        </w:tc>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1BC995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8×8压力矩阵</w:t>
            </w:r>
          </w:p>
        </w:tc>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1B53CBC4">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6类姿态+置信度</w:t>
            </w:r>
          </w:p>
        </w:tc>
      </w:tr>
      <w:tr w14:paraId="185351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4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3343EC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受压风险监测</w:t>
            </w:r>
          </w:p>
        </w:tc>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65A076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规则引擎</w:t>
            </w:r>
          </w:p>
        </w:tc>
        <w:tc>
          <w:tcPr>
            <w:tcW w:w="1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46D9E3F7">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树莓派</w:t>
            </w:r>
          </w:p>
        </w:tc>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300B4F64">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持续高压时间</w:t>
            </w:r>
          </w:p>
        </w:tc>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3CF1839F">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四级风险等级</w:t>
            </w:r>
          </w:p>
        </w:tc>
      </w:tr>
      <w:tr w14:paraId="290CB6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4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4F7862BA">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翻身检测</w:t>
            </w:r>
          </w:p>
        </w:tc>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5870526F">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帧间差异算法</w:t>
            </w:r>
          </w:p>
        </w:tc>
        <w:tc>
          <w:tcPr>
            <w:tcW w:w="1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817567F">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树莓派</w:t>
            </w:r>
          </w:p>
        </w:tc>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25E2EBC">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前后帧对比</w:t>
            </w:r>
          </w:p>
        </w:tc>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5233D204">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翻身事件记录</w:t>
            </w:r>
          </w:p>
        </w:tc>
      </w:tr>
      <w:tr w14:paraId="59A466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4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67C6E36D">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健康报告</w:t>
            </w:r>
          </w:p>
        </w:tc>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40FBB7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Kimi K3</w:t>
            </w:r>
          </w:p>
        </w:tc>
        <w:tc>
          <w:tcPr>
            <w:tcW w:w="1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7A98A404">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云端</w:t>
            </w:r>
          </w:p>
        </w:tc>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4CD92616">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24h体征+告警</w:t>
            </w:r>
          </w:p>
        </w:tc>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419704EA">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诊断+康复建议</w:t>
            </w:r>
          </w:p>
        </w:tc>
      </w:tr>
      <w:tr w14:paraId="204D5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4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12FF8F3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护理咨询</w:t>
            </w:r>
          </w:p>
        </w:tc>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7124D4FD">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Kimi K3</w:t>
            </w:r>
          </w:p>
        </w:tc>
        <w:tc>
          <w:tcPr>
            <w:tcW w:w="1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2D0BE2BA">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云端</w:t>
            </w:r>
          </w:p>
        </w:tc>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C05B3F1">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体征+病情+问题</w:t>
            </w:r>
          </w:p>
        </w:tc>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41D4EB2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专科回答</w:t>
            </w:r>
          </w:p>
        </w:tc>
      </w:tr>
      <w:tr w14:paraId="562D4E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4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1CBCF7D">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压力深度分析</w:t>
            </w:r>
          </w:p>
        </w:tc>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12E3CF7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Kimi K3</w:t>
            </w:r>
          </w:p>
        </w:tc>
        <w:tc>
          <w:tcPr>
            <w:tcW w:w="1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489A048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云端</w:t>
            </w:r>
          </w:p>
        </w:tc>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7ABBCA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矩阵+CNN结果</w:t>
            </w:r>
          </w:p>
        </w:tc>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7270385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护理方案+告警</w:t>
            </w:r>
          </w:p>
        </w:tc>
      </w:tr>
      <w:tr w14:paraId="74CCD0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4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23246F5A">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语音识别</w:t>
            </w:r>
          </w:p>
        </w:tc>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47D0853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TeleSpeechASR</w:t>
            </w:r>
          </w:p>
        </w:tc>
        <w:tc>
          <w:tcPr>
            <w:tcW w:w="1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25929D2B">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SiliconFlow</w:t>
            </w:r>
          </w:p>
        </w:tc>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4A4317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WAV音频</w:t>
            </w:r>
          </w:p>
        </w:tc>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2A0AA0F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文字</w:t>
            </w:r>
          </w:p>
        </w:tc>
      </w:tr>
      <w:tr w14:paraId="40236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4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706AC336">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语音合成</w:t>
            </w:r>
          </w:p>
        </w:tc>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4ACFDBCA">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CosyVoice2</w:t>
            </w:r>
          </w:p>
        </w:tc>
        <w:tc>
          <w:tcPr>
            <w:tcW w:w="1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232FA0E3">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SiliconFlow</w:t>
            </w:r>
          </w:p>
        </w:tc>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753BE965">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文字</w:t>
            </w:r>
          </w:p>
        </w:tc>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1675CC18">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MP3音频</w:t>
            </w:r>
          </w:p>
        </w:tc>
      </w:tr>
      <w:tr w14:paraId="104BD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4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29279A6D">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情绪分析</w:t>
            </w:r>
          </w:p>
        </w:tc>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F5C0051">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Kimi K3</w:t>
            </w:r>
          </w:p>
        </w:tc>
        <w:tc>
          <w:tcPr>
            <w:tcW w:w="1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7851086">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云端</w:t>
            </w:r>
          </w:p>
        </w:tc>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6D7AA24">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3天对话记录</w:t>
            </w:r>
          </w:p>
        </w:tc>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1AA6E92B">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关注点+情绪+诉求</w:t>
            </w:r>
          </w:p>
        </w:tc>
      </w:tr>
    </w:tbl>
    <w:p w14:paraId="47C5A50C">
      <w:pPr>
        <w:pStyle w:val="4"/>
        <w:autoSpaceDE w:val="0"/>
        <w:autoSpaceDN w:val="0"/>
        <w:rPr>
          <w:rFonts w:hint="eastAsia" w:ascii="黑体" w:hAnsi="黑体" w:eastAsia="黑体"/>
          <w:sz w:val="28"/>
          <w:szCs w:val="28"/>
        </w:rPr>
      </w:pPr>
      <w:bookmarkStart w:id="26" w:name="_Toc224321334"/>
      <w:r>
        <w:t>5.1.3 效果展示</w:t>
      </w:r>
      <w:bookmarkEnd w:id="26"/>
    </w:p>
    <w:p w14:paraId="045987EB">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系统包含8个前端Web页面，覆盖从登录认证到数据可视化的完整交互流程。总览仪表盘页面以患者卡片形式展示所有在管患者的基本信息和最新体征概要。体征实时面板页面集成了Chart.js折线图（展示心率、血氧、体温等指标的时间趋势）和Canvas 8×8压力热力图（以色阶直观呈现患者的体压分布）。AI体检报告页面以时间线形式展示历史报告，每份报告包含AI生成的健康评估、辅助诊断和康复建议。异常预警页面支持按类型、状态和时间筛选，便于护理人员高效处理告警。语音聊天页面提供类即时通讯的对话界面，家属关注分析页面则以结构化卡片形式展示AI提取的患者情绪、身体诉求和心理需求。</w:t>
      </w:r>
    </w:p>
    <w:p w14:paraId="79BFEB94">
      <w:pPr>
        <w:jc w:val="center"/>
        <w:rPr>
          <w:rFonts w:hint="eastAsia"/>
        </w:rPr>
      </w:pPr>
      <w:r>
        <w:drawing>
          <wp:inline xmlns:a="http://schemas.openxmlformats.org/drawingml/2006/main" xmlns:pic="http://schemas.openxmlformats.org/drawingml/2006/picture">
            <wp:extent cx="4860000" cy="6075000"/>
            <wp:docPr id="23" name="Picture 23"/>
            <wp:cNvGraphicFramePr>
              <a:graphicFrameLocks noChangeAspect="1"/>
            </wp:cNvGraphicFramePr>
            <a:graphic>
              <a:graphicData uri="http://schemas.openxmlformats.org/drawingml/2006/picture">
                <pic:pic>
                  <pic:nvPicPr>
                    <pic:cNvPr id="0" name="shot_dashboard.png"/>
                    <pic:cNvPicPr/>
                  </pic:nvPicPr>
                  <pic:blipFill>
                    <a:blip r:embed="rId27"/>
                    <a:stretch>
                      <a:fillRect/>
                    </a:stretch>
                  </pic:blipFill>
                  <pic:spPr>
                    <a:xfrm>
                      <a:off x="0" y="0"/>
                      <a:ext cx="4860000" cy="6075000"/>
                    </a:xfrm>
                    <a:prstGeom prst="rect"/>
                  </pic:spPr>
                </pic:pic>
              </a:graphicData>
            </a:graphic>
          </wp:inline>
        </w:drawing>
      </w:r>
    </w:p>
    <w:p w14:paraId="52BD8939">
      <w:pPr>
        <w:jc w:val="center"/>
        <w:rPr>
          <w:rFonts w:hint="eastAsia"/>
        </w:rPr>
      </w:pPr>
      <w:r>
        <w:rPr>
          <w:rFonts w:ascii="楷体" w:hAnsi="楷体" w:eastAsia="楷体" w:cs="Times New Roman"/>
          <w:b/>
          <w:sz w:val="22"/>
        </w:rPr>
        <w:t>图5.2 Web前端Dashboard体征监护面板与压力热力图</w:t>
      </w:r>
    </w:p>
    <w:p w14:paraId="38006B56">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边缘端方面，3.5寸SPI LCD屏实时显示当前患者的核心体征参数和导航状态。Flask Web遥控界面提供直观的方向键控制和一键导航功能。摄像头MJPEG推流可在局域网内通过浏览器直接查看患者实时画面。</w:t>
      </w:r>
    </w:p>
    <w:p w14:paraId="390584EE">
      <w:pPr>
        <w:jc w:val="center"/>
        <w:rPr>
          <w:rFonts w:hint="eastAsia"/>
        </w:rPr>
      </w:pPr>
      <w:commentRangeStart w:id="27"/>
      <w:r>
        <w:rPr>
          <w:rFonts w:ascii="Times New Roman" w:hAnsi="Times New Roman" w:eastAsia="宋体" w:cs="Times New Roman"/>
          <w:i/>
          <w:color w:val="808080"/>
          <w:sz w:val="24"/>
        </w:rPr>
        <w:t>(此处插入边缘端界面截图)</w:t>
      </w:r>
    </w:p>
    <w:p w14:paraId="23C97C33">
      <w:pPr>
        <w:jc w:val="center"/>
        <w:rPr>
          <w:rFonts w:hint="eastAsia"/>
        </w:rPr>
      </w:pPr>
      <w:r>
        <w:rPr>
          <w:rFonts w:ascii="楷体" w:hAnsi="楷体" w:eastAsia="楷体" w:cs="Times New Roman"/>
          <w:b/>
          <w:sz w:val="22"/>
        </w:rPr>
        <w:t>图5.3 边缘端3.5寸LCD状态屏与Flask Web遥控界面</w:t>
      </w:r>
      <w:commentRangeEnd w:id="27"/>
      <w:r>
        <w:commentReference w:id="27"/>
      </w:r>
    </w:p>
    <w:p w14:paraId="6CAA3010">
      <w:pPr>
        <w:autoSpaceDE w:val="0"/>
        <w:autoSpaceDN w:val="0"/>
        <w:spacing w:line="300" w:lineRule="auto"/>
        <w:ind w:firstLine="480" w:firstLineChars="200"/>
        <w:jc w:val="both"/>
        <w:rPr>
          <w:rFonts w:hint="eastAsia" w:ascii="宋体" w:hAnsi="宋体" w:eastAsia="宋体"/>
          <w:sz w:val="24"/>
          <w:szCs w:val="24"/>
        </w:rPr>
      </w:pPr>
      <w:r>
        <w:t>移动端方面，鸿蒙原生App为医护人员与家属提供随身监护入口。体征仪表盘页面以卡片式布局实时刷新心率、血氧、体温、血压与睡姿状态；智能体页面呈现五个专科护理Agent的协同工作状态；AI咨询页面接入云端统一LLM网关进行多轮对话；告警页面支持告警确认闭环；控制页面可远程下发靠背角度调节、气囊分区减压与病房导航指令。App与Web端共用同一账号体系与JWT认证，登录后数据实时同步。</w:t>
      </w:r>
    </w:p>
    <w:p w14:paraId="1C7A6F4B">
      <w:pPr>
        <w:jc w:val="center"/>
        <w:rPr>
          <w:rFonts w:hint="eastAsia"/>
        </w:rPr>
      </w:pPr>
      <w:r>
        <w:t>(此处插入鸿蒙App实机截图)</w:t>
      </w:r>
    </w:p>
    <w:p w14:paraId="49E76035">
      <w:pPr>
        <w:jc w:val="center"/>
        <w:rPr>
          <w:rFonts w:hint="eastAsia"/>
        </w:rPr>
      </w:pPr>
      <w:r>
        <w:t>图5.4 鸿蒙App五大功能页面（体征仪表盘/智能体协同/AI咨询/告警管理/床体控制）</w:t>
      </w:r>
    </w:p>
    <w:p w14:paraId="03AE6CEC">
      <w:pPr>
        <w:pStyle w:val="4"/>
        <w:autoSpaceDE w:val="0"/>
        <w:autoSpaceDN w:val="0"/>
        <w:rPr>
          <w:rFonts w:hint="eastAsia" w:ascii="黑体" w:hAnsi="黑体" w:eastAsia="黑体"/>
          <w:sz w:val="28"/>
          <w:szCs w:val="28"/>
        </w:rPr>
      </w:pPr>
      <w:bookmarkStart w:id="27" w:name="_Toc224321335"/>
      <w:r>
        <w:t>5.1.4 API接口设计</w:t>
      </w:r>
      <w:bookmarkEnd w:id="27"/>
    </w:p>
    <w:p w14:paraId="55955CA5">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系统共设计20余个RESTful API端点，分布在8个路由模块中。认证模块（auth）提供登录注册接口，采用bcrypt密码哈希和JWT令牌机制。设备数据上报接口使用API Key认证（X-API-Key头部），与用户端JWT认证相互独立，确保设备端和用户端的安全隔离。主要API端点包括：</w:t>
      </w:r>
    </w:p>
    <w:p w14:paraId="5E1007A5">
      <w:pPr>
        <w:autoSpaceDE w:val="0"/>
        <w:autoSpaceDN w:val="0"/>
        <w:rPr>
          <w:rFonts w:hint="eastAsia"/>
        </w:rPr>
      </w:pPr>
    </w:p>
    <w:tbl>
      <w:tblPr>
        <w:tblStyle w:val="16"/>
        <w:tblW w:w="80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97"/>
        <w:gridCol w:w="827"/>
        <w:gridCol w:w="995"/>
        <w:gridCol w:w="3581"/>
      </w:tblGrid>
      <w:tr w14:paraId="05E6F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6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28023FC0">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端点</w:t>
            </w:r>
          </w:p>
        </w:tc>
        <w:tc>
          <w:tcPr>
            <w:tcW w:w="8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7954776C">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方法</w:t>
            </w:r>
          </w:p>
        </w:tc>
        <w:tc>
          <w:tcPr>
            <w:tcW w:w="10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38765FCC">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认证</w:t>
            </w:r>
          </w:p>
        </w:tc>
        <w:tc>
          <w:tcPr>
            <w:tcW w:w="36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3045EECD">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描述</w:t>
            </w:r>
          </w:p>
        </w:tc>
      </w:tr>
      <w:tr w14:paraId="06E24D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6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7E6BCE4">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/api/auth/login</w:t>
            </w:r>
          </w:p>
        </w:tc>
        <w:tc>
          <w:tcPr>
            <w:tcW w:w="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9E91DF1">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POST</w:t>
            </w:r>
          </w:p>
        </w:tc>
        <w:tc>
          <w:tcPr>
            <w:tcW w:w="1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F2E795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无</w:t>
            </w:r>
          </w:p>
        </w:tc>
        <w:tc>
          <w:tcPr>
            <w:tcW w:w="36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74F21A27">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用户登录，返回JWT</w:t>
            </w:r>
          </w:p>
        </w:tc>
      </w:tr>
      <w:tr w14:paraId="0F3EE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6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32CA6A9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/api/auth/register</w:t>
            </w:r>
          </w:p>
        </w:tc>
        <w:tc>
          <w:tcPr>
            <w:tcW w:w="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1A672787">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POST</w:t>
            </w:r>
          </w:p>
        </w:tc>
        <w:tc>
          <w:tcPr>
            <w:tcW w:w="1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2641A46">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无</w:t>
            </w:r>
          </w:p>
        </w:tc>
        <w:tc>
          <w:tcPr>
            <w:tcW w:w="36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55093B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用户注册</w:t>
            </w:r>
          </w:p>
        </w:tc>
      </w:tr>
      <w:tr w14:paraId="61055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6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7BABDC3A">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/api/patients</w:t>
            </w:r>
          </w:p>
        </w:tc>
        <w:tc>
          <w:tcPr>
            <w:tcW w:w="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B2C8945">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GET</w:t>
            </w:r>
          </w:p>
        </w:tc>
        <w:tc>
          <w:tcPr>
            <w:tcW w:w="1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469ADAA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JWT</w:t>
            </w:r>
          </w:p>
        </w:tc>
        <w:tc>
          <w:tcPr>
            <w:tcW w:w="36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DC24607">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患者列表（含疾病信息）</w:t>
            </w:r>
          </w:p>
        </w:tc>
      </w:tr>
      <w:tr w14:paraId="583F11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6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25073F54">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/api/vitals</w:t>
            </w:r>
          </w:p>
        </w:tc>
        <w:tc>
          <w:tcPr>
            <w:tcW w:w="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22152ECB">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POST</w:t>
            </w:r>
          </w:p>
        </w:tc>
        <w:tc>
          <w:tcPr>
            <w:tcW w:w="1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21B0DAD8">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API-Key</w:t>
            </w:r>
          </w:p>
        </w:tc>
        <w:tc>
          <w:tcPr>
            <w:tcW w:w="36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18C853AF">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设备体征数据上报+阈值告警</w:t>
            </w:r>
          </w:p>
        </w:tc>
      </w:tr>
      <w:tr w14:paraId="6A55EB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6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68C6CED">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/api/vitals/:id</w:t>
            </w:r>
          </w:p>
        </w:tc>
        <w:tc>
          <w:tcPr>
            <w:tcW w:w="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543B69E8">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GET</w:t>
            </w:r>
          </w:p>
        </w:tc>
        <w:tc>
          <w:tcPr>
            <w:tcW w:w="1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65AD0C3">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JWT</w:t>
            </w:r>
          </w:p>
        </w:tc>
        <w:tc>
          <w:tcPr>
            <w:tcW w:w="36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5077665">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体征历史（支持分页）</w:t>
            </w:r>
          </w:p>
        </w:tc>
      </w:tr>
      <w:tr w14:paraId="33841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6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7D31481B">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/api/vitals/:id/latest</w:t>
            </w:r>
          </w:p>
        </w:tc>
        <w:tc>
          <w:tcPr>
            <w:tcW w:w="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66A8312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GET</w:t>
            </w:r>
          </w:p>
        </w:tc>
        <w:tc>
          <w:tcPr>
            <w:tcW w:w="1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D72EDC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JWT</w:t>
            </w:r>
          </w:p>
        </w:tc>
        <w:tc>
          <w:tcPr>
            <w:tcW w:w="36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1D17C24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最新一条体征</w:t>
            </w:r>
          </w:p>
        </w:tc>
      </w:tr>
      <w:tr w14:paraId="774CFC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6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DE05253">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/api/vitals/:id/stats</w:t>
            </w:r>
          </w:p>
        </w:tc>
        <w:tc>
          <w:tcPr>
            <w:tcW w:w="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51C338B5">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GET</w:t>
            </w:r>
          </w:p>
        </w:tc>
        <w:tc>
          <w:tcPr>
            <w:tcW w:w="1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496349A6">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JWT</w:t>
            </w:r>
          </w:p>
        </w:tc>
        <w:tc>
          <w:tcPr>
            <w:tcW w:w="36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10D539A">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体征统计（均值/最值）</w:t>
            </w:r>
          </w:p>
        </w:tc>
      </w:tr>
      <w:tr w14:paraId="10AE7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6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F8B5E13">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/api/reports/generate</w:t>
            </w:r>
          </w:p>
        </w:tc>
        <w:tc>
          <w:tcPr>
            <w:tcW w:w="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0A4F23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POST</w:t>
            </w:r>
          </w:p>
        </w:tc>
        <w:tc>
          <w:tcPr>
            <w:tcW w:w="1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2ED16B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JWT</w:t>
            </w:r>
          </w:p>
        </w:tc>
        <w:tc>
          <w:tcPr>
            <w:tcW w:w="36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6C8DA2E1">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AI生成当日健康报告</w:t>
            </w:r>
          </w:p>
        </w:tc>
      </w:tr>
      <w:tr w14:paraId="6FC56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6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10338991">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/api/agents/consult</w:t>
            </w:r>
          </w:p>
        </w:tc>
        <w:tc>
          <w:tcPr>
            <w:tcW w:w="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24312A3D">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POST</w:t>
            </w:r>
          </w:p>
        </w:tc>
        <w:tc>
          <w:tcPr>
            <w:tcW w:w="1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D2E203C">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JWT</w:t>
            </w:r>
          </w:p>
        </w:tc>
        <w:tc>
          <w:tcPr>
            <w:tcW w:w="36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D97488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AI专科护理咨询</w:t>
            </w:r>
          </w:p>
        </w:tc>
      </w:tr>
      <w:tr w14:paraId="628506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6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3AFA5A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/api/pressure/analyze</w:t>
            </w:r>
          </w:p>
        </w:tc>
        <w:tc>
          <w:tcPr>
            <w:tcW w:w="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471DA3F">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POST</w:t>
            </w:r>
          </w:p>
        </w:tc>
        <w:tc>
          <w:tcPr>
            <w:tcW w:w="1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1ECE64AD">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JWT</w:t>
            </w:r>
          </w:p>
        </w:tc>
        <w:tc>
          <w:tcPr>
            <w:tcW w:w="36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6EF906C1">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AI深度压力矩阵分析</w:t>
            </w:r>
          </w:p>
        </w:tc>
      </w:tr>
      <w:tr w14:paraId="21B8D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6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24446A26">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/api/voice/device/chat</w:t>
            </w:r>
          </w:p>
        </w:tc>
        <w:tc>
          <w:tcPr>
            <w:tcW w:w="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FA8EB1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POST</w:t>
            </w:r>
          </w:p>
        </w:tc>
        <w:tc>
          <w:tcPr>
            <w:tcW w:w="1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E50203C">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API-Key</w:t>
            </w:r>
          </w:p>
        </w:tc>
        <w:tc>
          <w:tcPr>
            <w:tcW w:w="36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22F164E8">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设备全流程语音（ASR→AI→TTS）</w:t>
            </w:r>
          </w:p>
        </w:tc>
      </w:tr>
      <w:tr w14:paraId="20078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6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4B986A3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/api/voice/concerns/:id</w:t>
            </w:r>
          </w:p>
        </w:tc>
        <w:tc>
          <w:tcPr>
            <w:tcW w:w="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312E9718">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GET</w:t>
            </w:r>
          </w:p>
        </w:tc>
        <w:tc>
          <w:tcPr>
            <w:tcW w:w="1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63673D85">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JWT</w:t>
            </w:r>
          </w:p>
        </w:tc>
        <w:tc>
          <w:tcPr>
            <w:tcW w:w="36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AB0144D">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AI分析患者关注点</w:t>
            </w:r>
          </w:p>
        </w:tc>
      </w:tr>
    </w:tbl>
    <w:p w14:paraId="7CFA7EEA">
      <w:pPr>
        <w:spacing w:line="300" w:lineRule="auto"/>
        <w:ind w:firstLine="480" w:firstLineChars="200"/>
      </w:pPr>
      <w:r>
        <w:rPr>
          <w:rFonts w:ascii="Times New Roman" w:hAnsi="Times New Roman" w:eastAsia="宋体"/>
          <w:sz w:val="24"/>
        </w:rPr>
        <w:t>智能提醒模块新增 /api/reminders 路由（7 个端点）：GET /:patientId 获取提醒计划列表；POST / 创建提醒；PUT /:id 编辑；DELETE /:id 删除；PUT /:id/toggle 启停；GET /logs/:patientId 获取今日日志；PUT /logs/:id/complete|skip 标记完成/跳过；GET /sse Server-Sent Events 实时推送端点（支持 ?token= JWT 认证，兼容 EventSource）；GET /today/:patientId 统计今日各状态计数。系统共计 API 端点增至 27 个。</w:t>
      </w:r>
    </w:p>
    <w:p w14:paraId="5ADB6C00">
      <w:pPr>
        <w:pStyle w:val="4"/>
        <w:autoSpaceDE w:val="0"/>
        <w:autoSpaceDN w:val="0"/>
        <w:rPr>
          <w:rFonts w:hint="eastAsia" w:ascii="黑体" w:hAnsi="黑体" w:eastAsia="黑体"/>
          <w:sz w:val="28"/>
          <w:szCs w:val="28"/>
        </w:rPr>
      </w:pPr>
      <w:bookmarkStart w:id="28" w:name="_Toc224321336"/>
      <w:r>
        <w:t>5.1.5 工业设计</w:t>
      </w:r>
      <w:bookmarkEnd w:id="28"/>
    </w:p>
    <w:p w14:paraId="2ECB207B">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硬件方面，病床底盘采用4WD TT马达驱动的标准小车平台，上方安装病床框架和电动推杆升降机构。边缘计算网关（树莓派4B）和传感器模块集成安装于病床底部的控制盒内，通过合理的线缆走线和散热设计确保长时间稳定运行。3.5寸LCD状态屏安装于床头便于患者和护理人员查看。USB麦克风和PAM8403功放喇叭安装于床头两侧，方便语音交互。</w:t>
      </w:r>
    </w:p>
    <w:p w14:paraId="41A9D86A">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后续量产方向上，可将ESP32-S3和传感器集成设计为定制PCB板，减小体积并提升可靠性；压力矩阵可升级为工业级柔性压力传感阵列，提高检测精度和耐久性；外壳材质可采用ABS工程塑料或铝合金，满足医疗级防水防尘要求。</w:t>
      </w:r>
    </w:p>
    <w:p w14:paraId="2BE02A28">
      <w:pPr>
        <w:jc w:val="center"/>
        <w:rPr>
          <w:rFonts w:hint="eastAsia"/>
        </w:rPr>
      </w:pPr>
      <w:commentRangeStart w:id="28"/>
      <w:r>
        <w:rPr>
          <w:rFonts w:ascii="Times New Roman" w:hAnsi="Times New Roman" w:eastAsia="宋体" w:cs="Times New Roman"/>
          <w:i/>
          <w:color w:val="808080"/>
          <w:sz w:val="24"/>
        </w:rPr>
        <w:t>(此处插入硬件实物图)</w:t>
      </w:r>
    </w:p>
    <w:p w14:paraId="51BE1D97">
      <w:pPr>
        <w:jc w:val="center"/>
        <w:rPr>
          <w:rFonts w:hint="eastAsia"/>
        </w:rPr>
      </w:pPr>
      <w:r>
        <w:rPr>
          <w:rFonts w:ascii="楷体" w:hAnsi="楷体" w:eastAsia="楷体" w:cs="Times New Roman"/>
          <w:b/>
          <w:sz w:val="22"/>
        </w:rPr>
        <w:t>图5.5 病床硬件实物装配与控制盒内部布局</w:t>
      </w:r>
      <w:commentRangeEnd w:id="28"/>
      <w:r>
        <w:commentReference w:id="28"/>
      </w:r>
    </w:p>
    <w:p w14:paraId="05821AA0">
      <w:pPr>
        <w:pStyle w:val="4"/>
        <w:autoSpaceDE w:val="0"/>
        <w:autoSpaceDN w:val="0"/>
        <w:rPr>
          <w:rFonts w:hint="eastAsia" w:ascii="黑体" w:hAnsi="黑体" w:eastAsia="黑体"/>
          <w:sz w:val="28"/>
          <w:szCs w:val="28"/>
        </w:rPr>
      </w:pPr>
      <w:bookmarkStart w:id="29" w:name="_Toc224321337"/>
      <w:r>
        <w:t>5.1.6 作业成本（单位：元）</w:t>
      </w:r>
      <w:bookmarkEnd w:id="29"/>
    </w:p>
    <w:p w14:paraId="6B442DC3">
      <w:pPr>
        <w:autoSpaceDE w:val="0"/>
        <w:autoSpaceDN w:val="0"/>
        <w:spacing w:line="300" w:lineRule="auto"/>
        <w:ind w:firstLine="562" w:firstLineChars="200"/>
        <w:rPr>
          <w:rFonts w:hint="eastAsia" w:ascii="黑体" w:hAnsi="黑体" w:eastAsia="黑体"/>
          <w:sz w:val="28"/>
          <w:szCs w:val="28"/>
        </w:rPr>
      </w:pPr>
      <w:r>
        <w:rPr>
          <w:rFonts w:ascii="Times New Roman" w:hAnsi="Times New Roman" w:eastAsia="宋体" w:cs="Times New Roman"/>
          <w:b/>
          <w:bCs/>
          <w:color w:val="1F4E79"/>
          <w:sz w:val="28"/>
          <w:szCs w:val="28"/>
        </w:rPr>
        <w:t>核心硬件</w:t>
      </w:r>
    </w:p>
    <w:tbl>
      <w:tblPr>
        <w:tblStyle w:val="16"/>
        <w:tblW w:w="708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2400"/>
        <w:gridCol w:w="1000"/>
        <w:gridCol w:w="1487"/>
      </w:tblGrid>
      <w:tr w14:paraId="3E1A0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319C702D">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物料</w:t>
            </w:r>
          </w:p>
        </w:tc>
        <w:tc>
          <w:tcPr>
            <w:tcW w:w="24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59883C32">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型号</w:t>
            </w:r>
          </w:p>
        </w:tc>
        <w:tc>
          <w:tcPr>
            <w:tcW w:w="10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5A7A3FCD">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数量</w:t>
            </w:r>
          </w:p>
        </w:tc>
        <w:tc>
          <w:tcPr>
            <w:tcW w:w="1487"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1EEE7C0F">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单价（元）</w:t>
            </w:r>
          </w:p>
        </w:tc>
      </w:tr>
      <w:tr w14:paraId="68490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71BF2DA">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树莓派</w:t>
            </w:r>
          </w:p>
        </w:tc>
        <w:tc>
          <w:tcPr>
            <w:tcW w:w="24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5640386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4B 8GB</w:t>
            </w:r>
          </w:p>
        </w:tc>
        <w:tc>
          <w:tcPr>
            <w:tcW w:w="1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78C0FC37">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w:t>
            </w:r>
          </w:p>
        </w:tc>
        <w:tc>
          <w:tcPr>
            <w:tcW w:w="1487"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1E98D5A6">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350</w:t>
            </w:r>
          </w:p>
        </w:tc>
      </w:tr>
      <w:tr w14:paraId="5AD6C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536480C">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ESP32开发板</w:t>
            </w:r>
          </w:p>
        </w:tc>
        <w:tc>
          <w:tcPr>
            <w:tcW w:w="24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1E76D58B">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S3-N16R8 (USB-C)</w:t>
            </w:r>
          </w:p>
        </w:tc>
        <w:tc>
          <w:tcPr>
            <w:tcW w:w="1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4FEAFF86">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w:t>
            </w:r>
          </w:p>
        </w:tc>
        <w:tc>
          <w:tcPr>
            <w:tcW w:w="1487"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559A335">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45</w:t>
            </w:r>
          </w:p>
        </w:tc>
      </w:tr>
      <w:tr w14:paraId="050872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7DBB9D7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心率血氧传感器</w:t>
            </w:r>
          </w:p>
        </w:tc>
        <w:tc>
          <w:tcPr>
            <w:tcW w:w="24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2195EB0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MAX30102</w:t>
            </w:r>
          </w:p>
        </w:tc>
        <w:tc>
          <w:tcPr>
            <w:tcW w:w="1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F672A5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w:t>
            </w:r>
          </w:p>
        </w:tc>
        <w:tc>
          <w:tcPr>
            <w:tcW w:w="1487"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3D1070F">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15</w:t>
            </w:r>
          </w:p>
        </w:tc>
      </w:tr>
      <w:tr w14:paraId="1ADD6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3024922B">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红外测温传感器</w:t>
            </w:r>
          </w:p>
        </w:tc>
        <w:tc>
          <w:tcPr>
            <w:tcW w:w="24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608595C">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MLX90614 GY-906</w:t>
            </w:r>
          </w:p>
        </w:tc>
        <w:tc>
          <w:tcPr>
            <w:tcW w:w="1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958DAD1">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w:t>
            </w:r>
          </w:p>
        </w:tc>
        <w:tc>
          <w:tcPr>
            <w:tcW w:w="1487"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30CF46D7">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30</w:t>
            </w:r>
          </w:p>
        </w:tc>
      </w:tr>
      <w:tr w14:paraId="3448C1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9F04D3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六轴姿态传感器</w:t>
            </w:r>
          </w:p>
        </w:tc>
        <w:tc>
          <w:tcPr>
            <w:tcW w:w="24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52CF526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MPU6050 GY-521</w:t>
            </w:r>
          </w:p>
        </w:tc>
        <w:tc>
          <w:tcPr>
            <w:tcW w:w="1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769848CC">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w:t>
            </w:r>
          </w:p>
        </w:tc>
        <w:tc>
          <w:tcPr>
            <w:tcW w:w="1487"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4B2DBA16">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8</w:t>
            </w:r>
          </w:p>
        </w:tc>
      </w:tr>
      <w:tr w14:paraId="44FCF9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6625A803">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脉搏传感器</w:t>
            </w:r>
          </w:p>
        </w:tc>
        <w:tc>
          <w:tcPr>
            <w:tcW w:w="24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4DAB6E8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HK-2000B+</w:t>
            </w:r>
          </w:p>
        </w:tc>
        <w:tc>
          <w:tcPr>
            <w:tcW w:w="1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44BD13E7">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w:t>
            </w:r>
          </w:p>
        </w:tc>
        <w:tc>
          <w:tcPr>
            <w:tcW w:w="1487"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24B1685A">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35</w:t>
            </w:r>
          </w:p>
        </w:tc>
      </w:tr>
      <w:tr w14:paraId="3B4FDC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8001F33">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压力感应材料</w:t>
            </w:r>
          </w:p>
        </w:tc>
        <w:tc>
          <w:tcPr>
            <w:tcW w:w="24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77B9BF57">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Velostat 30×30cm</w:t>
            </w:r>
          </w:p>
        </w:tc>
        <w:tc>
          <w:tcPr>
            <w:tcW w:w="1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2BEE685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w:t>
            </w:r>
          </w:p>
        </w:tc>
        <w:tc>
          <w:tcPr>
            <w:tcW w:w="1487"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74249AB4">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25</w:t>
            </w:r>
          </w:p>
        </w:tc>
      </w:tr>
      <w:tr w14:paraId="0AAF5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1D7B186">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多路复用器</w:t>
            </w:r>
          </w:p>
        </w:tc>
        <w:tc>
          <w:tcPr>
            <w:tcW w:w="24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4AC2027F">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CD74HC4051</w:t>
            </w:r>
          </w:p>
        </w:tc>
        <w:tc>
          <w:tcPr>
            <w:tcW w:w="1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FE6B16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2</w:t>
            </w:r>
          </w:p>
        </w:tc>
        <w:tc>
          <w:tcPr>
            <w:tcW w:w="1487"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2030C983">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6</w:t>
            </w:r>
          </w:p>
        </w:tc>
      </w:tr>
    </w:tbl>
    <w:p w14:paraId="044A2DE9">
      <w:pPr>
        <w:autoSpaceDE w:val="0"/>
        <w:autoSpaceDN w:val="0"/>
        <w:rPr>
          <w:rFonts w:hint="eastAsia"/>
        </w:rPr>
      </w:pPr>
    </w:p>
    <w:p w14:paraId="2CD00595">
      <w:pPr>
        <w:autoSpaceDE w:val="0"/>
        <w:autoSpaceDN w:val="0"/>
        <w:spacing w:line="300" w:lineRule="auto"/>
        <w:ind w:firstLine="562" w:firstLineChars="200"/>
        <w:rPr>
          <w:rFonts w:hint="eastAsia" w:ascii="黑体" w:hAnsi="黑体" w:eastAsia="黑体"/>
          <w:sz w:val="28"/>
          <w:szCs w:val="28"/>
        </w:rPr>
      </w:pPr>
      <w:r>
        <w:rPr>
          <w:rFonts w:ascii="Times New Roman" w:hAnsi="Times New Roman" w:eastAsia="宋体" w:cs="Times New Roman"/>
          <w:b/>
          <w:bCs/>
          <w:color w:val="1F4E79"/>
          <w:sz w:val="28"/>
          <w:szCs w:val="28"/>
        </w:rPr>
        <w:t>导航与运动</w:t>
      </w:r>
    </w:p>
    <w:tbl>
      <w:tblPr>
        <w:tblStyle w:val="16"/>
        <w:tblW w:w="708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2400"/>
        <w:gridCol w:w="1000"/>
        <w:gridCol w:w="1487"/>
      </w:tblGrid>
      <w:tr w14:paraId="7E88F1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4372F8F9">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物料</w:t>
            </w:r>
          </w:p>
        </w:tc>
        <w:tc>
          <w:tcPr>
            <w:tcW w:w="24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2CC64C1D">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型号</w:t>
            </w:r>
          </w:p>
        </w:tc>
        <w:tc>
          <w:tcPr>
            <w:tcW w:w="10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4E62BE57">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数量</w:t>
            </w:r>
          </w:p>
        </w:tc>
        <w:tc>
          <w:tcPr>
            <w:tcW w:w="1487"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3D2CE639">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单价（元）</w:t>
            </w:r>
          </w:p>
        </w:tc>
      </w:tr>
      <w:tr w14:paraId="1D38C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6AB3815">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小车底盘</w:t>
            </w:r>
          </w:p>
        </w:tc>
        <w:tc>
          <w:tcPr>
            <w:tcW w:w="24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5193624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4WD TT马达</w:t>
            </w:r>
          </w:p>
        </w:tc>
        <w:tc>
          <w:tcPr>
            <w:tcW w:w="1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1E2D55A5">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w:t>
            </w:r>
          </w:p>
        </w:tc>
        <w:tc>
          <w:tcPr>
            <w:tcW w:w="1487"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4C3B625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60</w:t>
            </w:r>
          </w:p>
        </w:tc>
      </w:tr>
      <w:tr w14:paraId="327B4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274924C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电机驱动</w:t>
            </w:r>
          </w:p>
        </w:tc>
        <w:tc>
          <w:tcPr>
            <w:tcW w:w="24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3C15B1A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L298N双H桥</w:t>
            </w:r>
          </w:p>
        </w:tc>
        <w:tc>
          <w:tcPr>
            <w:tcW w:w="1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274C2935">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2</w:t>
            </w:r>
          </w:p>
        </w:tc>
        <w:tc>
          <w:tcPr>
            <w:tcW w:w="1487"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2FD5A72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20</w:t>
            </w:r>
          </w:p>
        </w:tc>
      </w:tr>
      <w:tr w14:paraId="5C976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ECA4EBB">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循迹模块</w:t>
            </w:r>
          </w:p>
        </w:tc>
        <w:tc>
          <w:tcPr>
            <w:tcW w:w="24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723B23F0">
            <w:pPr>
              <w:autoSpaceDE w:val="0"/>
              <w:autoSpaceDN w:val="0"/>
              <w:jc w:val="center"/>
              <w:rPr>
                <w:rFonts w:hint="eastAsia" w:ascii="宋体" w:hAnsi="宋体" w:eastAsia="宋体"/>
                <w:sz w:val="24"/>
                <w:szCs w:val="24"/>
              </w:rPr>
            </w:pPr>
            <w:r>
              <w:rPr>
                <w:rFonts w:ascii="Times New Roman" w:hAnsi="Times New Roman" w:eastAsia="宋体"/>
                <w:sz w:val="24"/>
              </w:rPr>
              <w:t>5路TCRT5000（启用3路）</w:t>
            </w:r>
          </w:p>
        </w:tc>
        <w:tc>
          <w:tcPr>
            <w:tcW w:w="1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1DE9D61">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w:t>
            </w:r>
          </w:p>
        </w:tc>
        <w:tc>
          <w:tcPr>
            <w:tcW w:w="1487"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448815C">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15</w:t>
            </w:r>
          </w:p>
        </w:tc>
      </w:tr>
      <w:tr w14:paraId="401F02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3785A587">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超声波传感器</w:t>
            </w:r>
          </w:p>
        </w:tc>
        <w:tc>
          <w:tcPr>
            <w:tcW w:w="24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1D2BF194">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HC-SR04</w:t>
            </w:r>
          </w:p>
        </w:tc>
        <w:tc>
          <w:tcPr>
            <w:tcW w:w="1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39DF83D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3</w:t>
            </w:r>
          </w:p>
        </w:tc>
        <w:tc>
          <w:tcPr>
            <w:tcW w:w="1487"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4ED0ECF3">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15</w:t>
            </w:r>
          </w:p>
        </w:tc>
      </w:tr>
      <w:tr w14:paraId="0CA69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09F0D36">
            <w:pPr>
              <w:autoSpaceDE w:val="0"/>
              <w:autoSpaceDN w:val="0"/>
              <w:jc w:val="center"/>
              <w:rPr>
                <w:rFonts w:hint="eastAsia" w:ascii="宋体" w:hAnsi="宋体" w:eastAsia="宋体"/>
                <w:sz w:val="24"/>
                <w:szCs w:val="24"/>
              </w:rPr>
            </w:pPr>
            <w:r>
              <w:rPr>
                <w:rFonts w:ascii="Times New Roman" w:hAnsi="Times New Roman" w:eastAsia="宋体"/>
                <w:sz w:val="24"/>
              </w:rPr>
              <w:t>RFID模块+白卡（备用）</w:t>
            </w:r>
          </w:p>
        </w:tc>
        <w:tc>
          <w:tcPr>
            <w:tcW w:w="24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70CA8B95">
            <w:pPr>
              <w:autoSpaceDE w:val="0"/>
              <w:autoSpaceDN w:val="0"/>
              <w:jc w:val="center"/>
              <w:rPr>
                <w:rFonts w:hint="eastAsia" w:ascii="宋体" w:hAnsi="宋体" w:eastAsia="宋体"/>
                <w:sz w:val="24"/>
                <w:szCs w:val="24"/>
              </w:rPr>
            </w:pPr>
            <w:r>
              <w:rPr>
                <w:rFonts w:ascii="Times New Roman" w:hAnsi="Times New Roman" w:eastAsia="宋体"/>
                <w:sz w:val="24"/>
              </w:rPr>
              <w:t>NearLink Hi3863锚点×3+标签</w:t>
            </w:r>
          </w:p>
        </w:tc>
        <w:tc>
          <w:tcPr>
            <w:tcW w:w="1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2559D176">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1套</w:t>
            </w:r>
          </w:p>
        </w:tc>
        <w:tc>
          <w:tcPr>
            <w:tcW w:w="1487"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1C56454">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20</w:t>
            </w:r>
          </w:p>
        </w:tc>
      </w:tr>
      <w:tr w14:paraId="09001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6CFFA25A">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电动推杆</w:t>
            </w:r>
          </w:p>
        </w:tc>
        <w:tc>
          <w:tcPr>
            <w:tcW w:w="24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26045817">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12V 150mm</w:t>
            </w:r>
          </w:p>
        </w:tc>
        <w:tc>
          <w:tcPr>
            <w:tcW w:w="1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FB4293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w:t>
            </w:r>
          </w:p>
        </w:tc>
        <w:tc>
          <w:tcPr>
            <w:tcW w:w="1487"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D9E3266">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65</w:t>
            </w:r>
          </w:p>
        </w:tc>
      </w:tr>
    </w:tbl>
    <w:p w14:paraId="63DED794">
      <w:pPr>
        <w:autoSpaceDE w:val="0"/>
        <w:autoSpaceDN w:val="0"/>
        <w:rPr>
          <w:rFonts w:hint="eastAsia"/>
        </w:rPr>
      </w:pPr>
    </w:p>
    <w:p w14:paraId="77013CAD">
      <w:pPr>
        <w:autoSpaceDE w:val="0"/>
        <w:autoSpaceDN w:val="0"/>
        <w:spacing w:line="300" w:lineRule="auto"/>
        <w:ind w:firstLine="562" w:firstLineChars="200"/>
        <w:rPr>
          <w:rFonts w:hint="eastAsia" w:ascii="黑体" w:hAnsi="黑体" w:eastAsia="黑体"/>
          <w:sz w:val="28"/>
          <w:szCs w:val="28"/>
        </w:rPr>
      </w:pPr>
      <w:r>
        <w:rPr>
          <w:rFonts w:ascii="Times New Roman" w:hAnsi="Times New Roman" w:eastAsia="宋体" w:cs="Times New Roman"/>
          <w:b/>
          <w:bCs/>
          <w:color w:val="1F4E79"/>
          <w:sz w:val="28"/>
          <w:szCs w:val="28"/>
        </w:rPr>
        <w:t>交互与显示</w:t>
      </w:r>
    </w:p>
    <w:tbl>
      <w:tblPr>
        <w:tblStyle w:val="16"/>
        <w:tblW w:w="708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2400"/>
        <w:gridCol w:w="1000"/>
        <w:gridCol w:w="1487"/>
      </w:tblGrid>
      <w:tr w14:paraId="30C866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0581B8FB">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物料</w:t>
            </w:r>
          </w:p>
        </w:tc>
        <w:tc>
          <w:tcPr>
            <w:tcW w:w="24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5CA219AC">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型号</w:t>
            </w:r>
          </w:p>
        </w:tc>
        <w:tc>
          <w:tcPr>
            <w:tcW w:w="10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51BFC6EE">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数量</w:t>
            </w:r>
          </w:p>
        </w:tc>
        <w:tc>
          <w:tcPr>
            <w:tcW w:w="1487"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453F846F">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单价（元）</w:t>
            </w:r>
          </w:p>
        </w:tc>
      </w:tr>
      <w:tr w14:paraId="13826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130B3DE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摄像头</w:t>
            </w:r>
          </w:p>
        </w:tc>
        <w:tc>
          <w:tcPr>
            <w:tcW w:w="24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151702D">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CSI V2</w:t>
            </w:r>
          </w:p>
        </w:tc>
        <w:tc>
          <w:tcPr>
            <w:tcW w:w="1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1C4931DC">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w:t>
            </w:r>
          </w:p>
        </w:tc>
        <w:tc>
          <w:tcPr>
            <w:tcW w:w="1487"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F0A91A6">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30</w:t>
            </w:r>
          </w:p>
        </w:tc>
      </w:tr>
      <w:tr w14:paraId="30FA9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CBBC81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LCD屏</w:t>
            </w:r>
          </w:p>
        </w:tc>
        <w:tc>
          <w:tcPr>
            <w:tcW w:w="24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1AF8D9ED">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3.5寸SPI TFT</w:t>
            </w:r>
          </w:p>
        </w:tc>
        <w:tc>
          <w:tcPr>
            <w:tcW w:w="1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7CD275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w:t>
            </w:r>
          </w:p>
        </w:tc>
        <w:tc>
          <w:tcPr>
            <w:tcW w:w="1487"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746A66E7">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45</w:t>
            </w:r>
          </w:p>
        </w:tc>
      </w:tr>
      <w:tr w14:paraId="63416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19962B03">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USB麦克风</w:t>
            </w:r>
          </w:p>
        </w:tc>
        <w:tc>
          <w:tcPr>
            <w:tcW w:w="24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0FCCE2F">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免驱</w:t>
            </w:r>
          </w:p>
        </w:tc>
        <w:tc>
          <w:tcPr>
            <w:tcW w:w="1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D7EAE7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w:t>
            </w:r>
          </w:p>
        </w:tc>
        <w:tc>
          <w:tcPr>
            <w:tcW w:w="1487"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2FF84A26">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20</w:t>
            </w:r>
          </w:p>
        </w:tc>
      </w:tr>
      <w:tr w14:paraId="33D99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F0FB08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功放+喇叭</w:t>
            </w:r>
          </w:p>
        </w:tc>
        <w:tc>
          <w:tcPr>
            <w:tcW w:w="24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77F3667B">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PAM8403 + 3W</w:t>
            </w:r>
          </w:p>
        </w:tc>
        <w:tc>
          <w:tcPr>
            <w:tcW w:w="1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4FAF752B">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1套</w:t>
            </w:r>
          </w:p>
        </w:tc>
        <w:tc>
          <w:tcPr>
            <w:tcW w:w="1487"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192ECF76">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15</w:t>
            </w:r>
          </w:p>
        </w:tc>
      </w:tr>
    </w:tbl>
    <w:p w14:paraId="3D90BF26">
      <w:pPr>
        <w:autoSpaceDE w:val="0"/>
        <w:autoSpaceDN w:val="0"/>
        <w:rPr>
          <w:rFonts w:hint="eastAsia"/>
        </w:rPr>
      </w:pPr>
    </w:p>
    <w:p w14:paraId="7501F203">
      <w:pPr>
        <w:autoSpaceDE w:val="0"/>
        <w:autoSpaceDN w:val="0"/>
        <w:spacing w:line="300" w:lineRule="auto"/>
        <w:ind w:firstLine="482" w:firstLineChars="200"/>
        <w:jc w:val="both"/>
        <w:rPr>
          <w:rFonts w:hint="eastAsia" w:ascii="宋体" w:hAnsi="宋体" w:eastAsia="宋体"/>
          <w:sz w:val="24"/>
          <w:szCs w:val="24"/>
        </w:rPr>
      </w:pPr>
      <w:r>
        <w:rPr>
          <w:rFonts w:ascii="Times New Roman" w:hAnsi="Times New Roman" w:eastAsia="宋体" w:cs="Times New Roman"/>
          <w:b/>
          <w:bCs/>
          <w:sz w:val="24"/>
          <w:szCs w:val="24"/>
        </w:rPr>
        <w:t>预估总成本：约900元（含运费及杂项线材配件）。</w:t>
      </w:r>
    </w:p>
    <w:p w14:paraId="66AE5BCB">
      <w:pPr>
        <w:pStyle w:val="4"/>
        <w:autoSpaceDE w:val="0"/>
        <w:autoSpaceDN w:val="0"/>
        <w:rPr>
          <w:rFonts w:hint="eastAsia"/>
        </w:rPr>
      </w:pPr>
      <w:bookmarkStart w:id="30" w:name="_Toc224321338"/>
      <w:r>
        <w:t>5.1.7 项目统计</w:t>
      </w:r>
      <w:bookmarkEnd w:id="30"/>
    </w:p>
    <w:tbl>
      <w:tblPr>
        <w:tblStyle w:val="16"/>
        <w:tblW w:w="90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761"/>
        <w:gridCol w:w="6239"/>
      </w:tblGrid>
      <w:tr w14:paraId="2598C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0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4A045A94">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维度</w:t>
            </w:r>
          </w:p>
        </w:tc>
        <w:tc>
          <w:tcPr>
            <w:tcW w:w="60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2413C5D2">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数量</w:t>
            </w:r>
          </w:p>
        </w:tc>
      </w:tr>
      <w:tr w14:paraId="45655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71D322C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后端API路由模块</w:t>
            </w:r>
          </w:p>
        </w:tc>
        <w:tc>
          <w:tcPr>
            <w:tcW w:w="6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4BE904A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8个（auth/patients/vitals/reports/alerts/agents/voice/pressure）</w:t>
            </w:r>
          </w:p>
        </w:tc>
      </w:tr>
      <w:tr w14:paraId="549CA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B66171F">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数据库表</w:t>
            </w:r>
          </w:p>
        </w:tc>
        <w:tc>
          <w:tcPr>
            <w:tcW w:w="6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7691DB72">
            <w:pPr>
              <w:autoSpaceDE w:val="0"/>
              <w:autoSpaceDN w:val="0"/>
              <w:jc w:val="center"/>
              <w:rPr>
                <w:rFonts w:hint="eastAsia" w:ascii="宋体" w:hAnsi="宋体" w:eastAsia="宋体"/>
                <w:sz w:val="24"/>
                <w:szCs w:val="24"/>
              </w:rPr>
            </w:pPr>
            <w:r>
              <w:rPr>
                <w:rFonts w:ascii="Times New Roman" w:hAnsi="Times New Roman" w:eastAsia="宋体"/>
                <w:sz w:val="24"/>
              </w:rPr>
              <w:t>12张 + 9个性能索引</w:t>
            </w:r>
          </w:p>
        </w:tc>
      </w:tr>
      <w:tr w14:paraId="53B6F8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18B76F53">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前端页面</w:t>
            </w:r>
          </w:p>
        </w:tc>
        <w:tc>
          <w:tcPr>
            <w:tcW w:w="6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503671C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8个（login/index/dashboard/reports/alerts/records/voice/family）</w:t>
            </w:r>
          </w:p>
        </w:tc>
      </w:tr>
      <w:tr w14:paraId="144F4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2D6AAB64">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树莓派Python模块</w:t>
            </w:r>
          </w:p>
        </w:tc>
        <w:tc>
          <w:tcPr>
            <w:tcW w:w="6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703DF790">
            <w:pPr>
              <w:autoSpaceDE w:val="0"/>
              <w:autoSpaceDN w:val="0"/>
              <w:jc w:val="center"/>
              <w:rPr>
                <w:rFonts w:hint="eastAsia" w:ascii="宋体" w:hAnsi="宋体" w:eastAsia="宋体"/>
                <w:sz w:val="24"/>
                <w:szCs w:val="24"/>
              </w:rPr>
            </w:pPr>
            <w:r>
              <w:rPr>
                <w:rFonts w:ascii="Times New Roman" w:hAnsi="Times New Roman" w:eastAsia="宋体"/>
                <w:sz w:val="24"/>
              </w:rPr>
              <w:t>14个（主控/桥接/AI/导航/电机/避障/星闪定位/推杆/摄像头/LCD/语音/遥控/配置）</w:t>
            </w:r>
          </w:p>
        </w:tc>
      </w:tr>
      <w:tr w14:paraId="241583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F5D074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ESP32 C++源文件</w:t>
            </w:r>
          </w:p>
        </w:tc>
        <w:tc>
          <w:tcPr>
            <w:tcW w:w="6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EED63AB">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8个（主程序/MQTT/5种传感器驱动/配置）</w:t>
            </w:r>
          </w:p>
        </w:tc>
      </w:tr>
      <w:tr w14:paraId="07361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685E7F4C">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AI Agent配置</w:t>
            </w:r>
          </w:p>
        </w:tc>
        <w:tc>
          <w:tcPr>
            <w:tcW w:w="6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C467D0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5种专科（截瘫/糖尿病/中风/COPD/通用）</w:t>
            </w:r>
          </w:p>
        </w:tc>
      </w:tr>
      <w:tr w14:paraId="63D7D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41E3C68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API接口总数</w:t>
            </w:r>
          </w:p>
        </w:tc>
        <w:tc>
          <w:tcPr>
            <w:tcW w:w="6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5A43531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20+个RESTful端点</w:t>
            </w:r>
          </w:p>
        </w:tc>
      </w:tr>
      <w:tr w14:paraId="6E4DEF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6AB346D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外部AI服务集成</w:t>
            </w:r>
          </w:p>
        </w:tc>
        <w:tc>
          <w:tcPr>
            <w:tcW w:w="6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7AB0DE5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3个（Kimi K3 / TeleSpeechASR / CosyVoice2）</w:t>
            </w:r>
          </w:p>
        </w:tc>
      </w:tr>
      <w:tr w14:paraId="720AC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EEB75CC">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传感器种类</w:t>
            </w:r>
          </w:p>
        </w:tc>
        <w:tc>
          <w:tcPr>
            <w:tcW w:w="6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A12E5E7">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6类（心率血氧/测温/姿态/压力矩阵/脉搏/摄像头）</w:t>
            </w:r>
          </w:p>
        </w:tc>
      </w:tr>
    </w:tbl>
    <w:p w14:paraId="22121CF2">
      <w:pPr>
        <w:autoSpaceDE w:val="0"/>
        <w:autoSpaceDN w:val="0"/>
        <w:rPr>
          <w:rFonts w:hint="eastAsia"/>
        </w:rPr>
      </w:pPr>
    </w:p>
    <w:p w14:paraId="2BED415D">
      <w:pPr>
        <w:pStyle w:val="3"/>
        <w:autoSpaceDE w:val="0"/>
        <w:autoSpaceDN w:val="0"/>
        <w:rPr>
          <w:rFonts w:hint="eastAsia"/>
        </w:rPr>
      </w:pPr>
      <w:bookmarkStart w:id="31" w:name="_Toc224321339"/>
      <w:r>
        <w:t>5.2 安全设计</w:t>
      </w:r>
      <w:bookmarkEnd w:id="31"/>
    </w:p>
    <w:p w14:paraId="47F15145">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系统在多个层面实施了安全防护措施，确保患者数据的机密性、完整性和可用性。</w:t>
      </w:r>
    </w:p>
    <w:p w14:paraId="7C9E1258">
      <w:pPr>
        <w:autoSpaceDE w:val="0"/>
        <w:autoSpaceDN w:val="0"/>
        <w:spacing w:line="300" w:lineRule="auto"/>
        <w:ind w:firstLine="562" w:firstLineChars="200"/>
        <w:rPr>
          <w:rFonts w:ascii="Times New Roman" w:hAnsi="Times New Roman" w:eastAsia="黑体" w:cs="Times New Roman"/>
          <w:b/>
          <w:bCs/>
          <w:color w:val="1F4E79"/>
          <w:sz w:val="28"/>
          <w:szCs w:val="28"/>
        </w:rPr>
      </w:pPr>
      <w:r>
        <w:rPr>
          <w:rFonts w:ascii="Times New Roman" w:hAnsi="Times New Roman" w:eastAsia="宋体" w:cs="Times New Roman"/>
          <w:b/>
          <w:bCs/>
          <w:color w:val="1F4E79"/>
          <w:sz w:val="28"/>
          <w:szCs w:val="28"/>
        </w:rPr>
        <w:t>区块链数据完整性保障</w:t>
      </w:r>
    </w:p>
    <w:p w14:paraId="5732BFCA">
      <w:pPr>
        <w:autoSpaceDE w:val="0"/>
        <w:autoSpaceDN w:val="0"/>
        <w:spacing w:line="300" w:lineRule="auto"/>
        <w:ind w:firstLine="480" w:firstLineChars="200"/>
        <w:jc w:val="both"/>
        <w:rPr>
          <w:rFonts w:ascii="Times New Roman" w:hAnsi="Times New Roman" w:eastAsia="宋体" w:cs="Times New Roman"/>
          <w:sz w:val="24"/>
          <w:szCs w:val="24"/>
        </w:rPr>
      </w:pPr>
      <w:r>
        <w:rPr>
          <w:rFonts w:ascii="Times New Roman" w:hAnsi="Times New Roman" w:eastAsia="宋体" w:cs="Times New Roman"/>
          <w:sz w:val="24"/>
          <w:szCs w:val="24"/>
        </w:rPr>
        <w:t>系统通过轻量级区块链模块为健康数据提供不可篡改的存证保障。每个体征记录、告警事件和AI分析报告均以SHA-256摘要形式写入链式哈希结构，任何对历史数据的修改都会导致后续区块的哈希校验失败。工作量证明（PoW）机制进一步增加了伪造成本。区块链验证接口可随时审计完整数据链的一致性，为医疗纠纷提供可信的电子证据。</w:t>
      </w:r>
    </w:p>
    <w:p w14:paraId="50F4921B">
      <w:pPr>
        <w:autoSpaceDE w:val="0"/>
        <w:autoSpaceDN w:val="0"/>
        <w:spacing w:line="300" w:lineRule="auto"/>
        <w:ind w:firstLine="562" w:firstLineChars="200"/>
        <w:rPr>
          <w:rFonts w:ascii="Times New Roman" w:hAnsi="Times New Roman" w:eastAsia="黑体" w:cs="Times New Roman"/>
          <w:b/>
          <w:bCs/>
          <w:color w:val="1F4E79"/>
          <w:sz w:val="28"/>
          <w:szCs w:val="28"/>
        </w:rPr>
      </w:pPr>
      <w:r>
        <w:rPr>
          <w:rFonts w:ascii="Times New Roman" w:hAnsi="Times New Roman" w:eastAsia="宋体" w:cs="Times New Roman"/>
          <w:b/>
          <w:bCs/>
          <w:color w:val="1F4E79"/>
          <w:sz w:val="28"/>
          <w:szCs w:val="28"/>
        </w:rPr>
        <w:t>联邦学习隐私计算</w:t>
      </w:r>
    </w:p>
    <w:p w14:paraId="5195FAF6">
      <w:pPr>
        <w:autoSpaceDE w:val="0"/>
        <w:autoSpaceDN w:val="0"/>
        <w:spacing w:line="300" w:lineRule="auto"/>
        <w:ind w:firstLine="480" w:firstLineChars="200"/>
        <w:jc w:val="both"/>
        <w:rPr>
          <w:rFonts w:ascii="Times New Roman" w:hAnsi="Times New Roman" w:eastAsia="宋体" w:cs="Times New Roman"/>
          <w:sz w:val="24"/>
          <w:szCs w:val="24"/>
        </w:rPr>
      </w:pPr>
      <w:r>
        <w:rPr>
          <w:rFonts w:ascii="Times New Roman" w:hAnsi="Times New Roman" w:eastAsia="宋体" w:cs="Times New Roman"/>
          <w:sz w:val="24"/>
          <w:szCs w:val="24"/>
        </w:rPr>
        <w:t>在多床位协作训练场景中，联邦学习模块确保原始患者数据始终不离开本地边缘设备。模型权重差值在上传前添加校准高斯噪声（差分隐私ε=2.0），即使服务器被攻破也无法从聚合梯度中反推出任何单个患者的压力分布特征。该设计符合《个人信息保护法》和HIPAA对健康数据处理的要求。</w:t>
      </w:r>
    </w:p>
    <w:p w14:paraId="01C99174">
      <w:pPr>
        <w:autoSpaceDE w:val="0"/>
        <w:autoSpaceDN w:val="0"/>
        <w:spacing w:line="300" w:lineRule="auto"/>
        <w:ind w:firstLine="562" w:firstLineChars="200"/>
        <w:rPr>
          <w:rFonts w:ascii="Times New Roman" w:hAnsi="Times New Roman" w:eastAsia="黑体" w:cs="Times New Roman"/>
          <w:b/>
          <w:bCs/>
          <w:color w:val="1F4E79"/>
          <w:sz w:val="28"/>
          <w:szCs w:val="28"/>
        </w:rPr>
      </w:pPr>
      <w:r>
        <w:rPr>
          <w:rFonts w:ascii="Times New Roman" w:hAnsi="Times New Roman" w:eastAsia="宋体" w:cs="Times New Roman"/>
          <w:b/>
          <w:bCs/>
          <w:color w:val="1F4E79"/>
          <w:sz w:val="28"/>
          <w:szCs w:val="28"/>
        </w:rPr>
        <w:t>IoTDA云端安全</w:t>
      </w:r>
    </w:p>
    <w:p w14:paraId="2CDDB9B4">
      <w:pPr>
        <w:autoSpaceDE w:val="0"/>
        <w:autoSpaceDN w:val="0"/>
        <w:spacing w:line="300" w:lineRule="auto"/>
        <w:ind w:firstLine="480" w:firstLineChars="200"/>
        <w:jc w:val="both"/>
        <w:rPr>
          <w:rFonts w:ascii="Times New Roman" w:hAnsi="Times New Roman" w:eastAsia="宋体" w:cs="Times New Roman"/>
          <w:sz w:val="24"/>
          <w:szCs w:val="24"/>
        </w:rPr>
      </w:pPr>
      <w:r>
        <w:rPr>
          <w:rFonts w:ascii="Times New Roman" w:hAnsi="Times New Roman" w:eastAsia="宋体" w:cs="Times New Roman"/>
          <w:sz w:val="24"/>
          <w:szCs w:val="24"/>
        </w:rPr>
        <w:t>华为云IoTDA接入采用MQTTS（TLS 1.2加密传输）和HMAC-SHA256设备密钥认证，确保设备身份不可伪造、传输数据不可窃听。IoTDA平台的设备影子和命令下发功能均经过华为云安全认证体系的审核。</w:t>
      </w:r>
    </w:p>
    <w:p w14:paraId="5129E876">
      <w:pPr>
        <w:jc w:val="center"/>
        <w:rPr>
          <w:rFonts w:hint="eastAsia"/>
        </w:rPr>
      </w:pPr>
      <w:r>
        <w:rPr>
          <w:rFonts w:ascii="Times New Roman" w:hAnsi="Times New Roman" w:eastAsia="宋体"/>
          <w:sz w:val="24"/>
        </w:rPr>
        <w:t>(此处插入安全体系架构图，含JWT + 区块链 + 联邦学习DP + IoTDA TLS四层安全)</w:t>
      </w:r>
    </w:p>
    <w:p w14:paraId="4FC7DEF1">
      <w:pPr>
        <w:jc w:val="center"/>
        <w:rPr>
          <w:rFonts w:hint="eastAsia"/>
        </w:rPr>
      </w:pPr>
      <w:commentRangeStart w:id="29"/>
      <w:r>
        <w:rPr>
          <w:rFonts w:ascii="楷体" w:hAnsi="楷体" w:eastAsia="楷体"/>
          <w:b/>
          <w:sz w:val="22"/>
        </w:rPr>
        <w:t>图6.1 多层安全体系架构（JWT/区块链/差分隐私/TLS）</w:t>
      </w:r>
    </w:p>
    <w:p w14:paraId="0FC79EA8">
      <w:pPr>
        <w:jc w:val="center"/>
        <w:rPr>
          <w:rFonts w:hint="eastAsia"/>
        </w:rPr>
      </w:pPr>
      <w:r>
        <w:rPr>
          <w:rFonts w:ascii="Times New Roman" w:hAnsi="Times New Roman" w:eastAsia="宋体" w:cs="Times New Roman"/>
          <w:i/>
          <w:color w:val="808080"/>
          <w:sz w:val="24"/>
        </w:rPr>
        <w:t>(此处插入安全架构图)</w:t>
      </w:r>
    </w:p>
    <w:p w14:paraId="781E5DA8">
      <w:pPr>
        <w:jc w:val="center"/>
        <w:rPr>
          <w:rFonts w:hint="eastAsia"/>
        </w:rPr>
      </w:pPr>
      <w:r>
        <w:rPr>
          <w:rFonts w:ascii="楷体" w:hAnsi="楷体" w:eastAsia="楷体" w:cs="Times New Roman"/>
          <w:b/>
          <w:sz w:val="22"/>
        </w:rPr>
        <w:t>图6.2 多层安全防护体系架构图</w:t>
      </w:r>
      <w:commentRangeEnd w:id="29"/>
      <w:r>
        <w:commentReference w:id="29"/>
      </w:r>
    </w:p>
    <w:p w14:paraId="3FFBF2F0">
      <w:pPr>
        <w:autoSpaceDE w:val="0"/>
        <w:autoSpaceDN w:val="0"/>
        <w:rPr>
          <w:rFonts w:hint="eastAsia"/>
        </w:rPr>
      </w:pPr>
    </w:p>
    <w:tbl>
      <w:tblPr>
        <w:tblStyle w:val="16"/>
        <w:tblW w:w="90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00"/>
        <w:gridCol w:w="6500"/>
      </w:tblGrid>
      <w:tr w14:paraId="0F148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5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3FA3B33C">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安全层级</w:t>
            </w:r>
          </w:p>
        </w:tc>
        <w:tc>
          <w:tcPr>
            <w:tcW w:w="65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061FDAAB">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具体措施</w:t>
            </w:r>
          </w:p>
        </w:tc>
      </w:tr>
      <w:tr w14:paraId="01801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5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2241C5A7">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用户认证</w:t>
            </w:r>
          </w:p>
        </w:tc>
        <w:tc>
          <w:tcPr>
            <w:tcW w:w="65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5048520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bcrypt密码哈希（salt rounds=10） + JWT令牌（有效期24h）</w:t>
            </w:r>
          </w:p>
        </w:tc>
      </w:tr>
      <w:tr w14:paraId="1282F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5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28FAEBD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设备认证</w:t>
            </w:r>
          </w:p>
        </w:tc>
        <w:tc>
          <w:tcPr>
            <w:tcW w:w="65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3D376DFB">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X-API-Key / X-Device-Key请求头验证，与用户JWT认证独立</w:t>
            </w:r>
          </w:p>
        </w:tc>
      </w:tr>
      <w:tr w14:paraId="29963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5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4617F9D6">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权限控制</w:t>
            </w:r>
          </w:p>
        </w:tc>
        <w:tc>
          <w:tcPr>
            <w:tcW w:w="65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20D86B3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基于角色的访问控制（RBAC），4种角色差异化权限</w:t>
            </w:r>
          </w:p>
        </w:tc>
      </w:tr>
      <w:tr w14:paraId="022E91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5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2401F57">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数据传输</w:t>
            </w:r>
          </w:p>
        </w:tc>
        <w:tc>
          <w:tcPr>
            <w:tcW w:w="65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70FF034D">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Nginx SSL终结，全站HTTPS加密</w:t>
            </w:r>
          </w:p>
        </w:tc>
      </w:tr>
      <w:tr w14:paraId="5A211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5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4F99FEAA">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数据存储</w:t>
            </w:r>
          </w:p>
        </w:tc>
        <w:tc>
          <w:tcPr>
            <w:tcW w:w="65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1CB9507">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SQLite外键约束 + CHECK约束，WAL模式防写冲突</w:t>
            </w:r>
          </w:p>
        </w:tc>
      </w:tr>
      <w:tr w14:paraId="1A2A2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5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41E857F8">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文件上传</w:t>
            </w:r>
          </w:p>
        </w:tc>
        <w:tc>
          <w:tcPr>
            <w:tcW w:w="65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983A3A8">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Multer中间件限制50MB，自动清理临时文件</w:t>
            </w:r>
          </w:p>
        </w:tc>
      </w:tr>
      <w:tr w14:paraId="38B03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5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5D27D8A3">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错误处理</w:t>
            </w:r>
          </w:p>
        </w:tc>
        <w:tc>
          <w:tcPr>
            <w:tcW w:w="65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5CAECB0A">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全局错误中间件，统一中文错误消息格式</w:t>
            </w:r>
          </w:p>
        </w:tc>
      </w:tr>
      <w:tr w14:paraId="772386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5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B8A135F">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进程管理</w:t>
            </w:r>
          </w:p>
        </w:tc>
        <w:tc>
          <w:tcPr>
            <w:tcW w:w="65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B160751">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PM2自动重启+日志管理，集群模式提升可用性</w:t>
            </w:r>
          </w:p>
        </w:tc>
      </w:tr>
    </w:tbl>
    <w:p w14:paraId="28DEEDFF">
      <w:pPr>
        <w:autoSpaceDE w:val="0"/>
        <w:autoSpaceDN w:val="0"/>
        <w:rPr>
          <w:rFonts w:hint="eastAsia"/>
        </w:rPr>
      </w:pPr>
    </w:p>
    <w:p w14:paraId="0B5D297B">
      <w:pPr>
        <w:pStyle w:val="2"/>
        <w:autoSpaceDE w:val="0"/>
        <w:autoSpaceDN w:val="0"/>
        <w:rPr>
          <w:rFonts w:hint="eastAsia" w:ascii="黑体" w:hAnsi="黑体" w:eastAsia="黑体"/>
        </w:rPr>
      </w:pPr>
      <w:bookmarkStart w:id="32" w:name="_Toc224321340"/>
      <w:r>
        <w:t>参考文献</w:t>
      </w:r>
      <w:bookmarkEnd w:id="32"/>
    </w:p>
    <w:p w14:paraId="100CFEFF">
      <w:pPr>
        <w:spacing w:line="300" w:lineRule="auto"/>
        <w:rPr>
          <w:rFonts w:ascii="Times New Roman" w:hAnsi="Times New Roman" w:cs="Times New Roman"/>
          <w:sz w:val="24"/>
          <w:szCs w:val="24"/>
        </w:rPr>
      </w:pPr>
      <w:r>
        <w:rPr>
          <w:rFonts w:ascii="Times New Roman" w:hAnsi="Times New Roman" w:eastAsia="宋体" w:cs="Times New Roman"/>
          <w:sz w:val="21"/>
          <w:szCs w:val="24"/>
        </w:rPr>
        <w:t xml:space="preserve">[1] 国家统计局. 2024年中国人口形势分析[EB/OL]. (2025-01-17). </w:t>
      </w:r>
    </w:p>
    <w:p w14:paraId="5D9F2FA9">
      <w:pPr>
        <w:spacing w:line="300" w:lineRule="auto"/>
        <w:rPr>
          <w:rFonts w:ascii="Times New Roman" w:hAnsi="Times New Roman" w:cs="Times New Roman"/>
          <w:sz w:val="24"/>
          <w:szCs w:val="24"/>
        </w:rPr>
      </w:pPr>
      <w:r>
        <w:rPr>
          <w:rFonts w:ascii="Times New Roman" w:hAnsi="Times New Roman" w:eastAsia="宋体" w:cs="Times New Roman"/>
          <w:sz w:val="21"/>
          <w:szCs w:val="24"/>
        </w:rPr>
        <w:t xml:space="preserve">[2] 民政部, 全国老龄办. 2024年度国家老龄事业发展公报[EB/OL]. (2025-07-24). </w:t>
      </w:r>
    </w:p>
    <w:p w14:paraId="3EF45AFC">
      <w:pPr>
        <w:spacing w:line="300" w:lineRule="auto"/>
        <w:rPr>
          <w:rFonts w:ascii="Times New Roman" w:hAnsi="Times New Roman" w:cs="Times New Roman"/>
          <w:sz w:val="24"/>
          <w:szCs w:val="24"/>
        </w:rPr>
      </w:pPr>
      <w:r>
        <w:rPr>
          <w:rFonts w:ascii="Times New Roman" w:hAnsi="Times New Roman" w:eastAsia="宋体" w:cs="Times New Roman"/>
          <w:sz w:val="21"/>
          <w:szCs w:val="24"/>
        </w:rPr>
        <w:t xml:space="preserve">[3] 智研咨询. 2024年中国老年人口数量、人口老龄化统计及其背景下养老产业发展机遇分析[R/OL]. </w:t>
      </w:r>
    </w:p>
    <w:p w14:paraId="3F53414D">
      <w:pPr>
        <w:spacing w:line="300" w:lineRule="auto"/>
        <w:rPr>
          <w:rFonts w:ascii="Times New Roman" w:hAnsi="Times New Roman" w:cs="Times New Roman"/>
          <w:sz w:val="24"/>
          <w:szCs w:val="24"/>
        </w:rPr>
      </w:pPr>
      <w:r>
        <w:rPr>
          <w:rFonts w:ascii="Times New Roman" w:hAnsi="Times New Roman" w:eastAsia="宋体" w:cs="Times New Roman"/>
          <w:sz w:val="21"/>
          <w:szCs w:val="24"/>
        </w:rPr>
        <w:t xml:space="preserve">[4] World Health Organization. China Country Assessment Report on Ageing and Health[R/OL]. </w:t>
      </w:r>
    </w:p>
    <w:p w14:paraId="77FCF2F2">
      <w:pPr>
        <w:spacing w:line="300" w:lineRule="auto"/>
        <w:rPr>
          <w:rFonts w:ascii="Times New Roman" w:hAnsi="Times New Roman" w:cs="Times New Roman"/>
          <w:sz w:val="24"/>
          <w:szCs w:val="24"/>
        </w:rPr>
      </w:pPr>
      <w:r>
        <w:rPr>
          <w:rFonts w:ascii="Times New Roman" w:hAnsi="Times New Roman" w:eastAsia="宋体" w:cs="Times New Roman"/>
          <w:sz w:val="21"/>
          <w:szCs w:val="24"/>
        </w:rPr>
        <w:t xml:space="preserve">[5] 智研咨询. 2025年中国慢病管理行业政策汇总、产业链、市场规模、竞争格局分析[R/OL]. </w:t>
      </w:r>
    </w:p>
    <w:p w14:paraId="3E013529">
      <w:pPr>
        <w:spacing w:line="300" w:lineRule="auto"/>
        <w:rPr>
          <w:rFonts w:ascii="Times New Roman" w:hAnsi="Times New Roman" w:cs="Times New Roman"/>
          <w:sz w:val="24"/>
          <w:szCs w:val="24"/>
        </w:rPr>
      </w:pPr>
      <w:r>
        <w:rPr>
          <w:rFonts w:ascii="Times New Roman" w:hAnsi="Times New Roman" w:eastAsia="宋体" w:cs="Times New Roman"/>
          <w:sz w:val="21"/>
          <w:szCs w:val="24"/>
        </w:rPr>
        <w:t xml:space="preserve">[6] 腾讯新闻. 中国正式进入"老年病时代"[EB/OL]. (2025-11-07). </w:t>
      </w:r>
    </w:p>
    <w:p w14:paraId="4F613A7D">
      <w:pPr>
        <w:spacing w:line="300" w:lineRule="auto"/>
        <w:rPr>
          <w:rFonts w:ascii="Times New Roman" w:hAnsi="Times New Roman" w:cs="Times New Roman"/>
          <w:sz w:val="24"/>
          <w:szCs w:val="24"/>
        </w:rPr>
      </w:pPr>
      <w:r>
        <w:rPr>
          <w:rFonts w:ascii="Times New Roman" w:hAnsi="Times New Roman" w:eastAsia="宋体" w:cs="Times New Roman"/>
          <w:sz w:val="21"/>
          <w:szCs w:val="24"/>
        </w:rPr>
        <w:t xml:space="preserve">[7] 健康界. 2025政府工作报告深度解读：银发经济六大核心政策风向[EB/OL]. (2025-03-06). </w:t>
      </w:r>
    </w:p>
    <w:p w14:paraId="600DAA05">
      <w:pPr>
        <w:spacing w:line="300" w:lineRule="auto"/>
        <w:rPr>
          <w:rFonts w:ascii="Times New Roman" w:hAnsi="Times New Roman" w:cs="Times New Roman"/>
          <w:sz w:val="24"/>
          <w:szCs w:val="24"/>
        </w:rPr>
      </w:pPr>
      <w:r>
        <w:rPr>
          <w:rFonts w:ascii="Times New Roman" w:hAnsi="Times New Roman" w:eastAsia="宋体" w:cs="Times New Roman"/>
          <w:sz w:val="21"/>
          <w:szCs w:val="24"/>
        </w:rPr>
        <w:t xml:space="preserve">[8] HIT专家网. 两会速览：2025《政府工作报告》涉及医疗卫生的内容[EB/OL]. (2025-03-05). </w:t>
      </w:r>
    </w:p>
    <w:p w14:paraId="07406F24">
      <w:pPr>
        <w:spacing w:line="300" w:lineRule="auto"/>
        <w:rPr>
          <w:rFonts w:ascii="Times New Roman" w:hAnsi="Times New Roman" w:cs="Times New Roman"/>
          <w:sz w:val="24"/>
          <w:szCs w:val="24"/>
        </w:rPr>
      </w:pPr>
      <w:r>
        <w:rPr>
          <w:rFonts w:ascii="Times New Roman" w:hAnsi="Times New Roman" w:eastAsia="宋体" w:cs="Times New Roman"/>
          <w:sz w:val="21"/>
          <w:szCs w:val="24"/>
        </w:rPr>
        <w:t xml:space="preserve">[9] 中共中央, 国务院. 关于深化养老服务改革发展的意见[EB/OL]. 国务院公报2025年第3号. (2025-01). </w:t>
      </w:r>
    </w:p>
    <w:p w14:paraId="4DF46C14">
      <w:pPr>
        <w:spacing w:line="300" w:lineRule="auto"/>
        <w:rPr>
          <w:rFonts w:ascii="Times New Roman" w:hAnsi="Times New Roman" w:cs="Times New Roman"/>
          <w:sz w:val="24"/>
          <w:szCs w:val="24"/>
        </w:rPr>
      </w:pPr>
      <w:r>
        <w:rPr>
          <w:rFonts w:ascii="Times New Roman" w:hAnsi="Times New Roman" w:eastAsia="宋体" w:cs="Times New Roman"/>
          <w:sz w:val="21"/>
          <w:szCs w:val="24"/>
        </w:rPr>
        <w:t xml:space="preserve">[10] 国家发展和改革委员会. 抓住老龄化的时代特征 深入挖掘内需新空间[EB/OL]. (2022-06-10). </w:t>
      </w:r>
    </w:p>
    <w:p w14:paraId="351A76CB">
      <w:pPr>
        <w:spacing w:line="300" w:lineRule="auto"/>
        <w:rPr>
          <w:rFonts w:hint="eastAsia"/>
          <w:sz w:val="24"/>
          <w:szCs w:val="24"/>
        </w:rPr>
      </w:pPr>
      <w:r>
        <w:rPr>
          <w:rFonts w:ascii="Times New Roman" w:hAnsi="Times New Roman" w:eastAsia="宋体" w:cs="Times New Roman"/>
          <w:sz w:val="21"/>
          <w:szCs w:val="24"/>
        </w:rPr>
        <w:t>[11] OASIS Standard. MQTT Version 3.1.1[S/OL]. (2014-10-29). http://docs.oasis-open.org/mqtt/mqtt/v3.1.1/os/mqtt-v3.1.1-os.html</w:t>
      </w:r>
    </w:p>
    <w:p w14:paraId="534C2336">
      <w:pPr>
        <w:spacing w:line="300" w:lineRule="auto"/>
        <w:rPr>
          <w:rFonts w:hint="eastAsia"/>
          <w:sz w:val="24"/>
          <w:szCs w:val="24"/>
        </w:rPr>
      </w:pPr>
      <w:r>
        <w:rPr>
          <w:rFonts w:ascii="Times New Roman" w:hAnsi="Times New Roman" w:eastAsia="宋体" w:cs="Times New Roman"/>
          <w:sz w:val="21"/>
          <w:szCs w:val="24"/>
        </w:rPr>
        <w:t>[12] Tilkov S, Vinoski S. Node.js: Using JavaScript to Build High-Performance Network Programs[J]. IEEE Internet Computing, 2010, 14(6): 80-83.</w:t>
      </w:r>
    </w:p>
    <w:p w14:paraId="2AEFA3D0">
      <w:pPr>
        <w:spacing w:line="300" w:lineRule="auto"/>
        <w:rPr>
          <w:rFonts w:hint="eastAsia"/>
          <w:sz w:val="24"/>
          <w:szCs w:val="24"/>
        </w:rPr>
      </w:pPr>
      <w:r>
        <w:rPr>
          <w:rFonts w:ascii="Times New Roman" w:hAnsi="Times New Roman" w:eastAsia="宋体" w:cs="Times New Roman"/>
          <w:sz w:val="21"/>
          <w:szCs w:val="24"/>
        </w:rPr>
        <w:t>[13] Hipp R D. SQLite: Past, Present, and Future[J]. Proceedings of the VLDB Endowment, 2022, 15(12): 3535-3547.</w:t>
      </w:r>
    </w:p>
    <w:p w14:paraId="466C2A32">
      <w:pPr>
        <w:spacing w:line="300" w:lineRule="auto"/>
        <w:rPr>
          <w:rFonts w:hint="eastAsia"/>
          <w:sz w:val="24"/>
          <w:szCs w:val="24"/>
        </w:rPr>
      </w:pPr>
      <w:r>
        <w:rPr>
          <w:rFonts w:ascii="Times New Roman" w:hAnsi="Times New Roman" w:eastAsia="宋体" w:cs="Times New Roman"/>
          <w:sz w:val="21"/>
          <w:szCs w:val="24"/>
        </w:rPr>
        <w:t>[14] LeCun Y, Bengio Y, Hinton G. Deep Learning[J]. Nature, 2015, 521(7553): 436-444.</w:t>
      </w:r>
    </w:p>
    <w:p w14:paraId="3E9B8C84">
      <w:pPr>
        <w:spacing w:line="300" w:lineRule="auto"/>
        <w:rPr>
          <w:rFonts w:hint="eastAsia"/>
          <w:sz w:val="24"/>
          <w:szCs w:val="24"/>
        </w:rPr>
      </w:pPr>
      <w:r>
        <w:rPr>
          <w:rFonts w:ascii="Times New Roman" w:hAnsi="Times New Roman" w:eastAsia="宋体" w:cs="Times New Roman"/>
          <w:sz w:val="21"/>
          <w:szCs w:val="24"/>
        </w:rPr>
        <w:t>[15] Shi W, Cao J, Zhang Q, et al. Edge Computing: Vision and Challenges[J]. IEEE Internet of Things Journal, 2016, 3(5): 637-646.</w:t>
      </w:r>
    </w:p>
    <w:p w14:paraId="706A8150">
      <w:pPr>
        <w:spacing w:line="300" w:lineRule="auto"/>
        <w:rPr>
          <w:rFonts w:hint="eastAsia"/>
          <w:sz w:val="24"/>
          <w:szCs w:val="24"/>
        </w:rPr>
      </w:pPr>
      <w:r>
        <w:rPr>
          <w:rFonts w:ascii="Times New Roman" w:hAnsi="Times New Roman" w:eastAsia="宋体" w:cs="Times New Roman"/>
          <w:sz w:val="21"/>
          <w:szCs w:val="24"/>
        </w:rPr>
        <w:t>[16] Zhao W X, Zhou K, Li J, et al. A Survey of Large Language Models[J]. arXiv preprint arXiv:2303.18223, 2023.</w:t>
      </w:r>
    </w:p>
    <w:p w14:paraId="40EFC057">
      <w:pPr>
        <w:spacing w:line="300" w:lineRule="auto"/>
        <w:rPr>
          <w:rFonts w:hint="eastAsia"/>
          <w:sz w:val="24"/>
          <w:szCs w:val="24"/>
        </w:rPr>
      </w:pPr>
      <w:r>
        <w:rPr>
          <w:rFonts w:ascii="Times New Roman" w:hAnsi="Times New Roman" w:eastAsia="宋体" w:cs="Times New Roman"/>
          <w:sz w:val="21"/>
          <w:szCs w:val="24"/>
        </w:rPr>
        <w:t>[17] Islam S M R, Kwak D, Kabir M H, et al. The Internet of Things for Health Care: A Comprehensive Survey[J]. IEEE Access, 2015, 3: 678-708.</w:t>
      </w:r>
    </w:p>
    <w:p w14:paraId="48B2A132">
      <w:pPr>
        <w:spacing w:line="300" w:lineRule="auto"/>
        <w:rPr>
          <w:rFonts w:hint="eastAsia"/>
          <w:sz w:val="24"/>
          <w:szCs w:val="24"/>
        </w:rPr>
      </w:pPr>
      <w:r>
        <w:rPr>
          <w:rFonts w:ascii="Times New Roman" w:hAnsi="Times New Roman" w:eastAsia="宋体" w:cs="Times New Roman"/>
          <w:sz w:val="21"/>
          <w:szCs w:val="24"/>
        </w:rPr>
        <w:t>[18] Yao W, Chu C H, Li Z. The Use of RFID in Healthcare: Benefits and Barriers[C]. 2010 IEEE International Conference on RFID-Technology and Applications, 2010: 128-134.</w:t>
      </w:r>
    </w:p>
    <w:p w14:paraId="07DEE1F8">
      <w:pPr>
        <w:spacing w:line="300" w:lineRule="auto"/>
        <w:rPr>
          <w:rFonts w:hint="eastAsia"/>
          <w:sz w:val="24"/>
          <w:szCs w:val="24"/>
        </w:rPr>
      </w:pPr>
      <w:r>
        <w:rPr>
          <w:rFonts w:ascii="Times New Roman" w:hAnsi="Times New Roman" w:eastAsia="宋体" w:cs="Times New Roman"/>
          <w:sz w:val="21"/>
          <w:szCs w:val="24"/>
        </w:rPr>
        <w:t>[19] Astrom K J, Hagglund T. PID Controllers: Theory, Design, and Tuning[M]. 2nd ed. Research Triangle Park: ISA, 1995.</w:t>
      </w:r>
    </w:p>
    <w:p w14:paraId="0C8FA2AA">
      <w:pPr>
        <w:spacing w:line="300" w:lineRule="auto"/>
        <w:rPr>
          <w:rFonts w:hint="eastAsia"/>
          <w:sz w:val="24"/>
          <w:szCs w:val="24"/>
        </w:rPr>
      </w:pPr>
      <w:r>
        <w:rPr>
          <w:rFonts w:ascii="Times New Roman" w:hAnsi="Times New Roman" w:eastAsia="宋体" w:cs="Times New Roman"/>
          <w:sz w:val="21"/>
          <w:szCs w:val="24"/>
        </w:rPr>
        <w:t>[20] Maxim Integrated. MAX30102 High-Sensitivity Pulse Oximeter and Heart-Rate Sensor for Wearable Health[DS/OL]. https://datasheets.maximintegrated.com/en/ds/MAX30102.pdf</w:t>
      </w:r>
    </w:p>
    <w:p w14:paraId="7D6016BE">
      <w:pPr>
        <w:spacing w:line="300" w:lineRule="auto"/>
        <w:rPr>
          <w:rFonts w:hint="eastAsia"/>
          <w:sz w:val="24"/>
          <w:szCs w:val="24"/>
        </w:rPr>
      </w:pPr>
      <w:r>
        <w:rPr>
          <w:rFonts w:ascii="Times New Roman" w:hAnsi="Times New Roman" w:eastAsia="宋体" w:cs="Times New Roman"/>
          <w:sz w:val="21"/>
          <w:szCs w:val="24"/>
        </w:rPr>
        <w:t>[21] Melexis. MLX90614 Digital Non-Contact Infrared Thermometer[DS/OL]. https://www.melexis.com/en/product/MLX90614/</w:t>
      </w:r>
    </w:p>
    <w:p w14:paraId="6A555FB2">
      <w:pPr>
        <w:spacing w:line="300" w:lineRule="auto"/>
        <w:rPr>
          <w:rFonts w:hint="eastAsia"/>
          <w:sz w:val="24"/>
          <w:szCs w:val="24"/>
        </w:rPr>
      </w:pPr>
      <w:r>
        <w:rPr>
          <w:rFonts w:ascii="Times New Roman" w:hAnsi="Times New Roman" w:eastAsia="宋体" w:cs="Times New Roman"/>
          <w:sz w:val="21"/>
          <w:szCs w:val="24"/>
        </w:rPr>
        <w:t>[22] InvenSense. MPU-6050 Six-Axis MEMS MotionTracking Device[DS/OL]. https://invensense.tdk.com/products/motion-tracking/6-axis/mpu-6050/</w:t>
      </w:r>
    </w:p>
    <w:p w14:paraId="6845266C">
      <w:pPr>
        <w:spacing w:line="300" w:lineRule="auto"/>
        <w:rPr>
          <w:rFonts w:hint="eastAsia"/>
          <w:sz w:val="24"/>
          <w:szCs w:val="24"/>
        </w:rPr>
      </w:pPr>
      <w:r>
        <w:rPr>
          <w:rFonts w:ascii="Times New Roman" w:hAnsi="Times New Roman" w:eastAsia="宋体" w:cs="Times New Roman"/>
          <w:sz w:val="21"/>
          <w:szCs w:val="24"/>
        </w:rPr>
        <w:t>[23] Paredes-Madrid L, Matute A, et al. Underlying Physics of Conductive Polymer Composites and Force Sensing Resistors (FSRs)[J]. Materials, 2017, 10(11): 1334.</w:t>
      </w:r>
    </w:p>
    <w:p w14:paraId="3FDFF99E">
      <w:pPr>
        <w:spacing w:line="300" w:lineRule="auto"/>
        <w:rPr>
          <w:rFonts w:hint="eastAsia"/>
          <w:sz w:val="24"/>
          <w:szCs w:val="24"/>
        </w:rPr>
      </w:pPr>
      <w:r>
        <w:rPr>
          <w:rFonts w:ascii="Times New Roman" w:hAnsi="Times New Roman" w:eastAsia="宋体" w:cs="Times New Roman"/>
          <w:sz w:val="21"/>
          <w:szCs w:val="24"/>
        </w:rPr>
        <w:t>[24] Jones M, Bradley J, Sakimura N. JSON Web Token (JWT)[S/OL]. IETF RFC 7519. (2015-05). https://tools.ietf.org/html/rfc7519</w:t>
      </w:r>
    </w:p>
    <w:p w14:paraId="0E77E9F5">
      <w:pPr>
        <w:spacing w:line="300" w:lineRule="auto"/>
        <w:rPr>
          <w:rFonts w:hint="eastAsia"/>
          <w:sz w:val="24"/>
          <w:szCs w:val="24"/>
        </w:rPr>
      </w:pPr>
      <w:r>
        <w:rPr>
          <w:rFonts w:ascii="Times New Roman" w:hAnsi="Times New Roman" w:eastAsia="宋体" w:cs="Times New Roman"/>
          <w:sz w:val="21"/>
          <w:szCs w:val="24"/>
        </w:rPr>
        <w:t>[25] Yu D, Deng L. Automatic Speech Recognition: A Deep Learning Approach[M]. London: Springer, 2015.</w:t>
      </w:r>
    </w:p>
    <w:p w14:paraId="29572164">
      <w:pPr>
        <w:spacing w:line="300" w:lineRule="auto"/>
        <w:rPr>
          <w:rFonts w:hint="eastAsia"/>
          <w:sz w:val="24"/>
          <w:szCs w:val="24"/>
        </w:rPr>
      </w:pPr>
      <w:r>
        <w:rPr>
          <w:rFonts w:ascii="Times New Roman" w:hAnsi="Times New Roman" w:eastAsia="宋体" w:cs="Times New Roman"/>
          <w:sz w:val="21"/>
          <w:szCs w:val="24"/>
        </w:rPr>
        <w:t>[26] Tan X, Qin T, Soong F, et al. A Survey on Neural Speech Synthesis[J]. arXiv preprint arXiv:2106.15561, 2021.</w:t>
      </w:r>
    </w:p>
    <w:p w14:paraId="0EA8B473">
      <w:pPr>
        <w:spacing w:line="300" w:lineRule="auto"/>
        <w:rPr>
          <w:rFonts w:hint="eastAsia"/>
          <w:sz w:val="24"/>
          <w:szCs w:val="24"/>
        </w:rPr>
      </w:pPr>
      <w:r>
        <w:rPr>
          <w:rFonts w:ascii="Times New Roman" w:hAnsi="Times New Roman" w:eastAsia="宋体" w:cs="Times New Roman"/>
          <w:sz w:val="21"/>
          <w:szCs w:val="24"/>
        </w:rPr>
        <w:t>[27] Johnston S J, Scott S J R. Raspberry Pi 4 as a Platform for Edge Computing in IoT Applications[J]. Electronics, 2019, 8(9): 1045.</w:t>
      </w:r>
    </w:p>
    <w:p w14:paraId="791F5F50">
      <w:pPr>
        <w:spacing w:line="300" w:lineRule="auto"/>
        <w:rPr>
          <w:rFonts w:hint="eastAsia"/>
          <w:sz w:val="24"/>
          <w:szCs w:val="24"/>
        </w:rPr>
      </w:pPr>
      <w:r>
        <w:rPr>
          <w:rFonts w:ascii="Times New Roman" w:hAnsi="Times New Roman" w:eastAsia="宋体" w:cs="Times New Roman"/>
          <w:sz w:val="21"/>
          <w:szCs w:val="24"/>
        </w:rPr>
        <w:t>[28] Espressif Systems. ESP32-S3 Series Datasheet[DS/OL]. Version 1.4. https://www.espressif.com/documentation/esp32-s3_datasheet_en.pdf</w:t>
      </w:r>
    </w:p>
    <w:p w14:paraId="43988177">
      <w:pPr>
        <w:spacing w:line="300" w:lineRule="auto"/>
        <w:rPr>
          <w:rFonts w:hint="eastAsia"/>
          <w:sz w:val="24"/>
          <w:szCs w:val="24"/>
        </w:rPr>
      </w:pPr>
      <w:r>
        <w:rPr>
          <w:rFonts w:ascii="Times New Roman" w:hAnsi="Times New Roman" w:eastAsia="宋体" w:cs="Times New Roman"/>
          <w:sz w:val="21"/>
          <w:szCs w:val="24"/>
        </w:rPr>
        <w:t>[29] Bostock M, Ogievetsky V, Heer J. D3: Data-Driven Documents[J]. IEEE Trans. Visualization and Computer Graphics, 2011, 17(12): 2301-2309.</w:t>
      </w:r>
    </w:p>
    <w:p w14:paraId="4CAB8061">
      <w:pPr>
        <w:spacing w:line="300" w:lineRule="auto"/>
        <w:rPr>
          <w:rFonts w:hint="eastAsia"/>
          <w:sz w:val="24"/>
          <w:szCs w:val="24"/>
        </w:rPr>
      </w:pPr>
      <w:r>
        <w:rPr>
          <w:rFonts w:ascii="Times New Roman" w:hAnsi="Times New Roman" w:eastAsia="宋体" w:cs="Times New Roman"/>
          <w:sz w:val="21"/>
          <w:szCs w:val="24"/>
        </w:rPr>
        <w:t>[30] Reese W. Nginx: The High-Performance Web Server and Reverse Proxy[J]. Linux Journal, 2008, 2008(173): 2.</w:t>
      </w:r>
    </w:p>
    <w:p w14:paraId="41C0A8DB">
      <w:pPr>
        <w:spacing w:line="300" w:lineRule="auto"/>
        <w:rPr>
          <w:rFonts w:ascii="Times New Roman" w:hAnsi="Times New Roman" w:cs="Times New Roman"/>
          <w:sz w:val="24"/>
          <w:szCs w:val="24"/>
        </w:rPr>
      </w:pPr>
      <w:r>
        <w:rPr>
          <w:rFonts w:ascii="Times New Roman" w:hAnsi="Times New Roman" w:eastAsia="宋体" w:cs="Times New Roman"/>
          <w:sz w:val="21"/>
          <w:szCs w:val="24"/>
        </w:rPr>
        <w:t>[31] Howard A, Sandler M, Chen B, et al. Searching for MobileNetV3[C]. Proceedings of the IEEE/CVF International Conference on Computer Vision (ICCV), 2019: 1314-1324.</w:t>
      </w:r>
    </w:p>
    <w:p w14:paraId="171AA337">
      <w:pPr>
        <w:spacing w:line="300" w:lineRule="auto"/>
        <w:rPr>
          <w:rFonts w:ascii="Times New Roman" w:hAnsi="Times New Roman" w:cs="Times New Roman"/>
          <w:sz w:val="24"/>
          <w:szCs w:val="24"/>
        </w:rPr>
      </w:pPr>
      <w:r>
        <w:rPr>
          <w:rFonts w:ascii="Times New Roman" w:hAnsi="Times New Roman" w:eastAsia="宋体" w:cs="Times New Roman"/>
          <w:sz w:val="21"/>
          <w:szCs w:val="24"/>
        </w:rPr>
        <w:t>[32] Hu J, Shen L, Sun G. Squeeze-and-Excitation Networks[C]. Proceedings of the IEEE Conference on Computer Vision and Pattern Recognition (CVPR), 2018: 7132-7141.</w:t>
      </w:r>
    </w:p>
    <w:p w14:paraId="73F43DA8">
      <w:pPr>
        <w:spacing w:line="300" w:lineRule="auto"/>
        <w:rPr>
          <w:rFonts w:ascii="Times New Roman" w:hAnsi="Times New Roman" w:cs="Times New Roman"/>
          <w:sz w:val="24"/>
          <w:szCs w:val="24"/>
        </w:rPr>
      </w:pPr>
      <w:r>
        <w:rPr>
          <w:rFonts w:ascii="Times New Roman" w:hAnsi="Times New Roman" w:eastAsia="宋体" w:cs="Times New Roman"/>
          <w:sz w:val="21"/>
          <w:szCs w:val="24"/>
        </w:rPr>
        <w:t>[33] Loshchilov I, Hutter F. SGDR: Stochastic Gradient Descent with Warm Restarts[C]. International Conference on Learning Representations (ICLR), 2017.</w:t>
      </w:r>
    </w:p>
    <w:p w14:paraId="7BEE5D93">
      <w:pPr>
        <w:spacing w:line="300" w:lineRule="auto"/>
        <w:rPr>
          <w:rFonts w:ascii="Times New Roman" w:hAnsi="Times New Roman" w:cs="Times New Roman"/>
          <w:sz w:val="24"/>
          <w:szCs w:val="24"/>
        </w:rPr>
      </w:pPr>
      <w:r>
        <w:rPr>
          <w:rFonts w:ascii="Times New Roman" w:hAnsi="Times New Roman" w:eastAsia="宋体" w:cs="Times New Roman"/>
          <w:sz w:val="21"/>
          <w:szCs w:val="24"/>
        </w:rPr>
        <w:t>[34] ONNX Runtime Team. ONNX Runtime: Cross-platform, High Performance ML Inferencing and Training Accelerator[EB/OL]. https://onnxruntime.ai/. (2024).</w:t>
      </w:r>
    </w:p>
    <w:p w14:paraId="0288C0E0">
      <w:pPr>
        <w:spacing w:line="300" w:lineRule="auto"/>
        <w:rPr>
          <w:rFonts w:ascii="Times New Roman" w:hAnsi="Times New Roman" w:cs="Times New Roman"/>
          <w:sz w:val="24"/>
          <w:szCs w:val="24"/>
        </w:rPr>
      </w:pPr>
      <w:r>
        <w:rPr>
          <w:rFonts w:ascii="Times New Roman" w:hAnsi="Times New Roman" w:eastAsia="宋体"/>
          <w:sz w:val="21"/>
        </w:rPr>
        <w:t>[35] 涂鸦智能. TuyaLink设备接入协议与物模型开发指南[EB/OL]. https://developer.tuya.com, 2025.</w:t>
      </w:r>
    </w:p>
    <w:p w14:paraId="535BF737">
      <w:pPr>
        <w:spacing w:line="300" w:lineRule="auto"/>
        <w:rPr>
          <w:rFonts w:ascii="Times New Roman" w:hAnsi="Times New Roman" w:cs="Times New Roman"/>
          <w:sz w:val="24"/>
          <w:szCs w:val="24"/>
        </w:rPr>
      </w:pPr>
      <w:r>
        <w:rPr>
          <w:rFonts w:ascii="Times New Roman" w:hAnsi="Times New Roman" w:eastAsia="宋体" w:cs="Times New Roman"/>
          <w:sz w:val="21"/>
          <w:szCs w:val="24"/>
        </w:rPr>
        <w:t>[36] Krawczyk H, Bellare M, Canetti R. HMAC: Keyed-Hashing for Message Authentication[S/OL]. IETF RFC 2104. (1997-02). https://tools.ietf.org/html/rfc2104.</w:t>
      </w:r>
    </w:p>
    <w:p w14:paraId="0A27C869">
      <w:pPr>
        <w:spacing w:line="300" w:lineRule="auto"/>
        <w:rPr>
          <w:rFonts w:ascii="Times New Roman" w:hAnsi="Times New Roman" w:cs="Times New Roman"/>
          <w:sz w:val="24"/>
          <w:szCs w:val="24"/>
        </w:rPr>
      </w:pPr>
      <w:r>
        <w:rPr>
          <w:rFonts w:ascii="Times New Roman" w:hAnsi="Times New Roman" w:eastAsia="宋体" w:cs="Times New Roman"/>
          <w:sz w:val="21"/>
          <w:szCs w:val="24"/>
        </w:rPr>
        <w:t>[37] Shafer G. A Mathematical Theory of Evidence[M]. Princeton: Princeton University Press, 1976.</w:t>
      </w:r>
    </w:p>
    <w:p w14:paraId="33401CF1">
      <w:pPr>
        <w:spacing w:line="300" w:lineRule="auto"/>
        <w:rPr>
          <w:rFonts w:ascii="Times New Roman" w:hAnsi="Times New Roman" w:cs="Times New Roman"/>
          <w:sz w:val="24"/>
          <w:szCs w:val="24"/>
        </w:rPr>
      </w:pPr>
      <w:r>
        <w:rPr>
          <w:rFonts w:ascii="Times New Roman" w:hAnsi="Times New Roman" w:eastAsia="宋体" w:cs="Times New Roman"/>
          <w:sz w:val="21"/>
          <w:szCs w:val="24"/>
        </w:rPr>
        <w:t>[38] Lugaresi C, Tang J, Nash H, et al. MediaPipe: A Framework for Building Perception Pipelines[J]. arXiv preprint arXiv:1906.08172, 2019.</w:t>
      </w:r>
    </w:p>
    <w:p w14:paraId="3DA31740">
      <w:pPr>
        <w:spacing w:line="300" w:lineRule="auto"/>
        <w:rPr>
          <w:rFonts w:ascii="Times New Roman" w:hAnsi="Times New Roman" w:cs="Times New Roman"/>
          <w:sz w:val="24"/>
          <w:szCs w:val="24"/>
        </w:rPr>
      </w:pPr>
      <w:r>
        <w:rPr>
          <w:rFonts w:ascii="Times New Roman" w:hAnsi="Times New Roman" w:eastAsia="宋体" w:cs="Times New Roman"/>
          <w:sz w:val="21"/>
          <w:szCs w:val="24"/>
        </w:rPr>
        <w:t>[39] Holzinger A. Interactive Machine Learning for Health Informatics: When Do We Need the Human-in-the-Loop?[J]. Brain Informatics, 2016, 3(2): 119-131.</w:t>
      </w:r>
    </w:p>
    <w:p w14:paraId="34BFD9F4">
      <w:pPr>
        <w:spacing w:line="300" w:lineRule="auto"/>
        <w:rPr>
          <w:rFonts w:ascii="Times New Roman" w:hAnsi="Times New Roman" w:cs="Times New Roman"/>
          <w:sz w:val="24"/>
          <w:szCs w:val="24"/>
        </w:rPr>
      </w:pPr>
      <w:r>
        <w:rPr>
          <w:rFonts w:ascii="Times New Roman" w:hAnsi="Times New Roman" w:eastAsia="宋体" w:cs="Times New Roman"/>
          <w:sz w:val="21"/>
          <w:szCs w:val="24"/>
        </w:rPr>
        <w:t>[40] Cabello R. Three.js: JavaScript 3D Library[EB/OL]. https://threejs.org/. (2024).</w:t>
      </w:r>
    </w:p>
    <w:p w14:paraId="3F19281A">
      <w:pPr>
        <w:spacing w:line="300" w:lineRule="auto"/>
        <w:rPr>
          <w:rFonts w:ascii="Times New Roman" w:hAnsi="Times New Roman" w:cs="Times New Roman"/>
          <w:sz w:val="24"/>
          <w:szCs w:val="24"/>
        </w:rPr>
      </w:pPr>
      <w:r>
        <w:rPr>
          <w:rFonts w:ascii="Times New Roman" w:hAnsi="Times New Roman" w:eastAsia="宋体" w:cs="Times New Roman"/>
          <w:sz w:val="21"/>
          <w:szCs w:val="24"/>
        </w:rPr>
        <w:t>[41] Grieves M, Vickers J. Digital Twin: Mitigating Unpredictable, Undesirable Emergent Behavior in Complex Systems[M]. Transdisciplinary Perspectives on Complex Systems. Springer, 2017: 85-113.</w:t>
      </w:r>
    </w:p>
    <w:p w14:paraId="43244BB5">
      <w:pPr>
        <w:spacing w:line="300" w:lineRule="auto"/>
        <w:rPr>
          <w:rFonts w:ascii="Times New Roman" w:hAnsi="Times New Roman" w:cs="Times New Roman"/>
          <w:sz w:val="24"/>
          <w:szCs w:val="24"/>
        </w:rPr>
      </w:pPr>
      <w:r>
        <w:rPr>
          <w:rFonts w:ascii="Times New Roman" w:hAnsi="Times New Roman" w:eastAsia="宋体" w:cs="Times New Roman"/>
          <w:sz w:val="21"/>
          <w:szCs w:val="24"/>
        </w:rPr>
        <w:t>[42] McMahan H B, Moore E, Ramage D, et al. Communication-Efficient Learning of Deep Networks from Decentralized Data[C]. Proceedings of the 20th International Conference on Artificial Intelligence and Statistics (AISTATS), 2017: 1273-1282.</w:t>
      </w:r>
    </w:p>
    <w:p w14:paraId="6279258F">
      <w:pPr>
        <w:spacing w:line="300" w:lineRule="auto"/>
        <w:rPr>
          <w:rFonts w:ascii="Times New Roman" w:hAnsi="Times New Roman" w:cs="Times New Roman"/>
          <w:sz w:val="24"/>
          <w:szCs w:val="24"/>
        </w:rPr>
      </w:pPr>
      <w:r>
        <w:rPr>
          <w:rFonts w:ascii="Times New Roman" w:hAnsi="Times New Roman" w:eastAsia="宋体" w:cs="Times New Roman"/>
          <w:sz w:val="21"/>
          <w:szCs w:val="24"/>
        </w:rPr>
        <w:t>[43] Dwork C, Roth A. The Algorithmic Foundations of Differential Privacy[J]. Foundations and Trends in Theoretical Computer Science, 2014, 9(3-4): 211-407.</w:t>
      </w:r>
    </w:p>
    <w:p w14:paraId="5CA2D1BD">
      <w:pPr>
        <w:spacing w:line="300" w:lineRule="auto"/>
        <w:rPr>
          <w:rFonts w:ascii="Times New Roman" w:hAnsi="Times New Roman" w:cs="Times New Roman"/>
          <w:sz w:val="24"/>
          <w:szCs w:val="24"/>
        </w:rPr>
      </w:pPr>
      <w:r>
        <w:rPr>
          <w:rFonts w:ascii="Times New Roman" w:hAnsi="Times New Roman" w:eastAsia="宋体" w:cs="Times New Roman"/>
          <w:sz w:val="21"/>
          <w:szCs w:val="24"/>
        </w:rPr>
        <w:t>[44] Nakamoto S. Bitcoin: A Peer-to-Peer Electronic Cash System[EB/OL]. https://bitcoin.org/bitcoin.pdf. (2008).</w:t>
      </w:r>
    </w:p>
    <w:p w14:paraId="6D5523FD">
      <w:pPr>
        <w:spacing w:line="300" w:lineRule="auto"/>
        <w:rPr>
          <w:rFonts w:ascii="Times New Roman" w:hAnsi="Times New Roman" w:cs="Times New Roman"/>
          <w:sz w:val="24"/>
          <w:szCs w:val="24"/>
        </w:rPr>
      </w:pPr>
      <w:r>
        <w:rPr>
          <w:rFonts w:ascii="Times New Roman" w:hAnsi="Times New Roman" w:eastAsia="宋体" w:cs="Times New Roman"/>
          <w:sz w:val="21"/>
          <w:szCs w:val="24"/>
        </w:rPr>
        <w:t>[45] Kuo T T, Kim H E, Ohno-Machado L. Blockchain Distributed Ledger Technologies for Biomedical and Health Care Applications[J]. Journal of the American Medical Informatics Association, 2017, 24(6): 1211-1220.</w:t>
      </w:r>
    </w:p>
    <w:p w14:paraId="76528310">
      <w:pPr>
        <w:spacing w:line="300" w:lineRule="auto"/>
        <w:rPr>
          <w:rFonts w:ascii="Times New Roman" w:hAnsi="Times New Roman" w:cs="Times New Roman"/>
          <w:sz w:val="24"/>
          <w:szCs w:val="24"/>
        </w:rPr>
      </w:pPr>
      <w:r>
        <w:rPr>
          <w:rFonts w:ascii="Times New Roman" w:hAnsi="Times New Roman" w:eastAsia="宋体" w:cs="Times New Roman"/>
          <w:sz w:val="21"/>
          <w:szCs w:val="24"/>
        </w:rPr>
        <w:t>[46] Schuller B W. Speech Emotion Recognition: Two Decades in a Nutshell, Benchmarks, and Ongoing Trends[J]. Communications of the ACM, 2018, 61(5): 90-99.</w:t>
      </w:r>
    </w:p>
    <w:p w14:paraId="567AFB37">
      <w:pPr>
        <w:spacing w:line="300" w:lineRule="auto"/>
        <w:rPr>
          <w:rFonts w:ascii="Times New Roman" w:hAnsi="Times New Roman" w:cs="Times New Roman"/>
          <w:sz w:val="24"/>
          <w:szCs w:val="24"/>
        </w:rPr>
      </w:pPr>
      <w:r>
        <w:rPr>
          <w:rFonts w:ascii="Times New Roman" w:hAnsi="Times New Roman" w:eastAsia="宋体" w:cs="Times New Roman"/>
          <w:sz w:val="21"/>
          <w:szCs w:val="24"/>
        </w:rPr>
        <w:t>[47] Picard R W. Affective Computing[M]. Cambridge: MIT Press, 1997.</w:t>
      </w:r>
    </w:p>
    <w:p w14:paraId="6A68F462">
      <w:pPr>
        <w:rPr>
          <w:rFonts w:ascii="Times New Roman" w:hAnsi="Times New Roman" w:cs="Times New Roman"/>
          <w:sz w:val="24"/>
          <w:szCs w:val="24"/>
        </w:rPr>
      </w:pPr>
    </w:p>
    <w:sectPr>
      <w:headerReference r:id="rId7" w:type="default"/>
      <w:footerReference r:id="rId8" w:type="default"/>
      <w:pgSz w:w="11906" w:h="16838"/>
      <w:pgMar w:top="1440" w:right="1440" w:bottom="1440" w:left="1440" w:header="708" w:footer="708" w:gutter="0"/>
      <w:cols w:space="720" w:num="1"/>
      <w:docGrid w:linePitch="360"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WPS_1776698816" w:date="2026-07-19T15:49:36Z" w:initials="">
    <w:p w14:paraId="3F3FCC6B">
      <w:pPr>
        <w:pStyle w:val="8"/>
        <w:rPr>
          <w:rFonts w:hint="default" w:eastAsia="微软雅黑"/>
          <w:lang w:val="en-US" w:eastAsia="zh-CN"/>
        </w:rPr>
      </w:pPr>
      <w:r>
        <w:rPr>
          <w:rFonts w:hint="eastAsia"/>
          <w:lang w:val="en-US" w:eastAsia="zh-CN"/>
        </w:rPr>
        <w:t>赵元见，科研风格</w:t>
      </w:r>
    </w:p>
  </w:comment>
  <w:comment w:id="1" w:author="WPS_1776698816" w:date="2026-07-19T15:50:03Z" w:initials="">
    <w:p w14:paraId="49C7E997">
      <w:pPr>
        <w:pStyle w:val="8"/>
        <w:rPr>
          <w:rFonts w:hint="default" w:eastAsia="微软雅黑"/>
          <w:lang w:val="en-US" w:eastAsia="zh-CN"/>
        </w:rPr>
      </w:pPr>
      <w:r>
        <w:rPr>
          <w:rFonts w:hint="eastAsia"/>
          <w:lang w:val="en-US" w:eastAsia="zh-CN"/>
        </w:rPr>
        <w:t>李隆豪，搜索，应该有图，如果没有的话应该很容易画</w:t>
      </w:r>
    </w:p>
  </w:comment>
  <w:comment w:id="2" w:author="WPS_1776698816" w:date="2026-07-19T15:50:42Z" w:initials="">
    <w:p w14:paraId="47976929">
      <w:pPr>
        <w:pStyle w:val="8"/>
        <w:rPr>
          <w:rFonts w:hint="default" w:eastAsia="微软雅黑"/>
          <w:lang w:val="en-US" w:eastAsia="zh-CN"/>
        </w:rPr>
      </w:pPr>
      <w:r>
        <w:rPr>
          <w:rFonts w:hint="eastAsia"/>
          <w:lang w:val="en-US" w:eastAsia="zh-CN"/>
        </w:rPr>
        <w:t>赵元见+王远航，这个看到硬件会好画一点</w:t>
      </w:r>
    </w:p>
  </w:comment>
  <w:comment w:id="3" w:author="WPS_1776698816" w:date="2026-07-19T15:51:23Z" w:initials="">
    <w:p w14:paraId="2389E15B">
      <w:pPr>
        <w:pStyle w:val="8"/>
        <w:rPr>
          <w:rFonts w:hint="default" w:eastAsia="微软雅黑"/>
          <w:lang w:val="en-US" w:eastAsia="zh-CN"/>
        </w:rPr>
      </w:pPr>
      <w:r>
        <w:rPr>
          <w:rFonts w:hint="eastAsia"/>
          <w:lang w:val="en-US" w:eastAsia="zh-CN"/>
        </w:rPr>
        <w:t>张健豪，这个可以画的好看一点</w:t>
      </w:r>
    </w:p>
  </w:comment>
  <w:comment w:id="4" w:author="WPS_1776698816" w:date="2026-07-19T15:52:22Z" w:initials="">
    <w:p w14:paraId="7B939577">
      <w:pPr>
        <w:pStyle w:val="8"/>
        <w:rPr>
          <w:rFonts w:hint="default" w:eastAsia="微软雅黑"/>
          <w:lang w:val="en-US" w:eastAsia="zh-CN"/>
        </w:rPr>
      </w:pPr>
      <w:r>
        <w:rPr>
          <w:rFonts w:hint="eastAsia"/>
          <w:lang w:val="en-US" w:eastAsia="zh-CN"/>
        </w:rPr>
        <w:t>赵元见+王远航，同硬件原因</w:t>
      </w:r>
    </w:p>
  </w:comment>
  <w:comment w:id="5" w:author="WPS_1776698816" w:date="2026-07-19T15:52:49Z" w:initials="">
    <w:p w14:paraId="68D8D890">
      <w:pPr>
        <w:pStyle w:val="8"/>
        <w:rPr>
          <w:rFonts w:hint="default" w:eastAsia="微软雅黑"/>
          <w:lang w:val="en-US" w:eastAsia="zh-CN"/>
        </w:rPr>
      </w:pPr>
      <w:r>
        <w:rPr>
          <w:rFonts w:hint="eastAsia"/>
          <w:lang w:val="en-US" w:eastAsia="zh-CN"/>
        </w:rPr>
        <w:t>AI生成一下得了，赵元见</w:t>
      </w:r>
    </w:p>
  </w:comment>
  <w:comment w:id="6" w:author="WPS_1776698816" w:date="2026-07-19T15:53:29Z" w:initials="">
    <w:p w14:paraId="4A71558A">
      <w:pPr>
        <w:pStyle w:val="8"/>
        <w:rPr>
          <w:rFonts w:hint="default" w:eastAsia="微软雅黑"/>
          <w:lang w:val="en-US" w:eastAsia="zh-CN"/>
        </w:rPr>
      </w:pPr>
      <w:r>
        <w:rPr>
          <w:rFonts w:hint="eastAsia"/>
          <w:lang w:val="en-US" w:eastAsia="zh-CN"/>
        </w:rPr>
        <w:t>王远航，科研风格</w:t>
      </w:r>
    </w:p>
  </w:comment>
  <w:comment w:id="7" w:author="WPS_1776698816" w:date="2026-07-19T15:53:39Z" w:initials="">
    <w:p w14:paraId="4036E93D">
      <w:pPr>
        <w:pStyle w:val="8"/>
        <w:rPr>
          <w:rFonts w:hint="default" w:eastAsia="微软雅黑"/>
          <w:lang w:val="en-US" w:eastAsia="zh-CN"/>
        </w:rPr>
      </w:pPr>
      <w:r>
        <w:rPr>
          <w:rFonts w:hint="eastAsia"/>
          <w:lang w:val="en-US" w:eastAsia="zh-CN"/>
        </w:rPr>
        <w:t>王远航，科研风格</w:t>
      </w:r>
    </w:p>
  </w:comment>
  <w:comment w:id="8" w:author="WPS_1776698816" w:date="2026-07-19T15:58:57Z" w:initials="">
    <w:p w14:paraId="47B42E18">
      <w:pPr>
        <w:pStyle w:val="8"/>
        <w:rPr>
          <w:rFonts w:hint="eastAsia" w:eastAsia="微软雅黑"/>
          <w:lang w:val="en-US" w:eastAsia="zh-CN"/>
        </w:rPr>
      </w:pPr>
      <w:r>
        <w:rPr>
          <w:rFonts w:hint="eastAsia"/>
          <w:lang w:val="en-US" w:eastAsia="zh-CN"/>
        </w:rPr>
        <w:t>李隆豪</w:t>
      </w:r>
    </w:p>
  </w:comment>
  <w:comment w:id="9" w:author="WPS_1776698816" w:date="2026-07-19T16:00:26Z" w:initials="">
    <w:p w14:paraId="5833A03A">
      <w:pPr>
        <w:pStyle w:val="8"/>
        <w:rPr>
          <w:rFonts w:hint="default" w:eastAsia="微软雅黑"/>
          <w:lang w:val="en-US" w:eastAsia="zh-CN"/>
        </w:rPr>
      </w:pPr>
      <w:r>
        <w:rPr>
          <w:rFonts w:hint="eastAsia"/>
          <w:lang w:val="en-US" w:eastAsia="zh-CN"/>
        </w:rPr>
        <w:t>王远航+赵元见，硬件还没做完</w:t>
      </w:r>
    </w:p>
  </w:comment>
  <w:comment w:id="10" w:author="WPS_1776698816" w:date="2026-07-19T16:00:53Z" w:initials="">
    <w:p w14:paraId="30837810">
      <w:pPr>
        <w:pStyle w:val="8"/>
        <w:rPr>
          <w:rFonts w:hint="default" w:eastAsia="微软雅黑"/>
          <w:lang w:val="en-US" w:eastAsia="zh-CN"/>
        </w:rPr>
      </w:pPr>
      <w:r>
        <w:rPr>
          <w:rFonts w:hint="eastAsia"/>
          <w:lang w:val="en-US" w:eastAsia="zh-CN"/>
        </w:rPr>
        <w:t>张健豪</w:t>
      </w:r>
    </w:p>
  </w:comment>
  <w:comment w:id="11" w:author="WPS_1776698816" w:date="2026-07-19T16:08:02Z" w:initials="">
    <w:p w14:paraId="507909A2">
      <w:pPr>
        <w:pStyle w:val="8"/>
        <w:rPr>
          <w:rFonts w:hint="eastAsia" w:eastAsia="微软雅黑"/>
          <w:lang w:val="en-US" w:eastAsia="zh-CN"/>
        </w:rPr>
      </w:pPr>
      <w:r>
        <w:rPr>
          <w:rFonts w:hint="eastAsia"/>
          <w:lang w:val="en-US" w:eastAsia="zh-CN"/>
        </w:rPr>
        <w:t>赵元见</w:t>
      </w:r>
    </w:p>
  </w:comment>
  <w:comment w:id="12" w:author="WPS_1776698816" w:date="2026-07-19T16:08:23Z" w:initials="">
    <w:p w14:paraId="3E15EB6E">
      <w:pPr>
        <w:pStyle w:val="8"/>
        <w:rPr>
          <w:rFonts w:hint="default" w:eastAsia="微软雅黑"/>
          <w:lang w:val="en-US" w:eastAsia="zh-CN"/>
        </w:rPr>
      </w:pPr>
      <w:r>
        <w:rPr>
          <w:rFonts w:hint="eastAsia"/>
          <w:lang w:val="en-US" w:eastAsia="zh-CN"/>
        </w:rPr>
        <w:t>李隆豪</w:t>
      </w:r>
    </w:p>
  </w:comment>
  <w:comment w:id="13" w:author="WPS_1776698816" w:date="2026-07-19T16:08:11Z" w:initials="">
    <w:p w14:paraId="438B24C9">
      <w:pPr>
        <w:pStyle w:val="8"/>
        <w:rPr>
          <w:rFonts w:hint="eastAsia" w:eastAsia="微软雅黑"/>
          <w:lang w:val="en-US" w:eastAsia="zh-CN"/>
        </w:rPr>
      </w:pPr>
      <w:r>
        <w:rPr>
          <w:rFonts w:hint="eastAsia"/>
          <w:lang w:val="en-US" w:eastAsia="zh-CN"/>
        </w:rPr>
        <w:t>王远航</w:t>
      </w:r>
    </w:p>
  </w:comment>
  <w:comment w:id="14" w:author="WPS_1776698816" w:date="2026-07-19T16:03:16Z" w:initials="">
    <w:p w14:paraId="01CDDBF7">
      <w:pPr>
        <w:pStyle w:val="8"/>
        <w:rPr>
          <w:rFonts w:hint="eastAsia" w:eastAsia="微软雅黑"/>
          <w:lang w:val="en-US" w:eastAsia="zh-CN"/>
        </w:rPr>
      </w:pPr>
      <w:r>
        <w:rPr>
          <w:rFonts w:hint="eastAsia"/>
          <w:lang w:val="en-US" w:eastAsia="zh-CN"/>
        </w:rPr>
        <w:t>王远航</w:t>
      </w:r>
    </w:p>
  </w:comment>
  <w:comment w:id="15" w:author="WPS_1776698816" w:date="2026-07-19T16:09:14Z" w:initials="">
    <w:p w14:paraId="16E41E24">
      <w:pPr>
        <w:pStyle w:val="8"/>
        <w:rPr>
          <w:rFonts w:hint="default" w:eastAsia="微软雅黑"/>
          <w:lang w:val="en-US" w:eastAsia="zh-CN"/>
        </w:rPr>
      </w:pPr>
      <w:r>
        <w:rPr>
          <w:rFonts w:hint="eastAsia"/>
          <w:lang w:val="en-US" w:eastAsia="zh-CN"/>
        </w:rPr>
        <w:t>张健豪</w:t>
      </w:r>
    </w:p>
  </w:comment>
  <w:comment w:id="16" w:author="WPS_1776698816" w:date="2026-07-19T16:09:55Z" w:initials="">
    <w:p w14:paraId="23D579D1">
      <w:pPr>
        <w:pStyle w:val="8"/>
        <w:rPr>
          <w:rFonts w:hint="eastAsia" w:eastAsia="微软雅黑"/>
          <w:lang w:val="en-US" w:eastAsia="zh-CN"/>
        </w:rPr>
      </w:pPr>
      <w:r>
        <w:rPr>
          <w:rFonts w:hint="eastAsia"/>
          <w:lang w:val="en-US" w:eastAsia="zh-CN"/>
        </w:rPr>
        <w:t>李隆豪</w:t>
      </w:r>
    </w:p>
  </w:comment>
  <w:comment w:id="17" w:author="WPS_1776698816" w:date="2026-07-19T16:09:00Z" w:initials="">
    <w:p w14:paraId="66A7F2B6">
      <w:pPr>
        <w:pStyle w:val="8"/>
        <w:rPr>
          <w:rFonts w:hint="eastAsia" w:eastAsia="微软雅黑"/>
          <w:lang w:val="en-US" w:eastAsia="zh-CN"/>
        </w:rPr>
      </w:pPr>
      <w:r>
        <w:rPr>
          <w:rFonts w:hint="eastAsia"/>
          <w:lang w:val="en-US" w:eastAsia="zh-CN"/>
        </w:rPr>
        <w:t>赵元见</w:t>
      </w:r>
    </w:p>
  </w:comment>
  <w:comment w:id="18" w:author="WPS_1776698816" w:date="2026-07-19T16:08:48Z" w:initials="">
    <w:p w14:paraId="527E46E2">
      <w:pPr>
        <w:pStyle w:val="8"/>
        <w:rPr>
          <w:rFonts w:hint="eastAsia" w:eastAsia="微软雅黑"/>
          <w:lang w:val="en-US" w:eastAsia="zh-CN"/>
        </w:rPr>
      </w:pPr>
      <w:r>
        <w:rPr>
          <w:rFonts w:hint="eastAsia"/>
          <w:lang w:val="en-US" w:eastAsia="zh-CN"/>
        </w:rPr>
        <w:t>张健豪</w:t>
      </w:r>
    </w:p>
  </w:comment>
  <w:comment w:id="19" w:author="WPS_1776698816" w:date="2026-07-19T16:02:48Z" w:initials="">
    <w:p w14:paraId="3968A441">
      <w:pPr>
        <w:pStyle w:val="8"/>
        <w:rPr>
          <w:rFonts w:hint="default" w:eastAsia="微软雅黑"/>
          <w:lang w:val="en-US" w:eastAsia="zh-CN"/>
        </w:rPr>
      </w:pPr>
      <w:r>
        <w:rPr>
          <w:rFonts w:hint="eastAsia"/>
          <w:lang w:val="en-US" w:eastAsia="zh-CN"/>
        </w:rPr>
        <w:t>张健豪</w:t>
      </w:r>
    </w:p>
  </w:comment>
  <w:comment w:id="20" w:author="WPS_1776698816" w:date="2026-07-19T16:02:29Z" w:initials="">
    <w:p w14:paraId="244FB501">
      <w:pPr>
        <w:pStyle w:val="8"/>
        <w:rPr>
          <w:rFonts w:hint="eastAsia" w:eastAsia="微软雅黑"/>
          <w:lang w:val="en-US" w:eastAsia="zh-CN"/>
        </w:rPr>
      </w:pPr>
      <w:r>
        <w:rPr>
          <w:rFonts w:hint="eastAsia"/>
          <w:lang w:val="en-US" w:eastAsia="zh-CN"/>
        </w:rPr>
        <w:t>张健豪</w:t>
      </w:r>
    </w:p>
  </w:comment>
  <w:comment w:id="21" w:author="WPS_1776698816" w:date="2026-07-19T16:02:14Z" w:initials="">
    <w:p w14:paraId="593B250F">
      <w:pPr>
        <w:pStyle w:val="8"/>
        <w:rPr>
          <w:rFonts w:hint="eastAsia" w:eastAsia="微软雅黑"/>
          <w:lang w:val="en-US" w:eastAsia="zh-CN"/>
        </w:rPr>
      </w:pPr>
      <w:r>
        <w:rPr>
          <w:rFonts w:hint="eastAsia"/>
          <w:lang w:val="en-US" w:eastAsia="zh-CN"/>
        </w:rPr>
        <w:t>张健豪</w:t>
      </w:r>
    </w:p>
  </w:comment>
  <w:comment w:id="22" w:author="WPS_1776698816" w:date="2026-07-19T15:59:43Z" w:initials="">
    <w:p w14:paraId="2A928C35">
      <w:pPr>
        <w:pStyle w:val="8"/>
        <w:rPr>
          <w:rFonts w:hint="default" w:eastAsia="微软雅黑"/>
          <w:lang w:val="en-US" w:eastAsia="zh-CN"/>
        </w:rPr>
      </w:pPr>
      <w:r>
        <w:rPr>
          <w:rFonts w:hint="eastAsia"/>
          <w:lang w:val="en-US" w:eastAsia="zh-CN"/>
        </w:rPr>
        <w:t>王远航+赵元见，同样的硬件还没做完</w:t>
      </w:r>
    </w:p>
  </w:comment>
  <w:comment w:id="23" w:author="WPS_1776698816" w:date="2026-07-19T15:57:55Z" w:initials="">
    <w:p w14:paraId="3D75A8FE">
      <w:pPr>
        <w:pStyle w:val="8"/>
        <w:rPr>
          <w:rFonts w:hint="eastAsia" w:eastAsia="微软雅黑"/>
          <w:lang w:val="en-US" w:eastAsia="zh-CN"/>
        </w:rPr>
      </w:pPr>
      <w:r>
        <w:rPr>
          <w:rFonts w:hint="eastAsia"/>
          <w:lang w:val="en-US" w:eastAsia="zh-CN"/>
        </w:rPr>
        <w:t>李隆豪</w:t>
      </w:r>
    </w:p>
  </w:comment>
  <w:comment w:id="24" w:author="WPS_1776698816" w:date="2026-07-19T15:58:10Z" w:initials="">
    <w:p w14:paraId="2F783114">
      <w:pPr>
        <w:pStyle w:val="8"/>
        <w:rPr>
          <w:rFonts w:hint="default" w:eastAsia="微软雅黑"/>
          <w:lang w:val="en-US" w:eastAsia="zh-CN"/>
        </w:rPr>
      </w:pPr>
      <w:r>
        <w:rPr>
          <w:rFonts w:hint="eastAsia"/>
          <w:lang w:val="en-US" w:eastAsia="zh-CN"/>
        </w:rPr>
        <w:t>王远航+赵元见，这个硬件上还没做完</w:t>
      </w:r>
    </w:p>
  </w:comment>
  <w:comment w:id="25" w:author="WPS_1776698816" w:date="2026-07-19T15:56:59Z" w:initials="">
    <w:p w14:paraId="4103C884">
      <w:pPr>
        <w:pStyle w:val="8"/>
        <w:rPr>
          <w:rFonts w:hint="eastAsia" w:eastAsia="微软雅黑"/>
          <w:lang w:val="en-US" w:eastAsia="zh-CN"/>
        </w:rPr>
      </w:pPr>
      <w:r>
        <w:rPr>
          <w:rFonts w:hint="eastAsia"/>
          <w:lang w:val="en-US" w:eastAsia="zh-CN"/>
        </w:rPr>
        <w:t>赵元见</w:t>
      </w:r>
    </w:p>
  </w:comment>
  <w:comment w:id="26" w:author="WPS_1776698816" w:date="2026-07-19T15:56:26Z" w:initials="">
    <w:p w14:paraId="47CDB0E8">
      <w:pPr>
        <w:pStyle w:val="8"/>
        <w:rPr>
          <w:rFonts w:hint="default" w:eastAsia="微软雅黑"/>
          <w:lang w:val="en-US" w:eastAsia="zh-CN"/>
        </w:rPr>
      </w:pPr>
      <w:r>
        <w:rPr>
          <w:rFonts w:hint="eastAsia"/>
          <w:lang w:val="en-US" w:eastAsia="zh-CN"/>
        </w:rPr>
        <w:t>李隆豪，这个easy</w:t>
      </w:r>
    </w:p>
  </w:comment>
  <w:comment w:id="27" w:author="WPS_1776698816" w:date="2026-07-19T15:55:02Z" w:initials="">
    <w:p w14:paraId="7B92389E">
      <w:pPr>
        <w:pStyle w:val="8"/>
        <w:rPr>
          <w:rFonts w:hint="default" w:eastAsia="微软雅黑"/>
          <w:lang w:val="en-US" w:eastAsia="zh-CN"/>
        </w:rPr>
      </w:pPr>
      <w:r>
        <w:rPr>
          <w:rFonts w:hint="eastAsia"/>
          <w:lang w:val="en-US" w:eastAsia="zh-CN"/>
        </w:rPr>
        <w:t>拍照</w:t>
      </w:r>
    </w:p>
  </w:comment>
  <w:comment w:id="28" w:author="WPS_1776698816" w:date="2026-07-19T15:54:44Z" w:initials="">
    <w:p w14:paraId="2838CAFF">
      <w:pPr>
        <w:pStyle w:val="8"/>
        <w:rPr>
          <w:rFonts w:hint="eastAsia" w:eastAsia="微软雅黑"/>
          <w:lang w:val="en-US" w:eastAsia="zh-CN"/>
        </w:rPr>
      </w:pPr>
      <w:r>
        <w:rPr>
          <w:rFonts w:hint="eastAsia"/>
          <w:lang w:val="en-US" w:eastAsia="zh-CN"/>
        </w:rPr>
        <w:t>拍照</w:t>
      </w:r>
    </w:p>
  </w:comment>
  <w:comment w:id="29" w:author="WPS_1776698816" w:date="2026-07-19T15:54:23Z" w:initials="">
    <w:p w14:paraId="4A43211C">
      <w:pPr>
        <w:pStyle w:val="8"/>
        <w:rPr>
          <w:rFonts w:hint="default" w:eastAsia="微软雅黑"/>
          <w:lang w:val="en-US" w:eastAsia="zh-CN"/>
        </w:rPr>
      </w:pPr>
      <w:r>
        <w:rPr>
          <w:rFonts w:hint="eastAsia"/>
          <w:lang w:val="en-US" w:eastAsia="zh-CN"/>
        </w:rPr>
        <w:t>王远航，做过fedrated</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3F3FCC6B" w15:done="0"/>
  <w15:commentEx w15:paraId="49C7E997" w15:done="0"/>
  <w15:commentEx w15:paraId="47976929" w15:done="0"/>
  <w15:commentEx w15:paraId="2389E15B" w15:done="0"/>
  <w15:commentEx w15:paraId="7B939577" w15:done="0"/>
  <w15:commentEx w15:paraId="68D8D890" w15:done="0"/>
  <w15:commentEx w15:paraId="4A71558A" w15:done="0"/>
  <w15:commentEx w15:paraId="4036E93D" w15:done="0"/>
  <w15:commentEx w15:paraId="47B42E18" w15:done="0"/>
  <w15:commentEx w15:paraId="5833A03A" w15:done="0"/>
  <w15:commentEx w15:paraId="30837810" w15:done="0"/>
  <w15:commentEx w15:paraId="507909A2" w15:done="0"/>
  <w15:commentEx w15:paraId="3E15EB6E" w15:done="0"/>
  <w15:commentEx w15:paraId="438B24C9" w15:done="0"/>
  <w15:commentEx w15:paraId="01CDDBF7" w15:done="0"/>
  <w15:commentEx w15:paraId="16E41E24" w15:done="0"/>
  <w15:commentEx w15:paraId="23D579D1" w15:done="0"/>
  <w15:commentEx w15:paraId="66A7F2B6" w15:done="0"/>
  <w15:commentEx w15:paraId="527E46E2" w15:done="0"/>
  <w15:commentEx w15:paraId="3968A441" w15:done="0"/>
  <w15:commentEx w15:paraId="244FB501" w15:done="0"/>
  <w15:commentEx w15:paraId="593B250F" w15:done="0"/>
  <w15:commentEx w15:paraId="2A928C35" w15:done="0"/>
  <w15:commentEx w15:paraId="3D75A8FE" w15:done="0"/>
  <w15:commentEx w15:paraId="2F783114" w15:done="0"/>
  <w15:commentEx w15:paraId="4103C884" w15:done="0"/>
  <w15:commentEx w15:paraId="47CDB0E8" w15:done="0"/>
  <w15:commentEx w15:paraId="7B92389E" w15:done="0"/>
  <w15:commentEx w15:paraId="2838CAFF" w15:done="0"/>
  <w15:commentEx w15:paraId="4A43211C"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Light">
    <w:panose1 w:val="02010600030101010101"/>
    <w:charset w:val="86"/>
    <w:family w:val="auto"/>
    <w:pitch w:val="default"/>
    <w:sig w:usb0="A00002BF" w:usb1="38CF7CFA" w:usb2="00000016" w:usb3="00000000" w:csb0="0004000F" w:csb1="00000000"/>
  </w:font>
  <w:font w:name="等线">
    <w:panose1 w:val="02010600030101010101"/>
    <w:charset w:val="86"/>
    <w:family w:val="auto"/>
    <w:pitch w:val="default"/>
    <w:sig w:usb0="A00002BF" w:usb1="38CF7CFA" w:usb2="00000016" w:usb3="00000000" w:csb0="0004000F" w:csb1="00000000"/>
  </w:font>
  <w:font w:name="楷体">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32A8E1">
    <w:pPr>
      <w:jc w:val="center"/>
      <w:rPr>
        <w:rFonts w:hint="eastAsia"/>
      </w:rPr>
    </w:pPr>
    <w:r>
      <w:rPr>
        <w:rFonts w:ascii="Times New Roman" w:hAnsi="Times New Roman" w:cs="Times New Roman"/>
        <w:color w:val="666666"/>
        <w:sz w:val="18"/>
        <w:szCs w:val="18"/>
      </w:rPr>
      <w:t xml:space="preserve">— </w:t>
    </w:r>
    <w:r>
      <w:rPr>
        <w:rFonts w:ascii="Times New Roman" w:hAnsi="Times New Roman" w:cs="Times New Roman"/>
        <w:color w:val="666666"/>
        <w:sz w:val="18"/>
        <w:szCs w:val="18"/>
      </w:rPr>
      <w:fldChar w:fldCharType="begin"/>
    </w:r>
    <w:r>
      <w:rPr>
        <w:rFonts w:ascii="Times New Roman" w:hAnsi="Times New Roman" w:cs="Times New Roman"/>
        <w:color w:val="666666"/>
        <w:sz w:val="18"/>
        <w:szCs w:val="18"/>
      </w:rPr>
      <w:instrText xml:space="preserve">PAGE</w:instrText>
    </w:r>
    <w:r>
      <w:rPr>
        <w:rFonts w:ascii="Times New Roman" w:hAnsi="Times New Roman" w:cs="Times New Roman"/>
        <w:color w:val="666666"/>
        <w:sz w:val="18"/>
        <w:szCs w:val="18"/>
      </w:rPr>
      <w:fldChar w:fldCharType="separate"/>
    </w:r>
    <w:r>
      <w:rPr>
        <w:rFonts w:hint="eastAsia" w:ascii="Times New Roman" w:hAnsi="Times New Roman" w:cs="Times New Roman"/>
        <w:color w:val="666666"/>
        <w:sz w:val="18"/>
        <w:szCs w:val="18"/>
      </w:rPr>
      <w:t>1</w:t>
    </w:r>
    <w:r>
      <w:rPr>
        <w:rFonts w:ascii="Times New Roman" w:hAnsi="Times New Roman" w:cs="Times New Roman"/>
        <w:color w:val="666666"/>
        <w:sz w:val="18"/>
        <w:szCs w:val="18"/>
      </w:rPr>
      <w:fldChar w:fldCharType="end"/>
    </w:r>
    <w:r>
      <w:rPr>
        <w:rFonts w:ascii="Times New Roman" w:hAnsi="Times New Roman" w:cs="Times New Roman"/>
        <w:color w:val="666666"/>
        <w:sz w:val="18"/>
        <w:szCs w:val="18"/>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A64216">
    <w:pPr>
      <w:jc w:val="center"/>
      <w:rPr>
        <w:rFonts w:hint="eastAsia"/>
      </w:rPr>
    </w:pPr>
    <w:r>
      <w:rPr>
        <w:rFonts w:ascii="Times New Roman" w:hAnsi="Times New Roman" w:cs="Times New Roman"/>
        <w:color w:val="666666"/>
        <w:sz w:val="18"/>
        <w:szCs w:val="18"/>
      </w:rPr>
      <w:t xml:space="preserve">— </w:t>
    </w:r>
    <w:r>
      <w:rPr>
        <w:rFonts w:ascii="Times New Roman" w:hAnsi="Times New Roman" w:cs="Times New Roman"/>
        <w:color w:val="666666"/>
        <w:sz w:val="18"/>
        <w:szCs w:val="18"/>
      </w:rPr>
      <w:fldChar w:fldCharType="begin"/>
    </w:r>
    <w:r>
      <w:rPr>
        <w:rFonts w:ascii="Times New Roman" w:hAnsi="Times New Roman" w:cs="Times New Roman"/>
        <w:color w:val="666666"/>
        <w:sz w:val="18"/>
        <w:szCs w:val="18"/>
      </w:rPr>
      <w:instrText xml:space="preserve">PAGE</w:instrText>
    </w:r>
    <w:r>
      <w:rPr>
        <w:rFonts w:ascii="Times New Roman" w:hAnsi="Times New Roman" w:cs="Times New Roman"/>
        <w:color w:val="666666"/>
        <w:sz w:val="18"/>
        <w:szCs w:val="18"/>
      </w:rPr>
      <w:fldChar w:fldCharType="separate"/>
    </w:r>
    <w:r>
      <w:rPr>
        <w:rFonts w:hint="eastAsia" w:ascii="Times New Roman" w:hAnsi="Times New Roman" w:cs="Times New Roman"/>
        <w:color w:val="666666"/>
        <w:sz w:val="18"/>
        <w:szCs w:val="18"/>
      </w:rPr>
      <w:t>1</w:t>
    </w:r>
    <w:r>
      <w:rPr>
        <w:rFonts w:ascii="Times New Roman" w:hAnsi="Times New Roman" w:cs="Times New Roman"/>
        <w:color w:val="666666"/>
        <w:sz w:val="18"/>
        <w:szCs w:val="18"/>
      </w:rPr>
      <w:fldChar w:fldCharType="end"/>
    </w:r>
    <w:r>
      <w:rPr>
        <w:rFonts w:ascii="Times New Roman" w:hAnsi="Times New Roman" w:cs="Times New Roman"/>
        <w:color w:val="666666"/>
        <w:sz w:val="18"/>
        <w:szCs w:val="18"/>
      </w:rPr>
      <w:t xml:space="preserve">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D717A4">
    <w:pPr>
      <w:pBdr>
        <w:bottom w:val="single" w:color="2E75B6" w:sz="4" w:space="4"/>
      </w:pBdr>
      <w:jc w:val="center"/>
      <w:rPr>
        <w:rFonts w:hint="eastAsia"/>
      </w:rPr>
    </w:pPr>
    <w:r>
      <w:rPr>
        <w:rFonts w:ascii="Times New Roman" w:hAnsi="Times New Roman" w:cs="Times New Roman"/>
        <w:i/>
        <w:iCs/>
        <w:color w:val="666666"/>
        <w:sz w:val="18"/>
        <w:szCs w:val="18"/>
      </w:rPr>
      <w:t>智能护理病床云平台 · 设计文档</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D47AC3">
    <w:pPr>
      <w:pBdr>
        <w:bottom w:val="single" w:color="2E75B6" w:sz="4" w:space="4"/>
      </w:pBdr>
      <w:jc w:val="center"/>
      <w:rPr>
        <w:rFonts w:hint="eastAsia"/>
      </w:rPr>
    </w:pPr>
    <w:r>
      <w:rPr>
        <w:rFonts w:ascii="Times New Roman" w:hAnsi="Times New Roman" w:cs="Times New Roman"/>
        <w:i/>
        <w:iCs/>
        <w:color w:val="666666"/>
        <w:sz w:val="18"/>
        <w:szCs w:val="18"/>
      </w:rPr>
      <w:t>智能护理病床云平台 · 设计文档</w:t>
    </w:r>
  </w:p>
</w:hdr>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WPS_1776698816">
    <w15:presenceInfo w15:providerId="WPS Office" w15:userId="207819687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bordersDoNotSurroundHeader w:val="1"/>
  <w:bordersDoNotSurroundFooter w:val="1"/>
  <w:documentProtection w:enforcement="0"/>
  <w:defaultTabStop w:val="4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D5BE4"/>
    <w:rsid w:val="00002C2B"/>
    <w:rsid w:val="000D5BE4"/>
    <w:rsid w:val="001A60DD"/>
    <w:rsid w:val="001F438D"/>
    <w:rsid w:val="002042C7"/>
    <w:rsid w:val="00277FAF"/>
    <w:rsid w:val="0029680F"/>
    <w:rsid w:val="00401970"/>
    <w:rsid w:val="005014DD"/>
    <w:rsid w:val="00506FC7"/>
    <w:rsid w:val="00583A29"/>
    <w:rsid w:val="005C2041"/>
    <w:rsid w:val="0065536D"/>
    <w:rsid w:val="006A53EF"/>
    <w:rsid w:val="007013BA"/>
    <w:rsid w:val="00720B08"/>
    <w:rsid w:val="007C0FDD"/>
    <w:rsid w:val="00836266"/>
    <w:rsid w:val="008D34AA"/>
    <w:rsid w:val="00931CA9"/>
    <w:rsid w:val="00936FF4"/>
    <w:rsid w:val="00984E79"/>
    <w:rsid w:val="00991BB4"/>
    <w:rsid w:val="00A8389B"/>
    <w:rsid w:val="00A866DD"/>
    <w:rsid w:val="00B14297"/>
    <w:rsid w:val="00B66747"/>
    <w:rsid w:val="00D41870"/>
    <w:rsid w:val="00D7426C"/>
    <w:rsid w:val="00E3158D"/>
    <w:rsid w:val="00F4114C"/>
    <w:rsid w:val="00F46DCB"/>
    <w:rsid w:val="00FB1602"/>
    <w:rsid w:val="3DF63F2C"/>
    <w:rsid w:val="528F4FB6"/>
    <w:rsid w:val="62930A9C"/>
    <w:rsid w:val="6F5A2FC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微软雅黑" w:hAnsi="微软雅黑" w:eastAsia="微软雅黑" w:cs="微软雅黑"/>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微软雅黑" w:hAnsi="微软雅黑" w:eastAsia="微软雅黑" w:cs="微软雅黑"/>
      <w:sz w:val="24"/>
      <w:szCs w:val="22"/>
      <w:lang w:val="en-US" w:eastAsia="zh-CN" w:bidi="ar-SA"/>
    </w:rPr>
  </w:style>
  <w:style w:type="paragraph" w:styleId="2">
    <w:name w:val="heading 1"/>
    <w:qFormat/>
    <w:uiPriority w:val="9"/>
    <w:pPr>
      <w:keepNext/>
      <w:keepLines/>
      <w:spacing w:before="340" w:after="330" w:line="578" w:lineRule="auto"/>
      <w:outlineLvl w:val="0"/>
    </w:pPr>
    <w:rPr>
      <w:rFonts w:ascii="微软雅黑" w:hAnsi="微软雅黑" w:eastAsia="黑体" w:cs="微软雅黑"/>
      <w:b/>
      <w:bCs/>
      <w:kern w:val="44"/>
      <w:sz w:val="32"/>
      <w:szCs w:val="44"/>
      <w:lang w:val="en-US" w:eastAsia="zh-CN" w:bidi="ar-SA"/>
    </w:rPr>
  </w:style>
  <w:style w:type="paragraph" w:styleId="3">
    <w:name w:val="heading 2"/>
    <w:unhideWhenUsed/>
    <w:qFormat/>
    <w:uiPriority w:val="9"/>
    <w:pPr>
      <w:keepNext/>
      <w:keepLines/>
      <w:spacing w:before="260" w:after="260"/>
      <w:outlineLvl w:val="1"/>
    </w:pPr>
    <w:rPr>
      <w:rFonts w:ascii="黑体" w:hAnsi="黑体" w:eastAsia="黑体" w:cstheme="majorBidi"/>
      <w:b/>
      <w:bCs/>
      <w:sz w:val="22"/>
      <w:szCs w:val="28"/>
      <w:lang w:val="en-US" w:eastAsia="zh-CN" w:bidi="ar-SA"/>
    </w:rPr>
  </w:style>
  <w:style w:type="paragraph" w:styleId="4">
    <w:name w:val="heading 3"/>
    <w:unhideWhenUsed/>
    <w:qFormat/>
    <w:uiPriority w:val="9"/>
    <w:pPr>
      <w:keepNext/>
      <w:keepLines/>
      <w:spacing w:before="260" w:after="260"/>
      <w:outlineLvl w:val="2"/>
    </w:pPr>
    <w:rPr>
      <w:rFonts w:ascii="Times New Roman" w:hAnsi="Times New Roman" w:eastAsia="黑体" w:cs="微软雅黑"/>
      <w:b/>
      <w:bCs/>
      <w:sz w:val="22"/>
      <w:szCs w:val="24"/>
      <w:lang w:val="en-US" w:eastAsia="zh-CN" w:bidi="ar-SA"/>
    </w:rPr>
  </w:style>
  <w:style w:type="paragraph" w:styleId="5">
    <w:name w:val="heading 4"/>
    <w:semiHidden/>
    <w:unhideWhenUsed/>
    <w:qFormat/>
    <w:uiPriority w:val="9"/>
    <w:pPr>
      <w:outlineLvl w:val="3"/>
    </w:pPr>
    <w:rPr>
      <w:rFonts w:ascii="Times New Roman" w:hAnsi="Times New Roman" w:eastAsia="宋体" w:cs="微软雅黑"/>
      <w:i/>
      <w:iCs/>
      <w:color w:val="2E74B5"/>
      <w:sz w:val="28"/>
      <w:szCs w:val="22"/>
      <w:lang w:val="en-US" w:eastAsia="zh-CN" w:bidi="ar-SA"/>
    </w:rPr>
  </w:style>
  <w:style w:type="paragraph" w:styleId="6">
    <w:name w:val="heading 5"/>
    <w:semiHidden/>
    <w:unhideWhenUsed/>
    <w:qFormat/>
    <w:uiPriority w:val="9"/>
    <w:pPr>
      <w:outlineLvl w:val="4"/>
    </w:pPr>
    <w:rPr>
      <w:rFonts w:ascii="微软雅黑" w:hAnsi="微软雅黑" w:eastAsia="微软雅黑" w:cs="微软雅黑"/>
      <w:color w:val="2E74B5"/>
      <w:sz w:val="22"/>
      <w:szCs w:val="22"/>
      <w:lang w:val="en-US" w:eastAsia="zh-CN" w:bidi="ar-SA"/>
    </w:rPr>
  </w:style>
  <w:style w:type="paragraph" w:styleId="7">
    <w:name w:val="heading 6"/>
    <w:semiHidden/>
    <w:unhideWhenUsed/>
    <w:qFormat/>
    <w:uiPriority w:val="9"/>
    <w:pPr>
      <w:outlineLvl w:val="5"/>
    </w:pPr>
    <w:rPr>
      <w:rFonts w:ascii="微软雅黑" w:hAnsi="微软雅黑" w:eastAsia="微软雅黑" w:cs="微软雅黑"/>
      <w:color w:val="1F4D78"/>
      <w:sz w:val="22"/>
      <w:szCs w:val="22"/>
      <w:lang w:val="en-US" w:eastAsia="zh-CN" w:bidi="ar-SA"/>
    </w:rPr>
  </w:style>
  <w:style w:type="character" w:default="1" w:styleId="17">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8">
    <w:name w:val="annotation text"/>
    <w:basedOn w:val="1"/>
    <w:semiHidden/>
    <w:unhideWhenUsed/>
    <w:qFormat/>
    <w:uiPriority w:val="99"/>
    <w:pPr>
      <w:jc w:val="left"/>
    </w:pPr>
  </w:style>
  <w:style w:type="paragraph" w:styleId="9">
    <w:name w:val="toc 3"/>
    <w:basedOn w:val="1"/>
    <w:next w:val="1"/>
    <w:autoRedefine/>
    <w:unhideWhenUsed/>
    <w:qFormat/>
    <w:uiPriority w:val="39"/>
    <w:pPr>
      <w:ind w:left="840" w:leftChars="400"/>
    </w:pPr>
  </w:style>
  <w:style w:type="paragraph" w:styleId="10">
    <w:name w:val="footer"/>
    <w:basedOn w:val="1"/>
    <w:link w:val="25"/>
    <w:unhideWhenUsed/>
    <w:qFormat/>
    <w:uiPriority w:val="99"/>
    <w:pPr>
      <w:tabs>
        <w:tab w:val="center" w:pos="4153"/>
        <w:tab w:val="right" w:pos="8306"/>
      </w:tabs>
      <w:snapToGrid w:val="0"/>
    </w:pPr>
    <w:rPr>
      <w:sz w:val="18"/>
      <w:szCs w:val="18"/>
    </w:rPr>
  </w:style>
  <w:style w:type="paragraph" w:styleId="11">
    <w:name w:val="header"/>
    <w:basedOn w:val="1"/>
    <w:link w:val="24"/>
    <w:unhideWhenUsed/>
    <w:qFormat/>
    <w:uiPriority w:val="99"/>
    <w:pPr>
      <w:tabs>
        <w:tab w:val="center" w:pos="4153"/>
        <w:tab w:val="right" w:pos="8306"/>
      </w:tabs>
      <w:snapToGrid w:val="0"/>
      <w:jc w:val="center"/>
    </w:pPr>
    <w:rPr>
      <w:sz w:val="18"/>
      <w:szCs w:val="18"/>
    </w:rPr>
  </w:style>
  <w:style w:type="paragraph" w:styleId="12">
    <w:name w:val="toc 1"/>
    <w:basedOn w:val="1"/>
    <w:next w:val="1"/>
    <w:autoRedefine/>
    <w:unhideWhenUsed/>
    <w:qFormat/>
    <w:uiPriority w:val="39"/>
  </w:style>
  <w:style w:type="paragraph" w:styleId="13">
    <w:name w:val="footnote text"/>
    <w:link w:val="22"/>
    <w:semiHidden/>
    <w:unhideWhenUsed/>
    <w:qFormat/>
    <w:uiPriority w:val="99"/>
    <w:rPr>
      <w:rFonts w:ascii="微软雅黑" w:hAnsi="微软雅黑" w:eastAsia="微软雅黑" w:cs="微软雅黑"/>
      <w:sz w:val="20"/>
      <w:szCs w:val="20"/>
      <w:lang w:val="en-US" w:eastAsia="zh-CN" w:bidi="ar-SA"/>
    </w:rPr>
  </w:style>
  <w:style w:type="paragraph" w:styleId="14">
    <w:name w:val="toc 2"/>
    <w:basedOn w:val="1"/>
    <w:next w:val="1"/>
    <w:autoRedefine/>
    <w:unhideWhenUsed/>
    <w:qFormat/>
    <w:uiPriority w:val="39"/>
    <w:pPr>
      <w:ind w:left="420" w:leftChars="200"/>
    </w:pPr>
  </w:style>
  <w:style w:type="paragraph" w:styleId="15">
    <w:name w:val="Title"/>
    <w:qFormat/>
    <w:uiPriority w:val="10"/>
    <w:pPr>
      <w:spacing w:before="240" w:after="60"/>
      <w:jc w:val="center"/>
      <w:outlineLvl w:val="0"/>
    </w:pPr>
    <w:rPr>
      <w:rFonts w:eastAsia="宋体" w:asciiTheme="majorHAnsi" w:hAnsiTheme="majorHAnsi" w:cstheme="majorBidi"/>
      <w:b/>
      <w:bCs/>
      <w:sz w:val="32"/>
      <w:szCs w:val="32"/>
      <w:lang w:val="en-US" w:eastAsia="zh-CN" w:bidi="ar-SA"/>
    </w:rPr>
  </w:style>
  <w:style w:type="character" w:styleId="18">
    <w:name w:val="Hyperlink"/>
    <w:unhideWhenUsed/>
    <w:qFormat/>
    <w:uiPriority w:val="99"/>
    <w:rPr>
      <w:color w:val="0563C1"/>
      <w:u w:val="single"/>
    </w:rPr>
  </w:style>
  <w:style w:type="character" w:styleId="19">
    <w:name w:val="footnote reference"/>
    <w:semiHidden/>
    <w:unhideWhenUsed/>
    <w:qFormat/>
    <w:uiPriority w:val="99"/>
    <w:rPr>
      <w:vertAlign w:val="superscript"/>
    </w:rPr>
  </w:style>
  <w:style w:type="paragraph" w:customStyle="1" w:styleId="20">
    <w:name w:val="要点1"/>
    <w:qFormat/>
    <w:uiPriority w:val="0"/>
    <w:rPr>
      <w:rFonts w:ascii="微软雅黑" w:hAnsi="微软雅黑" w:eastAsia="微软雅黑" w:cs="微软雅黑"/>
      <w:b/>
      <w:bCs/>
      <w:sz w:val="22"/>
      <w:szCs w:val="22"/>
      <w:lang w:val="en-US" w:eastAsia="zh-CN" w:bidi="ar-SA"/>
    </w:rPr>
  </w:style>
  <w:style w:type="paragraph" w:styleId="21">
    <w:name w:val="List Paragraph"/>
    <w:qFormat/>
    <w:uiPriority w:val="0"/>
    <w:rPr>
      <w:rFonts w:ascii="微软雅黑" w:hAnsi="微软雅黑" w:eastAsia="微软雅黑" w:cs="微软雅黑"/>
      <w:sz w:val="22"/>
      <w:szCs w:val="22"/>
      <w:lang w:val="en-US" w:eastAsia="zh-CN" w:bidi="ar-SA"/>
    </w:rPr>
  </w:style>
  <w:style w:type="character" w:customStyle="1" w:styleId="22">
    <w:name w:val="脚注文本 字符"/>
    <w:link w:val="13"/>
    <w:semiHidden/>
    <w:unhideWhenUsed/>
    <w:qFormat/>
    <w:uiPriority w:val="99"/>
    <w:rPr>
      <w:sz w:val="20"/>
      <w:szCs w:val="20"/>
    </w:rPr>
  </w:style>
  <w:style w:type="character" w:customStyle="1" w:styleId="23">
    <w:name w:val="Unresolved Mention"/>
    <w:basedOn w:val="17"/>
    <w:semiHidden/>
    <w:unhideWhenUsed/>
    <w:qFormat/>
    <w:uiPriority w:val="99"/>
    <w:rPr>
      <w:color w:val="605E5C"/>
      <w:shd w:val="clear" w:color="auto" w:fill="E1DFDD"/>
    </w:rPr>
  </w:style>
  <w:style w:type="character" w:customStyle="1" w:styleId="24">
    <w:name w:val="页眉 字符"/>
    <w:basedOn w:val="17"/>
    <w:link w:val="11"/>
    <w:qFormat/>
    <w:uiPriority w:val="99"/>
    <w:rPr>
      <w:sz w:val="18"/>
      <w:szCs w:val="18"/>
    </w:rPr>
  </w:style>
  <w:style w:type="character" w:customStyle="1" w:styleId="25">
    <w:name w:val="页脚 字符"/>
    <w:basedOn w:val="17"/>
    <w:link w:val="10"/>
    <w:qFormat/>
    <w:uiPriority w:val="99"/>
    <w:rPr>
      <w:sz w:val="18"/>
      <w:szCs w:val="18"/>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microsoft.com/office/2011/relationships/commentsExtended" Target="commentsExtended.xml"/><Relationship Id="rId3" Type="http://schemas.openxmlformats.org/officeDocument/2006/relationships/comments" Target="comments.xml"/><Relationship Id="rId21" Type="http://schemas.microsoft.com/office/2011/relationships/people" Target="people.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32</Pages>
  <Words>1046</Words>
  <Characters>1195</Characters>
  <Lines>197</Lines>
  <Paragraphs>55</Paragraphs>
  <TotalTime>14</TotalTime>
  <ScaleCrop>false</ScaleCrop>
  <LinksUpToDate>false</LinksUpToDate>
  <CharactersWithSpaces>1295</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2026-03-12T02:31:00Z</dcterms:created>
  <dc:creator>Un-named</dc:creator>
  <cp:lastModifiedBy>WPS_1776698816</cp:lastModifiedBy>
  <dcterms:modified xsi:type="dcterms:W3CDTF">2026-07-19T11:05:51Z</dcterms:modified>
  <cp:revision>12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eyJoZGlkIjoiODlmOTQxYmNjOGQ0YzEyYWRmYmJiY2VjZDJkMDFmY2MiLCJ1c2VySWQiOiIxODI0MzU1NTE0In0=</vt:lpwstr>
  </property>
  <property fmtid="{D5CDD505-2E9C-101B-9397-08002B2CF9AE}" pid="3" name="KSOProductBuildVer">
    <vt:lpwstr>2052-12.1.0.26895</vt:lpwstr>
  </property>
  <property fmtid="{D5CDD505-2E9C-101B-9397-08002B2CF9AE}" pid="4" name="ICV">
    <vt:lpwstr>14F300B840EB41ECA751186C95B3BD32_12</vt:lpwstr>
  </property>
</Properties>
</file>