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1E432">
      <w:pPr>
        <w:autoSpaceDE w:val="0"/>
        <w:autoSpaceDN w:val="0"/>
        <w:rPr>
          <w:rFonts w:hint="eastAsia"/>
        </w:rPr>
      </w:pPr>
    </w:p>
    <w:p w14:paraId="011C1767">
      <w:pPr>
        <w:autoSpaceDE w:val="0"/>
        <w:autoSpaceDN w:val="0"/>
        <w:jc w:val="center"/>
        <w:rPr>
          <w:rFonts w:hint="eastAsia"/>
        </w:rPr>
      </w:pPr>
      <w:r>
        <w:rPr>
          <w:rFonts w:ascii="Times New Roman" w:hAnsi="Times New Roman" w:eastAsia="宋体" w:cs="Times New Roman"/>
          <w:color w:val="1F4E79"/>
          <w:sz w:val="30"/>
          <w:szCs w:val="32"/>
        </w:rPr>
        <w:t>全国大学生物联网设计竞赛</w:t>
      </w:r>
    </w:p>
    <w:p w14:paraId="2DBA779A">
      <w:pPr>
        <w:autoSpaceDE w:val="0"/>
        <w:autoSpaceDN w:val="0"/>
        <w:rPr>
          <w:rFonts w:hint="eastAsia"/>
        </w:rPr>
      </w:pPr>
    </w:p>
    <w:p w14:paraId="658B16BA">
      <w:pPr>
        <w:pBdr>
          <w:bottom w:val="single" w:color="2E75B6" w:sz="6" w:space="1"/>
        </w:pBdr>
        <w:autoSpaceDE w:val="0"/>
        <w:autoSpaceDN w:val="0"/>
        <w:jc w:val="center"/>
        <w:rPr>
          <w:rFonts w:hint="eastAsia"/>
        </w:rPr>
      </w:pPr>
    </w:p>
    <w:p w14:paraId="23F3C35D">
      <w:pPr>
        <w:autoSpaceDE w:val="0"/>
        <w:autoSpaceDN w:val="0"/>
        <w:rPr>
          <w:rFonts w:hint="eastAsia"/>
        </w:rPr>
      </w:pPr>
    </w:p>
    <w:p w14:paraId="599A843A">
      <w:pPr>
        <w:autoSpaceDE w:val="0"/>
        <w:autoSpaceDN w:val="0"/>
        <w:jc w:val="center"/>
        <w:rPr>
          <w:rFonts w:hint="eastAsia"/>
        </w:rPr>
      </w:pPr>
      <w:r>
        <w:rPr>
          <w:rFonts w:ascii="Times New Roman" w:hAnsi="Times New Roman" w:eastAsia="宋体" w:cs="Times New Roman"/>
          <w:b/>
          <w:bCs/>
          <w:color w:val="000000"/>
          <w:sz w:val="32"/>
          <w:szCs w:val="36"/>
        </w:rPr>
        <w:t>设计作品名称</w:t>
      </w:r>
    </w:p>
    <w:p w14:paraId="17CF7CD0">
      <w:pPr>
        <w:autoSpaceDE w:val="0"/>
        <w:autoSpaceDN w:val="0"/>
        <w:rPr>
          <w:rFonts w:hint="eastAsia"/>
        </w:rPr>
      </w:pPr>
    </w:p>
    <w:p w14:paraId="0DF405F1">
      <w:pPr>
        <w:autoSpaceDE w:val="0"/>
        <w:autoSpaceDN w:val="0"/>
        <w:jc w:val="center"/>
        <w:rPr>
          <w:rFonts w:hint="eastAsia"/>
        </w:rPr>
      </w:pPr>
      <w:r>
        <w:rPr>
          <w:rFonts w:ascii="黑体" w:hAnsi="黑体" w:eastAsia="黑体" w:cs="Times New Roman"/>
          <w:b/>
          <w:bCs/>
          <w:color w:val="1F4E79"/>
          <w:sz w:val="52"/>
          <w:szCs w:val="48"/>
        </w:rPr>
        <w:t>智能护理病床云平台</w:t>
      </w:r>
    </w:p>
    <w:p w14:paraId="6594A1E0">
      <w:pPr>
        <w:autoSpaceDE w:val="0"/>
        <w:autoSpaceDN w:val="0"/>
        <w:jc w:val="center"/>
        <w:rPr>
          <w:rFonts w:hint="eastAsia"/>
        </w:rPr>
      </w:pPr>
      <w:r>
        <w:rPr>
          <w:rFonts w:ascii="黑体" w:hAnsi="黑体" w:eastAsia="黑体" w:cs="Times New Roman"/>
          <w:b/>
          <w:color w:val="2E75B6"/>
          <w:sz w:val="32"/>
          <w:szCs w:val="26"/>
        </w:rPr>
        <w:t>——基于物联网与AI大模型的慢性病患者智能看护系统</w:t>
      </w:r>
    </w:p>
    <w:p w14:paraId="1212F87A">
      <w:pPr>
        <w:pBdr>
          <w:bottom w:val="single" w:color="2E75B6" w:sz="6" w:space="1"/>
        </w:pBdr>
        <w:autoSpaceDE w:val="0"/>
        <w:autoSpaceDN w:val="0"/>
        <w:jc w:val="center"/>
        <w:rPr>
          <w:rFonts w:hint="eastAsia"/>
        </w:rPr>
      </w:pPr>
    </w:p>
    <w:p w14:paraId="7CD31B96">
      <w:pPr>
        <w:autoSpaceDE w:val="0"/>
        <w:autoSpaceDN w:val="0"/>
        <w:rPr>
          <w:rFonts w:hint="eastAsia"/>
        </w:rPr>
      </w:pPr>
    </w:p>
    <w:tbl>
      <w:tblPr>
        <w:tblStyle w:val="16"/>
        <w:tblW w:w="5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tblGrid>
      <w:tr w14:paraId="65EE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Mar>
              <w:top w:w="60" w:type="dxa"/>
              <w:left w:w="120" w:type="dxa"/>
              <w:bottom w:w="60" w:type="dxa"/>
              <w:right w:w="0" w:type="dxa"/>
            </w:tcMar>
            <w:vAlign w:val="center"/>
          </w:tcPr>
          <w:p w14:paraId="49D63D55">
            <w:pPr>
              <w:autoSpaceDE w:val="0"/>
              <w:autoSpaceDN w:val="0"/>
              <w:jc w:val="center"/>
              <w:rPr>
                <w:rFonts w:hint="eastAsia"/>
              </w:rPr>
            </w:pPr>
            <w:r>
              <w:rPr>
                <w:rFonts w:ascii="Times New Roman" w:hAnsi="Times New Roman" w:eastAsia="宋体" w:cs="Times New Roman"/>
                <w:b/>
                <w:bCs/>
                <w:color w:val="666666"/>
                <w:sz w:val="24"/>
                <w:szCs w:val="24"/>
              </w:rPr>
              <w:t>学校名称：</w:t>
            </w:r>
          </w:p>
        </w:tc>
        <w:tc>
          <w:tcPr>
            <w:tcW w:w="3400" w:type="dxa"/>
            <w:tcMar>
              <w:top w:w="60" w:type="dxa"/>
              <w:left w:w="120" w:type="dxa"/>
              <w:bottom w:w="60" w:type="dxa"/>
              <w:right w:w="120" w:type="dxa"/>
            </w:tcMar>
            <w:vAlign w:val="center"/>
          </w:tcPr>
          <w:p w14:paraId="3AFBB8D3">
            <w:pPr>
              <w:autoSpaceDE w:val="0"/>
              <w:autoSpaceDN w:val="0"/>
              <w:jc w:val="center"/>
              <w:rPr>
                <w:rFonts w:hint="eastAsia"/>
              </w:rPr>
            </w:pPr>
            <w:r>
              <w:rPr>
                <w:rFonts w:hint="eastAsia" w:ascii="Times New Roman" w:hAnsi="Times New Roman" w:eastAsia="宋体" w:cs="Times New Roman"/>
                <w:sz w:val="24"/>
                <w:szCs w:val="24"/>
              </w:rPr>
              <w:t>四川</w:t>
            </w:r>
            <w:r>
              <w:rPr>
                <w:rFonts w:ascii="Times New Roman" w:hAnsi="Times New Roman" w:eastAsia="宋体" w:cs="Times New Roman"/>
                <w:sz w:val="24"/>
                <w:szCs w:val="24"/>
              </w:rPr>
              <w:t>大学</w:t>
            </w:r>
          </w:p>
        </w:tc>
      </w:tr>
      <w:tr w14:paraId="4331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Mar>
              <w:top w:w="60" w:type="dxa"/>
              <w:left w:w="120" w:type="dxa"/>
              <w:bottom w:w="60" w:type="dxa"/>
              <w:right w:w="0" w:type="dxa"/>
            </w:tcMar>
            <w:vAlign w:val="center"/>
          </w:tcPr>
          <w:p w14:paraId="0302DE68">
            <w:pPr>
              <w:autoSpaceDE w:val="0"/>
              <w:autoSpaceDN w:val="0"/>
              <w:jc w:val="center"/>
              <w:rPr>
                <w:rFonts w:hint="eastAsia"/>
              </w:rPr>
            </w:pPr>
            <w:r>
              <w:rPr>
                <w:rFonts w:ascii="Times New Roman" w:hAnsi="Times New Roman" w:eastAsia="宋体" w:cs="Times New Roman"/>
                <w:b/>
                <w:bCs/>
                <w:color w:val="666666"/>
                <w:sz w:val="24"/>
                <w:szCs w:val="24"/>
              </w:rPr>
              <w:t>团队名称：</w:t>
            </w:r>
          </w:p>
        </w:tc>
        <w:tc>
          <w:tcPr>
            <w:tcW w:w="3400" w:type="dxa"/>
            <w:tcMar>
              <w:top w:w="60" w:type="dxa"/>
              <w:left w:w="120" w:type="dxa"/>
              <w:bottom w:w="60" w:type="dxa"/>
              <w:right w:w="120" w:type="dxa"/>
            </w:tcMar>
            <w:vAlign w:val="center"/>
          </w:tcPr>
          <w:p w14:paraId="201AE78B">
            <w:pPr>
              <w:autoSpaceDE w:val="0"/>
              <w:autoSpaceDN w:val="0"/>
              <w:jc w:val="center"/>
              <w:rPr>
                <w:rFonts w:hint="eastAsia"/>
              </w:rPr>
            </w:pPr>
            <w:r>
              <w:rPr>
                <w:rFonts w:hint="eastAsia" w:ascii="Times New Roman" w:hAnsi="Times New Roman" w:eastAsia="宋体" w:cs="Times New Roman"/>
                <w:sz w:val="24"/>
                <w:szCs w:val="24"/>
                <w:lang w:val="en-US" w:eastAsia="zh-CN"/>
              </w:rPr>
              <w:t>太聪明了</w:t>
            </w:r>
            <w:r>
              <w:rPr>
                <w:rFonts w:ascii="Times New Roman" w:hAnsi="Times New Roman" w:eastAsia="宋体" w:cs="Times New Roman"/>
                <w:sz w:val="24"/>
                <w:szCs w:val="24"/>
              </w:rPr>
              <w:t>队</w:t>
            </w:r>
          </w:p>
        </w:tc>
      </w:tr>
      <w:tr w14:paraId="798F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Mar>
              <w:top w:w="60" w:type="dxa"/>
              <w:left w:w="120" w:type="dxa"/>
              <w:bottom w:w="60" w:type="dxa"/>
              <w:right w:w="0" w:type="dxa"/>
            </w:tcMar>
            <w:vAlign w:val="center"/>
          </w:tcPr>
          <w:p w14:paraId="5B879DF5">
            <w:pPr>
              <w:autoSpaceDE w:val="0"/>
              <w:autoSpaceDN w:val="0"/>
              <w:jc w:val="center"/>
              <w:rPr>
                <w:rFonts w:hint="eastAsia"/>
              </w:rPr>
            </w:pPr>
            <w:r>
              <w:rPr>
                <w:rFonts w:ascii="Times New Roman" w:hAnsi="Times New Roman" w:eastAsia="宋体" w:cs="Times New Roman"/>
                <w:b/>
                <w:bCs/>
                <w:color w:val="666666"/>
                <w:sz w:val="24"/>
                <w:szCs w:val="24"/>
              </w:rPr>
              <w:t>队长姓名：</w:t>
            </w:r>
          </w:p>
        </w:tc>
        <w:tc>
          <w:tcPr>
            <w:tcW w:w="3400" w:type="dxa"/>
            <w:tcMar>
              <w:top w:w="60" w:type="dxa"/>
              <w:left w:w="120" w:type="dxa"/>
              <w:bottom w:w="60" w:type="dxa"/>
              <w:right w:w="120" w:type="dxa"/>
            </w:tcMar>
            <w:vAlign w:val="center"/>
          </w:tcPr>
          <w:p w14:paraId="7CC3AB4C">
            <w:pPr>
              <w:autoSpaceDE w:val="0"/>
              <w:autoSpaceDN w:val="0"/>
              <w:jc w:val="center"/>
              <w:rPr>
                <w:rFonts w:hint="eastAsia"/>
              </w:rPr>
            </w:pPr>
            <w:r>
              <w:rPr>
                <w:rFonts w:hint="eastAsia" w:ascii="Times New Roman" w:hAnsi="Times New Roman" w:eastAsia="宋体"/>
                <w:sz w:val="21"/>
              </w:rPr>
              <w:t>赵元见</w:t>
            </w:r>
          </w:p>
        </w:tc>
      </w:tr>
      <w:tr w14:paraId="0C98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Mar>
              <w:top w:w="60" w:type="dxa"/>
              <w:left w:w="120" w:type="dxa"/>
              <w:bottom w:w="60" w:type="dxa"/>
              <w:right w:w="0" w:type="dxa"/>
            </w:tcMar>
            <w:vAlign w:val="center"/>
          </w:tcPr>
          <w:p w14:paraId="123B3012">
            <w:pPr>
              <w:autoSpaceDE w:val="0"/>
              <w:autoSpaceDN w:val="0"/>
              <w:jc w:val="center"/>
              <w:rPr>
                <w:rFonts w:hint="eastAsia"/>
              </w:rPr>
            </w:pPr>
            <w:r>
              <w:rPr>
                <w:rFonts w:ascii="Times New Roman" w:hAnsi="Times New Roman" w:eastAsia="宋体" w:cs="Times New Roman"/>
                <w:b/>
                <w:bCs/>
                <w:color w:val="666666"/>
                <w:sz w:val="24"/>
                <w:szCs w:val="24"/>
              </w:rPr>
              <w:t>指导教师：</w:t>
            </w:r>
          </w:p>
        </w:tc>
        <w:tc>
          <w:tcPr>
            <w:tcW w:w="3400" w:type="dxa"/>
            <w:tcMar>
              <w:top w:w="60" w:type="dxa"/>
              <w:left w:w="120" w:type="dxa"/>
              <w:bottom w:w="60" w:type="dxa"/>
              <w:right w:w="120" w:type="dxa"/>
            </w:tcMar>
            <w:vAlign w:val="center"/>
          </w:tcPr>
          <w:p w14:paraId="03AFDC03">
            <w:pPr>
              <w:autoSpaceDE w:val="0"/>
              <w:autoSpaceDN w:val="0"/>
              <w:jc w:val="center"/>
              <w:rPr>
                <w:rFonts w:hint="eastAsia"/>
              </w:rPr>
            </w:pPr>
            <w:r>
              <w:rPr>
                <w:rFonts w:hint="eastAsia" w:ascii="Times New Roman" w:hAnsi="Times New Roman" w:eastAsia="宋体"/>
                <w:sz w:val="21"/>
                <w:lang w:val="en-US" w:eastAsia="zh-CN"/>
              </w:rPr>
              <w:t>丁莎</w:t>
            </w:r>
          </w:p>
        </w:tc>
      </w:tr>
      <w:tr w14:paraId="16C0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Mar>
              <w:top w:w="60" w:type="dxa"/>
              <w:left w:w="120" w:type="dxa"/>
              <w:bottom w:w="60" w:type="dxa"/>
              <w:right w:w="0" w:type="dxa"/>
            </w:tcMar>
            <w:vAlign w:val="center"/>
          </w:tcPr>
          <w:p w14:paraId="42E1A145">
            <w:pPr>
              <w:autoSpaceDE w:val="0"/>
              <w:autoSpaceDN w:val="0"/>
              <w:jc w:val="center"/>
              <w:rPr>
                <w:rFonts w:hint="eastAsia"/>
              </w:rPr>
            </w:pPr>
            <w:r>
              <w:rPr>
                <w:rFonts w:ascii="Times New Roman" w:hAnsi="Times New Roman" w:eastAsia="宋体" w:cs="Times New Roman"/>
                <w:b/>
                <w:bCs/>
                <w:color w:val="666666"/>
                <w:sz w:val="24"/>
                <w:szCs w:val="24"/>
              </w:rPr>
              <w:t>联系电话：</w:t>
            </w:r>
          </w:p>
        </w:tc>
        <w:tc>
          <w:tcPr>
            <w:tcW w:w="3400" w:type="dxa"/>
            <w:tcMar>
              <w:top w:w="60" w:type="dxa"/>
              <w:left w:w="120" w:type="dxa"/>
              <w:bottom w:w="60" w:type="dxa"/>
              <w:right w:w="120" w:type="dxa"/>
            </w:tcMar>
            <w:vAlign w:val="center"/>
          </w:tcPr>
          <w:p w14:paraId="64F499E6">
            <w:pPr>
              <w:autoSpaceDE w:val="0"/>
              <w:autoSpaceDN w:val="0"/>
              <w:jc w:val="center"/>
              <w:rPr>
                <w:rFonts w:hint="default" w:eastAsia="宋体"/>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8190760886</w:t>
            </w:r>
            <w:bookmarkStart w:id="33" w:name="_GoBack"/>
            <w:bookmarkEnd w:id="33"/>
          </w:p>
        </w:tc>
      </w:tr>
    </w:tbl>
    <w:p w14:paraId="02FCEF3A">
      <w:pPr>
        <w:autoSpaceDE w:val="0"/>
        <w:autoSpaceDN w:val="0"/>
        <w:rPr>
          <w:rFonts w:hint="eastAsia"/>
        </w:rPr>
      </w:pPr>
    </w:p>
    <w:p w14:paraId="3C723AFE">
      <w:pPr>
        <w:autoSpaceDE w:val="0"/>
        <w:autoSpaceDN w:val="0"/>
        <w:jc w:val="center"/>
        <w:rPr>
          <w:rFonts w:hint="eastAsia"/>
        </w:rPr>
      </w:pPr>
      <w:r>
        <w:rPr>
          <w:rFonts w:ascii="Times New Roman" w:hAnsi="Times New Roman" w:eastAsia="宋体" w:cs="Times New Roman"/>
          <w:color w:val="666666"/>
          <w:sz w:val="30"/>
        </w:rPr>
        <w:t>全国大学生物联网设计竞赛组委会</w:t>
      </w:r>
    </w:p>
    <w:p w14:paraId="054E0197">
      <w:pPr>
        <w:autoSpaceDE w:val="0"/>
        <w:autoSpaceDN w:val="0"/>
        <w:jc w:val="center"/>
        <w:rPr>
          <w:rFonts w:hint="eastAsia"/>
        </w:rPr>
      </w:pPr>
      <w:r>
        <w:rPr>
          <w:rFonts w:ascii="Times New Roman" w:hAnsi="Times New Roman" w:eastAsia="宋体" w:cs="Times New Roman"/>
          <w:color w:val="666666"/>
          <w:sz w:val="28"/>
        </w:rPr>
        <w:t>202</w:t>
      </w:r>
      <w:r>
        <w:rPr>
          <w:rFonts w:hint="eastAsia" w:ascii="Times New Roman" w:hAnsi="Times New Roman" w:eastAsia="宋体" w:cs="Times New Roman"/>
          <w:color w:val="666666"/>
          <w:sz w:val="28"/>
        </w:rPr>
        <w:t>6</w:t>
      </w:r>
      <w:r>
        <w:rPr>
          <w:rFonts w:ascii="Times New Roman" w:hAnsi="Times New Roman" w:eastAsia="宋体" w:cs="Times New Roman"/>
          <w:color w:val="666666"/>
          <w:sz w:val="28"/>
        </w:rPr>
        <w:t>年7月</w:t>
      </w:r>
    </w:p>
    <w:p w14:paraId="1C9FA3C6">
      <w:pPr>
        <w:autoSpaceDE w:val="0"/>
        <w:autoSpaceDN w:val="0"/>
        <w:rPr>
          <w:rFonts w:hint="eastAsia"/>
        </w:rPr>
        <w:sectPr>
          <w:pgSz w:w="11906" w:h="16838"/>
          <w:pgMar w:top="1800" w:right="1800" w:bottom="1800" w:left="1800" w:header="708" w:footer="708" w:gutter="0"/>
          <w:cols w:space="720" w:num="1"/>
          <w:docGrid w:linePitch="360" w:charSpace="0"/>
        </w:sectPr>
      </w:pPr>
    </w:p>
    <w:sdt>
      <w:sdtPr>
        <w:rPr>
          <w:rFonts w:ascii="宋体" w:hAnsi="宋体" w:eastAsia="宋体"/>
          <w:sz w:val="24"/>
          <w:szCs w:val="24"/>
        </w:rPr>
        <w:alias w:val="目录"/>
        <w:id w:val="338440648"/>
      </w:sdtPr>
      <w:sdtEndPr>
        <w:rPr>
          <w:rFonts w:ascii="宋体" w:hAnsi="宋体" w:eastAsia="宋体"/>
          <w:sz w:val="24"/>
          <w:szCs w:val="24"/>
        </w:rPr>
      </w:sdtEndPr>
      <w:sdtContent>
        <w:p w14:paraId="7474135A">
          <w:pPr>
            <w:pStyle w:val="12"/>
            <w:tabs>
              <w:tab w:val="right" w:leader="dot" w:pos="9016"/>
            </w:tabs>
            <w:rPr>
              <w:rFonts w:hint="eastAsia" w:asciiTheme="minorHAnsi" w:hAnsiTheme="minorHAnsi" w:eastAsiaTheme="minorEastAsia" w:cstheme="minorBidi"/>
              <w:kern w:val="2"/>
              <w:szCs w:val="24"/>
              <w14:ligatures w14:val="standardContextual"/>
            </w:rPr>
          </w:pPr>
          <w:r>
            <w:rPr>
              <w:rFonts w:ascii="宋体" w:hAnsi="宋体" w:eastAsia="宋体"/>
              <w:sz w:val="24"/>
              <w:szCs w:val="24"/>
            </w:rPr>
            <w:fldChar w:fldCharType="begin"/>
          </w:r>
          <w:r>
            <w:rPr>
              <w:rFonts w:ascii="宋体" w:hAnsi="宋体" w:eastAsia="宋体"/>
              <w:sz w:val="24"/>
              <w:szCs w:val="24"/>
            </w:rPr>
            <w:instrText xml:space="preserve">TOC \h \o "1-3"</w:instrText>
          </w:r>
          <w:r>
            <w:rPr>
              <w:rFonts w:ascii="宋体" w:hAnsi="宋体" w:eastAsia="宋体"/>
              <w:sz w:val="24"/>
              <w:szCs w:val="24"/>
            </w:rPr>
            <w:fldChar w:fldCharType="separate"/>
          </w:r>
          <w:r>
            <w:fldChar w:fldCharType="begin"/>
          </w:r>
          <w:r>
            <w:instrText xml:space="preserve"> HYPERLINK \l "_Toc224321308" </w:instrText>
          </w:r>
          <w:r>
            <w:fldChar w:fldCharType="separate"/>
          </w:r>
          <w:r>
            <w:rPr>
              <w:rStyle w:val="18"/>
              <w:rFonts w:hint="eastAsia" w:ascii="Times New Roman" w:hAnsi="Times New Roman" w:eastAsia="黑体" w:cs="Times New Roman"/>
            </w:rPr>
            <w:t>摘要</w:t>
          </w:r>
          <w:r>
            <w:rPr>
              <w:rFonts w:hint="eastAsia"/>
            </w:rPr>
            <w:tab/>
          </w:r>
          <w:r>
            <w:rPr>
              <w:rFonts w:hint="eastAsia"/>
            </w:rPr>
            <w:fldChar w:fldCharType="begin"/>
          </w:r>
          <w:r>
            <w:rPr>
              <w:rFonts w:hint="eastAsia"/>
            </w:rPr>
            <w:instrText xml:space="preserve"> </w:instrText>
          </w:r>
          <w:r>
            <w:instrText xml:space="preserve">PAGEREF _Toc224321308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41764A6">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"_Toc224321309" </w:instrText>
          </w:r>
          <w:r>
            <w:fldChar w:fldCharType="separate"/>
          </w:r>
          <w:r>
            <w:rPr>
              <w:rStyle w:val="18"/>
              <w:rFonts w:hint="eastAsia" w:ascii="Times New Roman" w:hAnsi="Times New Roman" w:eastAsia="黑体" w:cs="Times New Roman"/>
            </w:rPr>
            <w:t>设计需求分析</w:t>
          </w:r>
          <w:r>
            <w:rPr>
              <w:rFonts w:hint="eastAsia"/>
            </w:rPr>
            <w:tab/>
          </w:r>
          <w:r>
            <w:rPr>
              <w:rFonts w:hint="eastAsia"/>
            </w:rPr>
            <w:fldChar w:fldCharType="begin"/>
          </w:r>
          <w:r>
            <w:rPr>
              <w:rFonts w:hint="eastAsia"/>
            </w:rPr>
            <w:instrText xml:space="preserve"> </w:instrText>
          </w:r>
          <w:r>
            <w:instrText xml:space="preserve">PAGEREF _Toc224321309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07CFF02">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"_Toc224321310" </w:instrText>
          </w:r>
          <w:r>
            <w:fldChar w:fldCharType="separate"/>
          </w:r>
          <w:r>
            <w:rPr>
              <w:rStyle w:val="18"/>
              <w:rFonts w:hint="eastAsia" w:ascii="Times New Roman" w:hAnsi="Times New Roman" w:eastAsia="黑体" w:cs="Times New Roman"/>
            </w:rPr>
            <w:t>需求分析</w:t>
          </w:r>
          <w:r>
            <w:rPr>
              <w:rFonts w:hint="eastAsia"/>
            </w:rPr>
            <w:tab/>
          </w:r>
          <w:r>
            <w:rPr>
              <w:rFonts w:hint="eastAsia"/>
            </w:rPr>
            <w:fldChar w:fldCharType="begin"/>
          </w:r>
          <w:r>
            <w:rPr>
              <w:rFonts w:hint="eastAsia"/>
            </w:rPr>
            <w:instrText xml:space="preserve"> </w:instrText>
          </w:r>
          <w:r>
            <w:instrText xml:space="preserve">PAGEREF _Toc224321310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64FCD3D">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"_Toc224321311" </w:instrText>
          </w:r>
          <w:r>
            <w:fldChar w:fldCharType="separate"/>
          </w:r>
          <w:r>
            <w:rPr>
              <w:rStyle w:val="18"/>
              <w:rFonts w:hint="eastAsia" w:ascii="Times New Roman" w:hAnsi="Times New Roman" w:eastAsia="黑体" w:cs="Times New Roman"/>
            </w:rPr>
            <w:t>行业痛点</w:t>
          </w:r>
          <w:r>
            <w:rPr>
              <w:rFonts w:hint="eastAsia"/>
            </w:rPr>
            <w:tab/>
          </w:r>
          <w:r>
            <w:rPr>
              <w:rFonts w:hint="eastAsia"/>
            </w:rPr>
            <w:fldChar w:fldCharType="begin"/>
          </w:r>
          <w:r>
            <w:rPr>
              <w:rFonts w:hint="eastAsia"/>
            </w:rPr>
            <w:instrText xml:space="preserve"> </w:instrText>
          </w:r>
          <w:r>
            <w:instrText xml:space="preserve">PAGEREF _Toc224321311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7E816B02">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"_Toc224321312" </w:instrText>
          </w:r>
          <w:r>
            <w:fldChar w:fldCharType="separate"/>
          </w:r>
          <w:r>
            <w:rPr>
              <w:rStyle w:val="18"/>
              <w:rFonts w:hint="eastAsia" w:ascii="Times New Roman" w:hAnsi="Times New Roman" w:eastAsia="黑体" w:cs="Times New Roman"/>
            </w:rPr>
            <w:t>特色与创新</w:t>
          </w:r>
          <w:r>
            <w:rPr>
              <w:rFonts w:hint="eastAsia"/>
            </w:rPr>
            <w:tab/>
          </w:r>
          <w:r>
            <w:rPr>
              <w:rFonts w:hint="eastAsia"/>
            </w:rPr>
            <w:fldChar w:fldCharType="begin"/>
          </w:r>
          <w:r>
            <w:rPr>
              <w:rFonts w:hint="eastAsia"/>
            </w:rPr>
            <w:instrText xml:space="preserve"> </w:instrText>
          </w:r>
          <w:r>
            <w:instrText xml:space="preserve">PAGEREF _Toc224321312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5F3215D">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"_Toc224321313" </w:instrText>
          </w:r>
          <w:r>
            <w:fldChar w:fldCharType="separate"/>
          </w:r>
          <w:r>
            <w:rPr>
              <w:rStyle w:val="18"/>
              <w:rFonts w:hint="eastAsia" w:ascii="Times New Roman" w:hAnsi="Times New Roman" w:eastAsia="黑体" w:cs="Times New Roman"/>
            </w:rPr>
            <w:t>技术创新</w:t>
          </w:r>
          <w:r>
            <w:rPr>
              <w:rFonts w:hint="eastAsia"/>
            </w:rPr>
            <w:tab/>
          </w:r>
          <w:r>
            <w:rPr>
              <w:rFonts w:hint="eastAsia"/>
            </w:rPr>
            <w:fldChar w:fldCharType="begin"/>
          </w:r>
          <w:r>
            <w:rPr>
              <w:rFonts w:hint="eastAsia"/>
            </w:rPr>
            <w:instrText xml:space="preserve"> </w:instrText>
          </w:r>
          <w:r>
            <w:instrText xml:space="preserve">PAGEREF _Toc224321313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B53CD85">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"_Toc224321314" </w:instrText>
          </w:r>
          <w:r>
            <w:fldChar w:fldCharType="separate"/>
          </w:r>
          <w:r>
            <w:rPr>
              <w:rStyle w:val="18"/>
              <w:rFonts w:hint="eastAsia" w:ascii="Times New Roman" w:hAnsi="Times New Roman" w:eastAsia="黑体" w:cs="Times New Roman"/>
            </w:rPr>
            <w:t>功能创新和优势</w:t>
          </w:r>
          <w:r>
            <w:rPr>
              <w:rFonts w:hint="eastAsia"/>
            </w:rPr>
            <w:tab/>
          </w:r>
          <w:r>
            <w:rPr>
              <w:rFonts w:hint="eastAsia"/>
            </w:rPr>
            <w:fldChar w:fldCharType="begin"/>
          </w:r>
          <w:r>
            <w:rPr>
              <w:rFonts w:hint="eastAsia"/>
            </w:rPr>
            <w:instrText xml:space="preserve"> </w:instrText>
          </w:r>
          <w:r>
            <w:instrText xml:space="preserve">PAGEREF _Toc224321314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79002DE5">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"_Toc224321315" </w:instrText>
          </w:r>
          <w:r>
            <w:fldChar w:fldCharType="separate"/>
          </w:r>
          <w:r>
            <w:rPr>
              <w:rStyle w:val="18"/>
              <w:rFonts w:hint="eastAsia" w:ascii="Times New Roman" w:hAnsi="Times New Roman" w:cs="Times New Roman"/>
            </w:rPr>
            <w:t>功能设计</w:t>
          </w:r>
          <w:r>
            <w:rPr>
              <w:rFonts w:hint="eastAsia"/>
            </w:rPr>
            <w:tab/>
          </w:r>
          <w:r>
            <w:rPr>
              <w:rFonts w:hint="eastAsia"/>
            </w:rPr>
            <w:fldChar w:fldCharType="begin"/>
          </w:r>
          <w:r>
            <w:rPr>
              <w:rFonts w:hint="eastAsia"/>
            </w:rPr>
            <w:instrText xml:space="preserve"> </w:instrText>
          </w:r>
          <w:r>
            <w:instrText xml:space="preserve">PAGEREF _Toc224321315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6EDAE71">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"_Toc224321316" </w:instrText>
          </w:r>
          <w:r>
            <w:fldChar w:fldCharType="separate"/>
          </w:r>
          <w:r>
            <w:rPr>
              <w:rStyle w:val="18"/>
              <w:rFonts w:hint="eastAsia" w:ascii="Times New Roman" w:hAnsi="Times New Roman" w:cs="Times New Roman"/>
            </w:rPr>
            <w:t>整体结构</w:t>
          </w:r>
          <w:r>
            <w:rPr>
              <w:rFonts w:hint="eastAsia"/>
            </w:rPr>
            <w:tab/>
          </w:r>
          <w:r>
            <w:rPr>
              <w:rFonts w:hint="eastAsia"/>
            </w:rPr>
            <w:fldChar w:fldCharType="begin"/>
          </w:r>
          <w:r>
            <w:rPr>
              <w:rFonts w:hint="eastAsia"/>
            </w:rPr>
            <w:instrText xml:space="preserve"> </w:instrText>
          </w:r>
          <w:r>
            <w:instrText xml:space="preserve">PAGEREF _Toc224321316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749EF75">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"_Toc224321317" </w:instrText>
          </w:r>
          <w:r>
            <w:fldChar w:fldCharType="separate"/>
          </w:r>
          <w:r>
            <w:rPr>
              <w:rStyle w:val="18"/>
              <w:rFonts w:hint="eastAsia" w:ascii="Times New Roman" w:hAnsi="Times New Roman" w:eastAsia="黑体" w:cs="Times New Roman"/>
            </w:rPr>
            <w:t>体征数据实时监测与告警</w:t>
          </w:r>
          <w:r>
            <w:rPr>
              <w:rFonts w:hint="eastAsia"/>
            </w:rPr>
            <w:tab/>
          </w:r>
          <w:r>
            <w:rPr>
              <w:rFonts w:hint="eastAsia"/>
            </w:rPr>
            <w:fldChar w:fldCharType="begin"/>
          </w:r>
          <w:r>
            <w:rPr>
              <w:rFonts w:hint="eastAsia"/>
            </w:rPr>
            <w:instrText xml:space="preserve"> </w:instrText>
          </w:r>
          <w:r>
            <w:instrText xml:space="preserve">PAGEREF _Toc224321317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2A741D25">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"_Toc224321318" </w:instrText>
          </w:r>
          <w:r>
            <w:fldChar w:fldCharType="separate"/>
          </w:r>
          <w:r>
            <w:rPr>
              <w:rStyle w:val="18"/>
              <w:rFonts w:hint="eastAsia" w:ascii="Times New Roman" w:hAnsi="Times New Roman" w:eastAsia="黑体" w:cs="Times New Roman"/>
            </w:rPr>
            <w:t>边缘AI睡姿分类与受压风险监测</w:t>
          </w:r>
          <w:r>
            <w:rPr>
              <w:rFonts w:hint="eastAsia"/>
            </w:rPr>
            <w:tab/>
          </w:r>
          <w:r>
            <w:rPr>
              <w:rFonts w:hint="eastAsia"/>
            </w:rPr>
            <w:fldChar w:fldCharType="begin"/>
          </w:r>
          <w:r>
            <w:rPr>
              <w:rFonts w:hint="eastAsia"/>
            </w:rPr>
            <w:instrText xml:space="preserve"> </w:instrText>
          </w:r>
          <w:r>
            <w:instrText xml:space="preserve">PAGEREF _Toc224321318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38ECC6A">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"_Toc224321319" </w:instrText>
          </w:r>
          <w:r>
            <w:fldChar w:fldCharType="separate"/>
          </w:r>
          <w:r>
            <w:rPr>
              <w:rStyle w:val="18"/>
              <w:rFonts w:hint="eastAsia" w:ascii="Times New Roman" w:hAnsi="Times New Roman" w:eastAsia="黑体" w:cs="Times New Roman"/>
            </w:rPr>
            <w:t>AI智能健康报告生成</w:t>
          </w:r>
          <w:r>
            <w:rPr>
              <w:rFonts w:hint="eastAsia"/>
            </w:rPr>
            <w:tab/>
          </w:r>
          <w:r>
            <w:rPr>
              <w:rFonts w:hint="eastAsia"/>
            </w:rPr>
            <w:fldChar w:fldCharType="begin"/>
          </w:r>
          <w:r>
            <w:rPr>
              <w:rFonts w:hint="eastAsia"/>
            </w:rPr>
            <w:instrText xml:space="preserve"> </w:instrText>
          </w:r>
          <w:r>
            <w:instrText xml:space="preserve">PAGEREF _Toc224321319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5844CC48">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"_Toc224321320" </w:instrText>
          </w:r>
          <w:r>
            <w:fldChar w:fldCharType="separate"/>
          </w:r>
          <w:r>
            <w:rPr>
              <w:rStyle w:val="18"/>
              <w:rFonts w:hint="eastAsia" w:ascii="Times New Roman" w:hAnsi="Times New Roman" w:eastAsia="黑体" w:cs="Times New Roman"/>
            </w:rPr>
            <w:t>语音AI陪护与家属关注分析</w:t>
          </w:r>
          <w:r>
            <w:rPr>
              <w:rFonts w:hint="eastAsia"/>
            </w:rPr>
            <w:tab/>
          </w:r>
          <w:r>
            <w:rPr>
              <w:rFonts w:hint="eastAsia"/>
            </w:rPr>
            <w:fldChar w:fldCharType="begin"/>
          </w:r>
          <w:r>
            <w:rPr>
              <w:rFonts w:hint="eastAsia"/>
            </w:rPr>
            <w:instrText xml:space="preserve"> </w:instrText>
          </w:r>
          <w:r>
            <w:instrText xml:space="preserve">PAGEREF _Toc224321320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25DD4D3">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"_Toc224321321" </w:instrText>
          </w:r>
          <w:r>
            <w:fldChar w:fldCharType="separate"/>
          </w:r>
          <w:r>
            <w:rPr>
              <w:rStyle w:val="18"/>
              <w:rFonts w:hint="eastAsia" w:ascii="Times New Roman" w:hAnsi="Times New Roman" w:eastAsia="黑体" w:cs="Times New Roman"/>
            </w:rPr>
            <w:t>自然语言控制</w:t>
          </w:r>
          <w:r>
            <w:rPr>
              <w:rFonts w:hint="eastAsia"/>
            </w:rPr>
            <w:tab/>
          </w:r>
          <w:r>
            <w:rPr>
              <w:rFonts w:hint="eastAsia"/>
            </w:rPr>
            <w:fldChar w:fldCharType="begin"/>
          </w:r>
          <w:r>
            <w:rPr>
              <w:rFonts w:hint="eastAsia"/>
            </w:rPr>
            <w:instrText xml:space="preserve"> </w:instrText>
          </w:r>
          <w:r>
            <w:instrText xml:space="preserve">PAGEREF _Toc224321321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44BA875B">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"_Toc224321322" </w:instrText>
          </w:r>
          <w:r>
            <w:fldChar w:fldCharType="separate"/>
          </w:r>
          <w:r>
            <w:rPr>
              <w:rStyle w:val="18"/>
              <w:rFonts w:hint="eastAsia" w:ascii="Times New Roman" w:hAnsi="Times New Roman" w:eastAsia="黑体" w:cs="Times New Roman"/>
            </w:rPr>
            <w:t>病床自主导航系统</w:t>
          </w:r>
          <w:r>
            <w:rPr>
              <w:rFonts w:hint="eastAsia"/>
            </w:rPr>
            <w:tab/>
          </w:r>
          <w:r>
            <w:rPr>
              <w:rFonts w:hint="eastAsia"/>
            </w:rPr>
            <w:fldChar w:fldCharType="begin"/>
          </w:r>
          <w:r>
            <w:rPr>
              <w:rFonts w:hint="eastAsia"/>
            </w:rPr>
            <w:instrText xml:space="preserve"> </w:instrText>
          </w:r>
          <w:r>
            <w:instrText xml:space="preserve">PAGEREF _Toc224321322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2E78CB1">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"_Toc224321323" </w:instrText>
          </w:r>
          <w:r>
            <w:fldChar w:fldCharType="separate"/>
          </w:r>
          <w:r>
            <w:rPr>
              <w:rStyle w:val="18"/>
              <w:rFonts w:hint="eastAsia" w:ascii="Times New Roman" w:hAnsi="Times New Roman" w:eastAsia="黑体" w:cs="Times New Roman"/>
            </w:rPr>
            <w:t>系统实现</w:t>
          </w:r>
          <w:r>
            <w:rPr>
              <w:rFonts w:hint="eastAsia"/>
            </w:rPr>
            <w:tab/>
          </w:r>
          <w:r>
            <w:rPr>
              <w:rFonts w:hint="eastAsia"/>
            </w:rPr>
            <w:fldChar w:fldCharType="begin"/>
          </w:r>
          <w:r>
            <w:rPr>
              <w:rFonts w:hint="eastAsia"/>
            </w:rPr>
            <w:instrText xml:space="preserve"> </w:instrText>
          </w:r>
          <w:r>
            <w:instrText xml:space="preserve">PAGEREF _Toc224321323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80D4BF3">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"_Toc224321324" </w:instrText>
          </w:r>
          <w:r>
            <w:fldChar w:fldCharType="separate"/>
          </w:r>
          <w:r>
            <w:rPr>
              <w:rStyle w:val="18"/>
              <w:rFonts w:hint="eastAsia" w:ascii="Times New Roman" w:hAnsi="Times New Roman" w:eastAsia="黑体" w:cs="Times New Roman"/>
            </w:rPr>
            <w:t>总体情况</w:t>
          </w:r>
          <w:r>
            <w:rPr>
              <w:rFonts w:hint="eastAsia"/>
            </w:rPr>
            <w:tab/>
          </w:r>
          <w:r>
            <w:rPr>
              <w:rFonts w:hint="eastAsia"/>
            </w:rPr>
            <w:fldChar w:fldCharType="begin"/>
          </w:r>
          <w:r>
            <w:rPr>
              <w:rFonts w:hint="eastAsia"/>
            </w:rPr>
            <w:instrText xml:space="preserve"> </w:instrText>
          </w:r>
          <w:r>
            <w:instrText xml:space="preserve">PAGEREF _Toc224321324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1278776">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"_Toc224321325" </w:instrText>
          </w:r>
          <w:r>
            <w:fldChar w:fldCharType="separate"/>
          </w:r>
          <w:r>
            <w:rPr>
              <w:rStyle w:val="18"/>
              <w:rFonts w:hint="eastAsia" w:ascii="Times New Roman" w:hAnsi="Times New Roman" w:eastAsia="黑体" w:cs="Times New Roman"/>
            </w:rPr>
            <w:t>感知层技术</w:t>
          </w:r>
          <w:r>
            <w:rPr>
              <w:rFonts w:hint="eastAsia"/>
            </w:rPr>
            <w:tab/>
          </w:r>
          <w:r>
            <w:rPr>
              <w:rFonts w:hint="eastAsia"/>
            </w:rPr>
            <w:fldChar w:fldCharType="begin"/>
          </w:r>
          <w:r>
            <w:rPr>
              <w:rFonts w:hint="eastAsia"/>
            </w:rPr>
            <w:instrText xml:space="preserve"> </w:instrText>
          </w:r>
          <w:r>
            <w:instrText xml:space="preserve">PAGEREF _Toc224321325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484A012">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"_Toc224321326" </w:instrText>
          </w:r>
          <w:r>
            <w:fldChar w:fldCharType="separate"/>
          </w:r>
          <w:r>
            <w:rPr>
              <w:rStyle w:val="18"/>
              <w:rFonts w:hint="eastAsia" w:ascii="Times New Roman" w:hAnsi="Times New Roman" w:eastAsia="黑体" w:cs="Times New Roman"/>
            </w:rPr>
            <w:t>传输层技术</w:t>
          </w:r>
          <w:r>
            <w:rPr>
              <w:rFonts w:hint="eastAsia"/>
            </w:rPr>
            <w:tab/>
          </w:r>
          <w:r>
            <w:rPr>
              <w:rFonts w:hint="eastAsia"/>
            </w:rPr>
            <w:fldChar w:fldCharType="begin"/>
          </w:r>
          <w:r>
            <w:rPr>
              <w:rFonts w:hint="eastAsia"/>
            </w:rPr>
            <w:instrText xml:space="preserve"> </w:instrText>
          </w:r>
          <w:r>
            <w:instrText xml:space="preserve">PAGEREF _Toc224321326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EFDA317">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"_Toc224321327" </w:instrText>
          </w:r>
          <w:r>
            <w:fldChar w:fldCharType="separate"/>
          </w:r>
          <w:r>
            <w:rPr>
              <w:rStyle w:val="18"/>
              <w:rFonts w:hint="eastAsia" w:ascii="Times New Roman" w:hAnsi="Times New Roman" w:eastAsia="黑体" w:cs="Times New Roman"/>
            </w:rPr>
            <w:t>控制层技术</w:t>
          </w:r>
          <w:r>
            <w:rPr>
              <w:rFonts w:hint="eastAsia"/>
            </w:rPr>
            <w:tab/>
          </w:r>
          <w:r>
            <w:rPr>
              <w:rFonts w:hint="eastAsia"/>
            </w:rPr>
            <w:fldChar w:fldCharType="begin"/>
          </w:r>
          <w:r>
            <w:rPr>
              <w:rFonts w:hint="eastAsia"/>
            </w:rPr>
            <w:instrText xml:space="preserve"> </w:instrText>
          </w:r>
          <w:r>
            <w:instrText xml:space="preserve">PAGEREF _Toc224321327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36666F3">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"_Toc224321328" </w:instrText>
          </w:r>
          <w:r>
            <w:fldChar w:fldCharType="separate"/>
          </w:r>
          <w:r>
            <w:rPr>
              <w:rStyle w:val="18"/>
              <w:rFonts w:hint="eastAsia" w:ascii="Times New Roman" w:hAnsi="Times New Roman" w:eastAsia="黑体" w:cs="Times New Roman"/>
            </w:rPr>
            <w:t>软件开发</w:t>
          </w:r>
          <w:r>
            <w:rPr>
              <w:rFonts w:hint="eastAsia"/>
            </w:rPr>
            <w:tab/>
          </w:r>
          <w:r>
            <w:rPr>
              <w:rFonts w:hint="eastAsia"/>
            </w:rPr>
            <w:fldChar w:fldCharType="begin"/>
          </w:r>
          <w:r>
            <w:rPr>
              <w:rFonts w:hint="eastAsia"/>
            </w:rPr>
            <w:instrText xml:space="preserve"> </w:instrText>
          </w:r>
          <w:r>
            <w:instrText xml:space="preserve">PAGEREF _Toc224321328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A883797">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"_Toc224321329" </w:instrText>
          </w:r>
          <w:r>
            <w:fldChar w:fldCharType="separate"/>
          </w:r>
          <w:r>
            <w:rPr>
              <w:rStyle w:val="18"/>
              <w:rFonts w:hint="eastAsia" w:ascii="Times New Roman" w:hAnsi="Times New Roman" w:eastAsia="黑体" w:cs="Times New Roman"/>
            </w:rPr>
            <w:t>云技术管理</w:t>
          </w:r>
          <w:r>
            <w:rPr>
              <w:rFonts w:hint="eastAsia"/>
            </w:rPr>
            <w:tab/>
          </w:r>
          <w:r>
            <w:rPr>
              <w:rFonts w:hint="eastAsia"/>
            </w:rPr>
            <w:fldChar w:fldCharType="begin"/>
          </w:r>
          <w:r>
            <w:rPr>
              <w:rFonts w:hint="eastAsia"/>
            </w:rPr>
            <w:instrText xml:space="preserve"> </w:instrText>
          </w:r>
          <w:r>
            <w:instrText xml:space="preserve">PAGEREF _Toc224321329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6C9885A">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"_Toc224321330" </w:instrText>
          </w:r>
          <w:r>
            <w:fldChar w:fldCharType="separate"/>
          </w:r>
          <w:r>
            <w:rPr>
              <w:rStyle w:val="18"/>
              <w:rFonts w:hint="eastAsia" w:ascii="Times New Roman" w:hAnsi="Times New Roman" w:eastAsia="黑体" w:cs="Times New Roman"/>
            </w:rPr>
            <w:t>其他内容</w:t>
          </w:r>
          <w:r>
            <w:rPr>
              <w:rFonts w:hint="eastAsia"/>
            </w:rPr>
            <w:tab/>
          </w:r>
          <w:r>
            <w:rPr>
              <w:rFonts w:hint="eastAsia"/>
            </w:rPr>
            <w:fldChar w:fldCharType="begin"/>
          </w:r>
          <w:r>
            <w:rPr>
              <w:rFonts w:hint="eastAsia"/>
            </w:rPr>
            <w:instrText xml:space="preserve"> </w:instrText>
          </w:r>
          <w:r>
            <w:instrText xml:space="preserve">PAGEREF _Toc224321330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C80BF23">
          <w:pPr>
            <w:pStyle w:val="14"/>
            <w:tabs>
              <w:tab w:val="right" w:leader="dot" w:pos="9016"/>
            </w:tabs>
            <w:ind w:left="44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"_Toc224321331" </w:instrText>
          </w:r>
          <w:r>
            <w:fldChar w:fldCharType="separate"/>
          </w:r>
          <w:r>
            <w:rPr>
              <w:rStyle w:val="18"/>
              <w:rFonts w:hint="eastAsia" w:ascii="Times New Roman" w:hAnsi="Times New Roman" w:eastAsia="黑体" w:cs="Times New Roman"/>
            </w:rPr>
            <w:t>其他</w:t>
          </w:r>
          <w:r>
            <w:rPr>
              <w:rFonts w:hint="eastAsia"/>
            </w:rPr>
            <w:tab/>
          </w:r>
          <w:r>
            <w:rPr>
              <w:rFonts w:hint="eastAsia"/>
            </w:rPr>
            <w:fldChar w:fldCharType="begin"/>
          </w:r>
          <w:r>
            <w:rPr>
              <w:rFonts w:hint="eastAsia"/>
            </w:rPr>
            <w:instrText xml:space="preserve"> </w:instrText>
          </w:r>
          <w:r>
            <w:instrText xml:space="preserve">PAGEREF _Toc224321331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2315E68">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"_Toc224321332" </w:instrText>
          </w:r>
          <w:r>
            <w:fldChar w:fldCharType="separate"/>
          </w:r>
          <w:r>
            <w:rPr>
              <w:rStyle w:val="18"/>
              <w:rFonts w:hint="eastAsia" w:ascii="Times New Roman" w:hAnsi="Times New Roman" w:eastAsia="黑体" w:cs="Times New Roman"/>
            </w:rPr>
            <w:t>数据库设计</w:t>
          </w:r>
          <w:r>
            <w:rPr>
              <w:rFonts w:hint="eastAsia"/>
            </w:rPr>
            <w:tab/>
          </w:r>
          <w:r>
            <w:rPr>
              <w:rFonts w:hint="eastAsia"/>
            </w:rPr>
            <w:fldChar w:fldCharType="begin"/>
          </w:r>
          <w:r>
            <w:rPr>
              <w:rFonts w:hint="eastAsia"/>
            </w:rPr>
            <w:instrText xml:space="preserve"> </w:instrText>
          </w:r>
          <w:r>
            <w:instrText xml:space="preserve">PAGEREF _Toc224321332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7AFF9A90">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"_Toc224321333" </w:instrText>
          </w:r>
          <w:r>
            <w:fldChar w:fldCharType="separate"/>
          </w:r>
          <w:r>
            <w:rPr>
              <w:rStyle w:val="18"/>
              <w:rFonts w:hint="eastAsia" w:ascii="Times New Roman" w:hAnsi="Times New Roman" w:eastAsia="黑体" w:cs="Times New Roman"/>
            </w:rPr>
            <w:t>AI能力矩阵</w:t>
          </w:r>
          <w:r>
            <w:rPr>
              <w:rFonts w:hint="eastAsia"/>
            </w:rPr>
            <w:tab/>
          </w:r>
          <w:r>
            <w:rPr>
              <w:rFonts w:hint="eastAsia"/>
            </w:rPr>
            <w:fldChar w:fldCharType="begin"/>
          </w:r>
          <w:r>
            <w:rPr>
              <w:rFonts w:hint="eastAsia"/>
            </w:rPr>
            <w:instrText xml:space="preserve"> </w:instrText>
          </w:r>
          <w:r>
            <w:instrText xml:space="preserve">PAGEREF _Toc224321333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3AD97DE6">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"_Toc224321334" </w:instrText>
          </w:r>
          <w:r>
            <w:fldChar w:fldCharType="separate"/>
          </w:r>
          <w:r>
            <w:rPr>
              <w:rStyle w:val="18"/>
              <w:rFonts w:hint="eastAsia" w:ascii="Times New Roman" w:hAnsi="Times New Roman" w:eastAsia="黑体" w:cs="Times New Roman"/>
            </w:rPr>
            <w:t>效果展示</w:t>
          </w:r>
          <w:r>
            <w:rPr>
              <w:rFonts w:hint="eastAsia"/>
            </w:rPr>
            <w:tab/>
          </w:r>
          <w:r>
            <w:rPr>
              <w:rFonts w:hint="eastAsia"/>
            </w:rPr>
            <w:fldChar w:fldCharType="begin"/>
          </w:r>
          <w:r>
            <w:rPr>
              <w:rFonts w:hint="eastAsia"/>
            </w:rPr>
            <w:instrText xml:space="preserve"> </w:instrText>
          </w:r>
          <w:r>
            <w:instrText xml:space="preserve">PAGEREF _Toc224321334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4BFB67F">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"_Toc224321335" </w:instrText>
          </w:r>
          <w:r>
            <w:fldChar w:fldCharType="separate"/>
          </w:r>
          <w:r>
            <w:rPr>
              <w:rStyle w:val="18"/>
              <w:rFonts w:hint="eastAsia" w:ascii="Times New Roman" w:hAnsi="Times New Roman" w:eastAsia="黑体" w:cs="Times New Roman"/>
            </w:rPr>
            <w:t>API接口设计</w:t>
          </w:r>
          <w:r>
            <w:rPr>
              <w:rFonts w:hint="eastAsia"/>
            </w:rPr>
            <w:tab/>
          </w:r>
          <w:r>
            <w:rPr>
              <w:rFonts w:hint="eastAsia"/>
            </w:rPr>
            <w:fldChar w:fldCharType="begin"/>
          </w:r>
          <w:r>
            <w:rPr>
              <w:rFonts w:hint="eastAsia"/>
            </w:rPr>
            <w:instrText xml:space="preserve"> </w:instrText>
          </w:r>
          <w:r>
            <w:instrText xml:space="preserve">PAGEREF _Toc224321335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9C90D18">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"_Toc224321336" </w:instrText>
          </w:r>
          <w:r>
            <w:fldChar w:fldCharType="separate"/>
          </w:r>
          <w:r>
            <w:rPr>
              <w:rStyle w:val="18"/>
              <w:rFonts w:hint="eastAsia" w:ascii="Times New Roman" w:hAnsi="Times New Roman" w:eastAsia="黑体" w:cs="Times New Roman"/>
            </w:rPr>
            <w:t>工业设计</w:t>
          </w:r>
          <w:r>
            <w:rPr>
              <w:rFonts w:hint="eastAsia"/>
            </w:rPr>
            <w:tab/>
          </w:r>
          <w:r>
            <w:rPr>
              <w:rFonts w:hint="eastAsia"/>
            </w:rPr>
            <w:fldChar w:fldCharType="begin"/>
          </w:r>
          <w:r>
            <w:rPr>
              <w:rFonts w:hint="eastAsia"/>
            </w:rPr>
            <w:instrText xml:space="preserve"> </w:instrText>
          </w:r>
          <w:r>
            <w:instrText xml:space="preserve">PAGEREF _Toc224321336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107F4DD">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"_Toc224321337" </w:instrText>
          </w:r>
          <w:r>
            <w:fldChar w:fldCharType="separate"/>
          </w:r>
          <w:r>
            <w:rPr>
              <w:rStyle w:val="18"/>
              <w:rFonts w:hint="eastAsia" w:ascii="Times New Roman" w:hAnsi="Times New Roman" w:eastAsia="黑体" w:cs="Times New Roman"/>
            </w:rPr>
            <w:t>作业成本（单位：元）</w:t>
          </w:r>
          <w:r>
            <w:rPr>
              <w:rFonts w:hint="eastAsia"/>
            </w:rPr>
            <w:tab/>
          </w:r>
          <w:r>
            <w:rPr>
              <w:rFonts w:hint="eastAsia"/>
            </w:rPr>
            <w:fldChar w:fldCharType="begin"/>
          </w:r>
          <w:r>
            <w:rPr>
              <w:rFonts w:hint="eastAsia"/>
            </w:rPr>
            <w:instrText xml:space="preserve"> </w:instrText>
          </w:r>
          <w:r>
            <w:instrText xml:space="preserve">PAGEREF _Toc224321337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29497D08">
          <w:pPr>
            <w:pStyle w:val="9"/>
            <w:tabs>
              <w:tab w:val="right" w:leader="dot" w:pos="9016"/>
            </w:tabs>
            <w:ind w:left="880"/>
            <w:rPr>
              <w:rFonts w:hint="eastAsia" w:asciiTheme="minorHAnsi" w:hAnsiTheme="minorHAnsi" w:eastAsiaTheme="minorEastAsia" w:cstheme="minorBidi"/>
              <w:kern w:val="2"/>
              <w:szCs w:val="24"/>
              <w14:ligatures w14:val="standardContextual"/>
            </w:rPr>
          </w:pPr>
          <w:r>
            <w:fldChar w:fldCharType="begin"/>
          </w:r>
          <w:r>
            <w:instrText xml:space="preserve"> HYPERLINK \l "_Toc224321338" </w:instrText>
          </w:r>
          <w:r>
            <w:fldChar w:fldCharType="separate"/>
          </w:r>
          <w:r>
            <w:rPr>
              <w:rStyle w:val="18"/>
              <w:rFonts w:hint="eastAsia" w:ascii="Times New Roman" w:hAnsi="Times New Roman" w:cs="Times New Roman"/>
            </w:rPr>
            <w:t>项目统计</w:t>
          </w:r>
          <w:r>
            <w:rPr>
              <w:rFonts w:hint="eastAsia"/>
            </w:rPr>
            <w:tab/>
          </w:r>
          <w:r>
            <w:rPr>
              <w:rFonts w:hint="eastAsia"/>
            </w:rPr>
            <w:fldChar w:fldCharType="begin"/>
          </w:r>
          <w:r>
            <w:rPr>
              <w:rFonts w:hint="eastAsia"/>
            </w:rPr>
            <w:instrText xml:space="preserve"> </w:instrText>
          </w:r>
          <w:r>
            <w:instrText xml:space="preserve">PAGEREF _Toc224321338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034E5EF9">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"_Toc224321339" </w:instrText>
          </w:r>
          <w:r>
            <w:fldChar w:fldCharType="separate"/>
          </w:r>
          <w:r>
            <w:rPr>
              <w:rStyle w:val="18"/>
              <w:rFonts w:hint="eastAsia" w:ascii="Times New Roman" w:hAnsi="Times New Roman" w:cs="Times New Roman"/>
            </w:rPr>
            <w:t>安全设计</w:t>
          </w:r>
          <w:r>
            <w:rPr>
              <w:rFonts w:hint="eastAsia"/>
            </w:rPr>
            <w:tab/>
          </w:r>
          <w:r>
            <w:rPr>
              <w:rFonts w:hint="eastAsia"/>
            </w:rPr>
            <w:fldChar w:fldCharType="begin"/>
          </w:r>
          <w:r>
            <w:rPr>
              <w:rFonts w:hint="eastAsia"/>
            </w:rPr>
            <w:instrText xml:space="preserve"> </w:instrText>
          </w:r>
          <w:r>
            <w:instrText xml:space="preserve">PAGEREF _Toc224321339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09E24DF">
          <w:pPr>
            <w:pStyle w:val="12"/>
            <w:tabs>
              <w:tab w:val="right" w:leader="dot" w:pos="9016"/>
            </w:tabs>
            <w:rPr>
              <w:rFonts w:hint="eastAsia" w:asciiTheme="minorHAnsi" w:hAnsiTheme="minorHAnsi" w:eastAsiaTheme="minorEastAsia" w:cstheme="minorBidi"/>
              <w:kern w:val="2"/>
              <w:szCs w:val="24"/>
              <w14:ligatures w14:val="standardContextual"/>
            </w:rPr>
          </w:pPr>
          <w:r>
            <w:fldChar w:fldCharType="begin"/>
          </w:r>
          <w:r>
            <w:instrText xml:space="preserve"> HYPERLINK \l "_Toc224321340" </w:instrText>
          </w:r>
          <w:r>
            <w:fldChar w:fldCharType="separate"/>
          </w:r>
          <w:r>
            <w:rPr>
              <w:rStyle w:val="18"/>
              <w:rFonts w:hint="eastAsia" w:ascii="Times New Roman" w:hAnsi="Times New Roman" w:eastAsia="黑体" w:cs="Times New Roman"/>
            </w:rPr>
            <w:t>参考文献</w:t>
          </w:r>
          <w:r>
            <w:rPr>
              <w:rFonts w:hint="eastAsia"/>
            </w:rPr>
            <w:tab/>
          </w:r>
          <w:r>
            <w:rPr>
              <w:rFonts w:hint="eastAsia"/>
            </w:rPr>
            <w:fldChar w:fldCharType="begin"/>
          </w:r>
          <w:r>
            <w:rPr>
              <w:rFonts w:hint="eastAsia"/>
            </w:rPr>
            <w:instrText xml:space="preserve"> </w:instrText>
          </w:r>
          <w:r>
            <w:instrText xml:space="preserve">PAGEREF _Toc224321340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79221749">
          <w:pPr>
            <w:autoSpaceDE w:val="0"/>
            <w:autoSpaceDN w:val="0"/>
            <w:rPr>
              <w:rFonts w:hint="eastAsia"/>
            </w:rPr>
          </w:pPr>
          <w:r>
            <w:rPr>
              <w:rFonts w:ascii="宋体" w:hAnsi="宋体" w:eastAsia="宋体"/>
              <w:sz w:val="24"/>
              <w:szCs w:val="24"/>
            </w:rPr>
            <w:fldChar w:fldCharType="end"/>
          </w:r>
        </w:p>
      </w:sdtContent>
    </w:sdt>
    <w:p w14:paraId="2BE436BE">
      <w:pPr>
        <w:autoSpaceDE w:val="0"/>
        <w:autoSpaceDN w:val="0"/>
        <w:rPr>
          <w:rFonts w:hint="eastAsia"/>
        </w:rPr>
        <w:sectPr>
          <w:headerReference r:id="rId5" w:type="default"/>
          <w:footerReference r:id="rId6" w:type="default"/>
          <w:pgSz w:w="11906" w:h="16838"/>
          <w:pgMar w:top="1440" w:right="1440" w:bottom="1440" w:left="1440" w:header="708" w:footer="708" w:gutter="0"/>
          <w:cols w:space="720" w:num="1"/>
          <w:docGrid w:linePitch="360" w:charSpace="0"/>
        </w:sectPr>
      </w:pPr>
    </w:p>
    <w:p w14:paraId="6D14EE2A">
      <w:pPr>
        <w:pStyle w:val="2"/>
        <w:autoSpaceDE w:val="0"/>
        <w:autoSpaceDN w:val="0"/>
        <w:rPr>
          <w:rFonts w:hint="eastAsia" w:ascii="黑体" w:hAnsi="黑体" w:eastAsia="黑体"/>
        </w:rPr>
      </w:pPr>
      <w:bookmarkStart w:id="0" w:name="_Toc224321308"/>
      <w:r>
        <w:t>摘要</w:t>
      </w:r>
      <w:bookmarkEnd w:id="0"/>
    </w:p>
    <w:p w14:paraId="5701A49D">
      <w:pPr>
        <w:autoSpaceDE w:val="0"/>
        <w:autoSpaceDN w:val="0"/>
        <w:spacing w:line="300" w:lineRule="auto"/>
        <w:rPr>
          <w:rFonts w:hint="eastAsia" w:ascii="黑体" w:hAnsi="黑体" w:eastAsia="黑体"/>
          <w:sz w:val="28"/>
          <w:szCs w:val="28"/>
        </w:rPr>
      </w:pPr>
      <w:r>
        <w:rPr>
          <w:rFonts w:ascii="黑体" w:hAnsi="黑体" w:eastAsia="黑体" w:cs="Times New Roman"/>
          <w:b/>
          <w:bCs/>
          <w:color w:val="1F4E79"/>
          <w:sz w:val="24"/>
          <w:szCs w:val="28"/>
        </w:rPr>
        <w:t>背景</w:t>
      </w:r>
    </w:p>
    <w:p w14:paraId="7514EF7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我国正经历全球范围内最为迅猛的人口老龄化进程。据国家统计局发布的数据，截至2024年末，全国60岁及以上老年人口达31031万人，占总人口的22.0%，其中65岁及以上老年人口为22023万人，占15.6%[1]。2024年度国家老龄事业发展公报进一步印证了这一趋势[2]。从国际比较的视角来看，从老龄化率7%迈入14%的深度老龄化阶段，法国用了126年，英国用了46年，日本用了24年，而中国仅用了21年；从14%的深度老龄化迈向20%的超级老龄化，预计中国仅需约10年[3]。世界卫生组织《中国老龄化与健康国家评估报告》预测，到2040年我国60岁以上人口规模将达到4.02亿，届时约每三个中国人中就有一位老年人[4]。</w:t>
      </w:r>
    </w:p>
    <w:p w14:paraId="3F34105C">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老年人群的慢性病负担尤为沉重。国家卫健委统计数据显示，我国约有1.9亿老年人患有慢性病，其中75%的60岁及以上老年人至少患有1种慢性病，43%同时患有2种及以上疾病[5]。《中国全科医学》2021年一项针对万余名老年人的研究显示，约65.14%的受访者存在多病共存现象，如高血压、糖尿病与骨关节炎并存的情形十分常见，显著增加了诊疗与护理的复杂性[6]。据民政部2024年9月发布的数据，我国失能老年人约3500万人，占全体老年人的11.6%，预计2035年将达到4600万人[7]。中国疾病预防控制中心慢性非传染性疾病预防控制中心指出，中国慢性病负担将占总疾病负担的近70%，世界银行与卫生部、世界卫生组织合作报告估计，到2030年人口快速老龄化可能使中国慢病负担增加40%[6]。慢性病患者往往需要持续照护、长期服药、高频复检，然而传统护理模式高度依赖人工定时巡检，通常每2至4小时巡查一次，无法实现全天候连续监测。尤其在夜间，护理人员配比不足的问题更加突出，患者心率骤变、血氧骤降、体温异常等危急情况难以被第一时间发现，受压损伤等并发症的发生率居高不下。</w:t>
      </w:r>
    </w:p>
    <w:p w14:paraId="4B6468C5">
      <w:pPr>
        <w:jc w:val="center"/>
        <w:rPr>
          <w:rFonts w:hint="eastAsia"/>
        </w:rPr>
      </w:pPr>
      <w:commentRangeStart w:id="0"/>
      <w:r>
        <w:drawing>
          <wp:inline xmlns:a="http://schemas.openxmlformats.org/drawingml/2006/main" xmlns:pic="http://schemas.openxmlformats.org/drawingml/2006/picture">
            <wp:extent cx="5220000" cy="3073577"/>
            <wp:docPr id="16" name="Picture 16"/>
            <wp:cNvGraphicFramePr>
              <a:graphicFrameLocks noChangeAspect="1"/>
            </wp:cNvGraphicFramePr>
            <a:graphic>
              <a:graphicData uri="http://schemas.openxmlformats.org/drawingml/2006/picture">
                <pic:pic>
                  <pic:nvPicPr>
                    <pic:cNvPr id="0" name="fig1_1_mode_compare.png"/>
                    <pic:cNvPicPr/>
                  </pic:nvPicPr>
                  <pic:blipFill>
                    <a:blip r:embed="rId27"/>
                    <a:stretch>
                      <a:fillRect/>
                    </a:stretch>
                  </pic:blipFill>
                  <pic:spPr>
                    <a:xfrm>
                      <a:off x="0" y="0"/>
                      <a:ext cx="5220000" cy="3073577"/>
                    </a:xfrm>
                    <a:prstGeom prst="rect"/>
                  </pic:spPr>
                </pic:pic>
              </a:graphicData>
            </a:graphic>
          </wp:inline>
        </w:drawing>
      </w:r>
    </w:p>
    <w:p w14:paraId="6614351E">
      <w:pPr>
        <w:jc w:val="center"/>
        <w:rPr>
          <w:rFonts w:hint="eastAsia"/>
        </w:rPr>
      </w:pPr>
      <w:r>
        <w:rPr>
          <w:rFonts w:ascii="楷体" w:hAnsi="楷体" w:eastAsia="楷体" w:cs="Times New Roman"/>
          <w:b/>
          <w:sz w:val="22"/>
        </w:rPr>
        <w:t>图1.1 传统人工巡检护理模式与智能护理模式对比示意图</w:t>
      </w:r>
      <w:commentRangeEnd w:id="0"/>
      <w:r>
        <w:commentReference w:id="0"/>
      </w:r>
    </w:p>
    <w:p w14:paraId="30469AC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在政策层面，国家对智慧养老和护理服务体系建设给予了高度重视。2025年全国两会《政府工作报告》明确提出"积极应对人口老龄化，完善发展养老事业和养老产业政策机制，大力发展银发经济"，同时强调"推进社区支持的居家养老，强化失能老年人照护"，要求"加快建立长期护理保险制度"和"加强护理、老年医学专业队伍建设"[8]。2025年1月，中共中央、国务院印发《关于深化养老服务改革发展的意见》，明确提出"加快养老科技和信息化发展应用"，要求"重点推动人形机器人、脑机接口、人工智能等技术产品研发应用"，并强调"深化全国智慧健康养老应用示范，推广智能化家居和智慧健康产品，探索开展居家养老安全风险预警和防范服务"[9]。国务院办公厅此前印发的《关于进一步释放消费潜力促进消费持续恢复的意见》也明确提出，要"加力促进健康养老等服务消费，发展适合老年人消费的健康咨询、生活照护、慢性病管理等产品和服务"[10]。这些政策信号清晰表明，智慧护理与AI赋能养老已上升为国家战略优先方向。</w:t>
      </w:r>
    </w:p>
    <w:p w14:paraId="1FACF786">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从市场规模来看，我国慢病管理行业存在巨大需求，市场规模持续扩大。据智研咨询统计，2024年我国慢病管理市场规模已达到约59986亿元，自2015年以来年复合增长率为12.6%；其中线上慢病管理市场从2015年的466亿元增长至2024年的5540亿元，互联网慢病管理模式正加速兴起[5]。在养老机构方面，截至2020年底，中国每千名60岁以上老年人拥有养老机构床位仅为31张，养老服务供给能力明显不足；"十四五"规划提出到2025年养老服务床位总量需达到900万张以上[10]。然而，与庞大的市场需求相比，智能化护理产品的供给仍严重不足。现有产品多聚焦单一维度的健康监测，缺乏将心率血氧、体温、姿态、压力分布、脉搏血压等多维度数据进行融合分析的能力，更缺乏AI大模型级别的深度分析与个性化护理决策支持。</w:t>
      </w:r>
    </w:p>
    <w:p w14:paraId="49A095BD">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另一方面，近年来物联网（IoT）技术、边缘AI推理和大语言模型（LLM）的快速发展，为智能化护理提供了全新的技术路径。通过在病床端部署多类传感器实时采集体征数据，结合边缘端的轻量级AI模型进行即时分析，再借助云端大模型进行深度诊断与报告生成，可以构建一套全天候、全自动的智能护理系统，大幅提升护理质量与效率。在此背景下，本团队设计并开发了智能护理病床云平台，旨在通过"端-边-云"三层架构与AI大模型深度赋能，构建覆盖生理监测、智能分析、语音陪护、自主导航的全方位智能护理解决方案，切实回应国家"智慧健康养老"战略需求，服务于慢性病患者的长期护理。</w:t>
      </w:r>
    </w:p>
    <w:p w14:paraId="309D4722">
      <w:pPr>
        <w:autoSpaceDE w:val="0"/>
        <w:autoSpaceDN w:val="0"/>
        <w:spacing w:line="300" w:lineRule="auto"/>
        <w:rPr>
          <w:rFonts w:hint="eastAsia" w:ascii="黑体" w:hAnsi="黑体" w:eastAsia="黑体"/>
          <w:sz w:val="28"/>
          <w:szCs w:val="28"/>
        </w:rPr>
      </w:pPr>
      <w:r>
        <w:rPr>
          <w:rFonts w:ascii="黑体" w:hAnsi="黑体" w:eastAsia="黑体" w:cs="Times New Roman"/>
          <w:b/>
          <w:bCs/>
          <w:color w:val="1F4E79"/>
          <w:sz w:val="24"/>
          <w:szCs w:val="28"/>
        </w:rPr>
        <w:t>项目构成</w:t>
      </w:r>
    </w:p>
    <w:p w14:paraId="1CBEA42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本系统采用"端-边-云"三层架构设计。感知层（端层）由ESP32-S3微控制器搭载6类传感器（MAX30102心率血氧、MLX90614红外测温、MPU6050六轴姿态、Velostat 8×8压力矩阵、HK-2000B+脉搏血压传感器及CSI摄像头）构成，以10秒为周期通过MQTT协议[11]实时上报体征数据。边缘计算层（边层）基于树莓派4B[27]，部署本地Mosquitto MQTT代理和轻量级PostureCNN模型（仅15K参数），实现毫秒级睡姿分类与受压风险实时监测，同时集成4WD自主导航、NearLink星闪寻房及超声波避障功能，使病床具备自主移动能力。应用层（云层）基于Node.js Express框架构建RESTful API服务，集成Moonshot Kimi K3大语言模型提供智能健康报告生成、多专科护理咨询、压力矩阵深度分析等AI能力，并通过SiliconFlow语音服务实现ASR语音识别与TTS语音合成的全流程语音交互陪护。</w:t>
      </w:r>
    </w:p>
    <w:p w14:paraId="58ACBDAB">
      <w:pPr>
        <w:jc w:val="center"/>
        <w:rPr>
          <w:rFonts w:hint="eastAsia"/>
        </w:rPr>
      </w:pPr>
      <w:commentRangeStart w:id="1"/>
      <w:r>
        <w:rPr>
          <w:rFonts w:ascii="Times New Roman" w:hAnsi="Times New Roman" w:eastAsia="宋体" w:cs="Times New Roman"/>
          <w:i/>
          <w:color w:val="808080"/>
          <w:sz w:val="24"/>
        </w:rPr>
        <w:t>(此处插入硬件接线原理图)</w:t>
      </w:r>
    </w:p>
    <w:p w14:paraId="75F51DDD">
      <w:pPr>
        <w:jc w:val="center"/>
        <w:rPr>
          <w:rFonts w:hint="eastAsia"/>
        </w:rPr>
      </w:pPr>
      <w:r>
        <w:rPr>
          <w:rFonts w:ascii="楷体" w:hAnsi="楷体" w:eastAsia="楷体" w:cs="Times New Roman"/>
          <w:b/>
          <w:sz w:val="22"/>
        </w:rPr>
        <w:t>图1.2 ESP32-S3多传感器I2C总线与ADC矩阵扫描接线原理图</w:t>
      </w:r>
      <w:commentRangeEnd w:id="1"/>
      <w:r>
        <w:commentReference w:id="1"/>
      </w:r>
    </w:p>
    <w:p w14:paraId="578791D5">
      <w:pPr>
        <w:jc w:val="center"/>
        <w:rPr>
          <w:rFonts w:hint="eastAsia"/>
        </w:rPr>
      </w:pPr>
      <w:commentRangeStart w:id="2"/>
      <w:r>
        <w:rPr>
          <w:rFonts w:ascii="Times New Roman" w:hAnsi="Times New Roman" w:eastAsia="宋体" w:cs="Times New Roman"/>
          <w:i/>
          <w:color w:val="808080"/>
          <w:sz w:val="24"/>
        </w:rPr>
        <w:t>(此处插入系统总体架构图)</w:t>
      </w:r>
    </w:p>
    <w:p w14:paraId="06F27D9C">
      <w:pPr>
        <w:jc w:val="center"/>
        <w:rPr>
          <w:rFonts w:hint="eastAsia"/>
        </w:rPr>
      </w:pPr>
      <w:r>
        <w:rPr>
          <w:rFonts w:ascii="楷体" w:hAnsi="楷体" w:eastAsia="楷体" w:cs="Times New Roman"/>
          <w:b/>
          <w:sz w:val="22"/>
        </w:rPr>
        <w:t>图1.3 智能护理病床云平台“端-边-云”三层总体架构图</w:t>
      </w:r>
      <w:commentRangeEnd w:id="2"/>
      <w:r>
        <w:commentReference w:id="2"/>
      </w:r>
    </w:p>
    <w:p w14:paraId="1FC98C5C">
      <w:pPr>
        <w:autoSpaceDE w:val="0"/>
        <w:autoSpaceDN w:val="0"/>
        <w:spacing w:line="300" w:lineRule="auto"/>
        <w:rPr>
          <w:rFonts w:hint="eastAsia" w:ascii="黑体" w:hAnsi="黑体" w:eastAsia="黑体"/>
          <w:sz w:val="28"/>
          <w:szCs w:val="28"/>
        </w:rPr>
      </w:pPr>
      <w:r>
        <w:rPr>
          <w:rFonts w:ascii="黑体" w:hAnsi="黑体" w:eastAsia="黑体" w:cs="Times New Roman"/>
          <w:b/>
          <w:bCs/>
          <w:color w:val="1F4E79"/>
          <w:sz w:val="24"/>
          <w:szCs w:val="28"/>
        </w:rPr>
        <w:t>技术方案及路线</w:t>
      </w:r>
    </w:p>
    <w:p w14:paraId="121A723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1. 开发多传感器融合采集终端：基于ESP32-S3设计I2C总线共享方案，实现心率血氧、红外体温、六轴姿态的同步采集，配合CD74HC4051双路复用器驱动8×8压力矩阵扫描，完整覆盖患者生理体征与睡眠姿态的实时感知。</w:t>
      </w:r>
    </w:p>
    <w:p w14:paraId="1B9CD58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2. 构建边缘AI推理平台：在树莓派端部署PyTorch轻量卷积神经网络，实现睡姿六分类（仰卧、左侧卧、右侧卧、俯卧、坐姿、空床）及三级受压风险持续高压跟踪（30/60/120分钟预警），通过帧间差异算法自动检测翻身事件。</w:t>
      </w:r>
    </w:p>
    <w:p w14:paraId="6AB7F680">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3. 打造智能自主导航病床：集成3路TCRT5000循迹模块、NearLink星闪室内定位和3路HC-SR04超声波传感器，配合L298N双H桥驱动4WD底盘与PID速度调节，实现病床在医院走廊中的黑线循迹自主导航与目标病房精准停靠。</w:t>
      </w:r>
    </w:p>
    <w:p w14:paraId="2E788CA1">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4. 建设云端AI智能分析平台：整合Kimi K3大模型能力，设计5种专科AI护理Agent（高位截瘫、糖尿病、中风、慢阻肺、通用），实现个性化健康报告自动生成、专科护理咨询、压力矩阵深度分析与患者情绪关注点智能提取。</w:t>
      </w:r>
    </w:p>
    <w:p w14:paraId="61B7C731">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5. 开发语音AI陪护系统：通过SiliconFlow TeleSpeechASR语音识别将患者语音转为文字，经Kimi K3 AI生成关怀回复，再由CosyVoice2合成自然语音播放，形成完整的语音交互陪护闭环。</w:t>
      </w:r>
    </w:p>
    <w:p w14:paraId="6261804F">
      <w:pPr>
        <w:autoSpaceDE w:val="0"/>
        <w:autoSpaceDN w:val="0"/>
        <w:spacing w:line="300" w:lineRule="auto"/>
        <w:rPr>
          <w:rFonts w:hint="eastAsia" w:ascii="宋体" w:hAnsi="宋体" w:eastAsia="宋体"/>
          <w:sz w:val="28"/>
          <w:szCs w:val="28"/>
        </w:rPr>
      </w:pPr>
      <w:r>
        <w:rPr>
          <w:rFonts w:ascii="黑体" w:hAnsi="黑体" w:eastAsia="黑体" w:cs="Times New Roman"/>
          <w:b/>
          <w:bCs/>
          <w:color w:val="1F4E79"/>
          <w:sz w:val="24"/>
          <w:szCs w:val="28"/>
        </w:rPr>
        <w:t>项目意义</w:t>
      </w:r>
    </w:p>
    <w:p w14:paraId="51844AE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本智能护理病床云平台将实现慢性病患者护理的全天候智能化监测与管理。通过AI大模型与边缘计算的协同，系统能够深度分析患者多维体征数据，提供客观、及时的健康评估与护理建议，显著降低护理人员的工作负担，减少因人工巡检疏忽导致的受压损伤、跌倒等不良事件。系统的多角色协作设计（管理员、医生、患者、家属四种角色）使得医护团队和家属能够实时了解患者状态，真正实现以患者为中心的协同护理模式。</w:t>
      </w:r>
    </w:p>
    <w:p w14:paraId="5B3AC248">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此外，病床自主导航功能的引入开创了移动式智能护理的新范式，使病床能够自主完成病房间转运任务，进一步解放护理人力资源。本项目对于推动智慧医疗与养老护理领域的技术进步具有重要的示范意义。</w:t>
      </w:r>
    </w:p>
    <w:p w14:paraId="783C24BC">
      <w:pPr>
        <w:autoSpaceDE w:val="0"/>
        <w:autoSpaceDN w:val="0"/>
        <w:rPr>
          <w:rFonts w:hint="eastAsia"/>
        </w:rPr>
      </w:pPr>
    </w:p>
    <w:p w14:paraId="365A45AC">
      <w:pPr>
        <w:autoSpaceDE w:val="0"/>
        <w:autoSpaceDN w:val="0"/>
        <w:jc w:val="both"/>
        <w:rPr>
          <w:rFonts w:hint="eastAsia" w:ascii="宋体" w:hAnsi="宋体" w:eastAsia="宋体"/>
          <w:sz w:val="24"/>
          <w:szCs w:val="24"/>
        </w:rPr>
      </w:pPr>
      <w:r>
        <w:rPr>
          <w:rFonts w:ascii="Times New Roman" w:hAnsi="Times New Roman" w:eastAsia="黑体" w:cs="Times New Roman"/>
          <w:b/>
          <w:bCs/>
          <w:sz w:val="24"/>
          <w:szCs w:val="24"/>
        </w:rPr>
        <w:t>关键词：智慧护理  物联网  边缘AI推理  大语言模型  自主导航  多模态传感器融合</w:t>
      </w:r>
    </w:p>
    <w:p w14:paraId="402F9740">
      <w:pPr>
        <w:autoSpaceDE w:val="0"/>
        <w:autoSpaceDN w:val="0"/>
        <w:rPr>
          <w:rFonts w:hint="eastAsia"/>
        </w:rPr>
      </w:pPr>
      <w:r>
        <w:rPr>
          <w:rFonts w:ascii="Times New Roman" w:hAnsi="Times New Roman" w:eastAsia="宋体" w:cs="Times New Roman"/>
        </w:rPr>
        <w:br w:type="page"/>
      </w:r>
    </w:p>
    <w:p w14:paraId="7CCA3BD4">
      <w:pPr>
        <w:pStyle w:val="2"/>
        <w:autoSpaceDE w:val="0"/>
        <w:autoSpaceDN w:val="0"/>
        <w:rPr>
          <w:rFonts w:hint="eastAsia" w:ascii="黑体" w:hAnsi="黑体" w:eastAsia="黑体"/>
        </w:rPr>
      </w:pPr>
      <w:bookmarkStart w:id="1" w:name="_Toc224321309"/>
      <w:r>
        <w:t>1 设计需求分析</w:t>
      </w:r>
      <w:bookmarkEnd w:id="1"/>
    </w:p>
    <w:p w14:paraId="75661C17">
      <w:pPr>
        <w:pStyle w:val="3"/>
        <w:autoSpaceDE w:val="0"/>
        <w:autoSpaceDN w:val="0"/>
        <w:rPr>
          <w:rFonts w:hint="eastAsia" w:ascii="黑体" w:hAnsi="黑体" w:eastAsia="黑体"/>
        </w:rPr>
      </w:pPr>
      <w:bookmarkStart w:id="2" w:name="_Toc224321310"/>
      <w:r>
        <w:t>1.1 需求分析</w:t>
      </w:r>
      <w:bookmarkEnd w:id="2"/>
    </w:p>
    <w:p w14:paraId="695083BB">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老龄化社会的护理刚需</w:t>
      </w:r>
    </w:p>
    <w:p w14:paraId="50DA93FE">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我国正加速步入深度老龄化社会。根据国家卫健委数据，全国慢性病患者数量已超过3亿，其中需要长期卧床护理的患者群体庞大。传统护理模式以人工定时巡检为主，通常每2至4小时巡查一次，无法实现全天候连续监测。在夜间，护理人员配比不足的问题更加突出，患者心率骤变、血氧骤降、体温异常等危急情况难以被第一时间发现。</w:t>
      </w:r>
    </w:p>
    <w:p w14:paraId="6C6C6929">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体位护理与受压管理的迫切需求</w:t>
      </w:r>
    </w:p>
    <w:p w14:paraId="160B4DB2">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长期卧床患者的体位护理与受压管理是临床护理中最为关键的环节之一。临床研究表明，身体局部持续受压超过2小时即可能引发不可逆的组织损伤。然而，传统护理中翻身计划的执行高度依赖护理人员的记忆与责任心，缺乏客观的压力分布监测手段和科学的风险预警机制。此外，不当的体位还可能影响患者的呼吸道通畅性和血液循环。因此，利用压力传感矩阵实时监测患者体压分布、通过AI算法识别睡姿并跟踪持续受压时长，结合翻身提醒与呼吸道保护建议，实现主动式体位护理管理，具有重大的临床价值。</w:t>
      </w:r>
    </w:p>
    <w:p w14:paraId="4AB06C9F">
      <w:pPr>
        <w:jc w:val="center"/>
        <w:rPr>
          <w:rFonts w:hint="eastAsia"/>
        </w:rPr>
      </w:pPr>
      <w:r>
        <w:rPr>
          <w:rFonts w:ascii="Times New Roman" w:hAnsi="Times New Roman" w:eastAsia="宋体" w:cs="Times New Roman"/>
          <w:i/>
          <w:color w:val="808080"/>
          <w:sz w:val="24"/>
        </w:rPr>
        <w:t>(此处插入体位护理流程图)</w:t>
      </w:r>
    </w:p>
    <w:p w14:paraId="6D43EA1F">
      <w:pPr>
        <w:jc w:val="center"/>
        <w:rPr>
          <w:rFonts w:hint="eastAsia"/>
        </w:rPr>
      </w:pPr>
      <w:r>
        <w:rPr>
          <w:rFonts w:ascii="楷体" w:hAnsi="楷体" w:eastAsia="楷体" w:cs="Times New Roman"/>
          <w:b/>
          <w:sz w:val="22"/>
        </w:rPr>
        <w:t>图1.4 持续受压对组织损伤的病理过程与智能监测干预机制</w:t>
      </w:r>
    </w:p>
    <w:p w14:paraId="6179A9B6">
      <w:pPr>
        <w:autoSpaceDE w:val="0"/>
        <w:autoSpaceDN w:val="0"/>
        <w:spacing w:line="300" w:lineRule="auto"/>
        <w:ind w:firstLine="562" w:firstLineChars="200"/>
        <w:rPr>
          <w:rFonts w:hint="eastAsia" w:ascii="黑体" w:hAnsi="黑体" w:eastAsia="黑体" w:cs="Times New Roman"/>
          <w:b/>
          <w:bCs/>
          <w:color w:val="1F4E79"/>
          <w:sz w:val="28"/>
          <w:szCs w:val="28"/>
        </w:rPr>
      </w:pPr>
      <w:r>
        <w:rPr>
          <w:rFonts w:ascii="Times New Roman" w:hAnsi="Times New Roman" w:eastAsia="宋体" w:cs="Times New Roman"/>
          <w:b/>
          <w:bCs/>
          <w:color w:val="1F4E79"/>
          <w:sz w:val="28"/>
          <w:szCs w:val="28"/>
        </w:rPr>
        <w:t>个性化护理的需求</w:t>
      </w:r>
    </w:p>
    <w:p w14:paraId="13708E1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不同慢性病患者的护理重点差异显著。例如，高位截瘫患者需特别关注体温调节与呼吸功能；糖尿病患者的血糖波动和足部监测至关重要；中风后遗症患者需重视血压控制与康复训练；慢阻肺患者的血氧监测最为关键。传统的"一刀切"式护理方案无法满足各类患者的差异化需求，亟需引入智能化、个性化的专科护理决策支持。</w:t>
      </w:r>
    </w:p>
    <w:p w14:paraId="60082CE5">
      <w:pPr>
        <w:pStyle w:val="3"/>
        <w:autoSpaceDE w:val="0"/>
        <w:autoSpaceDN w:val="0"/>
        <w:rPr>
          <w:rFonts w:hint="eastAsia" w:ascii="黑体" w:hAnsi="黑体" w:eastAsia="黑体"/>
        </w:rPr>
      </w:pPr>
      <w:bookmarkStart w:id="3" w:name="_Toc224321311"/>
      <w:r>
        <w:t>1.2 行业痛点</w:t>
      </w:r>
      <w:bookmarkEnd w:id="3"/>
    </w:p>
    <w:p w14:paraId="34AF48E6">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监测手段单一，缺乏多维度融合</w:t>
      </w:r>
    </w:p>
    <w:p w14:paraId="438C751F">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当前市面上的智能护理产品多聚焦于单一维度的监测（如仅心率、仅压力垫），缺乏将心率血氧、体温、姿态、压力分布、脉搏血压等多维度数据进行融合分析的能力。单一指标的异常往往不能反映患者的真实状态，多指标联合分析才能提供更准确的健康评估。</w:t>
      </w:r>
    </w:p>
    <w:p w14:paraId="7E7610BB">
      <w:pPr>
        <w:autoSpaceDE w:val="0"/>
        <w:autoSpaceDN w:val="0"/>
        <w:spacing w:line="300" w:lineRule="auto"/>
        <w:ind w:firstLine="562" w:firstLineChars="200"/>
        <w:rPr>
          <w:rFonts w:hint="eastAsia" w:ascii="黑体" w:hAnsi="黑体" w:eastAsia="黑体" w:cs="Times New Roman"/>
          <w:b/>
          <w:bCs/>
          <w:color w:val="1F4E79"/>
          <w:sz w:val="28"/>
          <w:szCs w:val="28"/>
        </w:rPr>
      </w:pPr>
      <w:r>
        <w:rPr>
          <w:rFonts w:ascii="Times New Roman" w:hAnsi="Times New Roman" w:eastAsia="宋体" w:cs="Times New Roman"/>
          <w:b/>
          <w:bCs/>
          <w:color w:val="1F4E79"/>
          <w:sz w:val="28"/>
          <w:szCs w:val="28"/>
        </w:rPr>
        <w:t>数据分析智能化程度低</w:t>
      </w:r>
    </w:p>
    <w:p w14:paraId="126CDA69">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现有产品的告警机制大多基于简单的阈值判断，例如心率超过120次/分即触发报警。这种粗粒度的规则无法区分患者个体差异和疾病类型差异，容易产生大量误报警。缺乏AI大模型级别的深度分析能力，无法为医护人员提供有临床参考价值的综合健康报告和专科护理建议。</w:t>
      </w:r>
    </w:p>
    <w:p w14:paraId="7503A703">
      <w:pPr>
        <w:autoSpaceDE w:val="0"/>
        <w:autoSpaceDN w:val="0"/>
        <w:spacing w:line="300" w:lineRule="auto"/>
        <w:ind w:firstLine="562" w:firstLineChars="200"/>
        <w:rPr>
          <w:rFonts w:hint="eastAsia" w:ascii="黑体" w:hAnsi="黑体" w:eastAsia="黑体" w:cs="Times New Roman"/>
          <w:b/>
          <w:bCs/>
          <w:color w:val="1F4E79"/>
          <w:sz w:val="28"/>
          <w:szCs w:val="28"/>
        </w:rPr>
      </w:pPr>
      <w:r>
        <w:rPr>
          <w:rFonts w:ascii="Times New Roman" w:hAnsi="Times New Roman" w:eastAsia="宋体" w:cs="Times New Roman"/>
          <w:b/>
          <w:bCs/>
          <w:color w:val="1F4E79"/>
          <w:sz w:val="28"/>
          <w:szCs w:val="28"/>
        </w:rPr>
        <w:t>患者心理关怀缺失</w:t>
      </w:r>
    </w:p>
    <w:p w14:paraId="282B1920">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长期卧床患者常伴有孤独、焦虑、抑郁等负面心理状态，然而绝大多数护理系统仅关注生理指标监测，对患者的心理需求和情感关怀几乎为零。护理人员受限于时间和精力，难以为每位患者提供持续的情感陪伴与心理支持。因此，引入语音AI陪护功能，通过自然语言交互为患者提供全天候的情感关怀，具有重要的人文价值。</w:t>
      </w:r>
    </w:p>
    <w:p w14:paraId="186F9DFE">
      <w:pPr>
        <w:autoSpaceDE w:val="0"/>
        <w:autoSpaceDN w:val="0"/>
        <w:spacing w:line="300" w:lineRule="auto"/>
        <w:ind w:firstLine="562" w:firstLineChars="200"/>
        <w:rPr>
          <w:rFonts w:hint="eastAsia" w:ascii="黑体" w:hAnsi="黑体" w:eastAsia="黑体" w:cs="Times New Roman"/>
          <w:b/>
          <w:bCs/>
          <w:color w:val="1F4E79"/>
          <w:sz w:val="28"/>
          <w:szCs w:val="28"/>
        </w:rPr>
      </w:pPr>
      <w:r>
        <w:rPr>
          <w:rFonts w:ascii="Times New Roman" w:hAnsi="Times New Roman" w:eastAsia="宋体" w:cs="Times New Roman"/>
          <w:b/>
          <w:bCs/>
          <w:color w:val="1F4E79"/>
          <w:sz w:val="28"/>
          <w:szCs w:val="28"/>
        </w:rPr>
        <w:t>病床转运依赖人力</w:t>
      </w:r>
    </w:p>
    <w:p w14:paraId="0D0CEA0D">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在医院环境中，患者的病房间转运（如前往检查室、治疗室）通常需要2至3名护理人员协同完成，不仅耗时耗力，还存在转运过程中因设备管路脱落等导致的安全风险。赋予病床自主导航能力，使其能够沿预设路线自主行驶至目标病房，可以有效降低人力成本并提升转运安全性。</w:t>
      </w:r>
    </w:p>
    <w:p w14:paraId="437BA0D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基于上述痛点，本团队设计并开发了智能护理病床云平台，致力于通过"端-边-云"三层架构和AI大模型赋能，构建一套覆盖生理监测、智能分析、语音陪护、自主导航的全方位智能护理解决方案，切实解决慢性病患者长期护理的核心难题。</w:t>
      </w:r>
    </w:p>
    <w:p w14:paraId="78D6CADF">
      <w:pPr>
        <w:jc w:val="center"/>
        <w:rPr>
          <w:rFonts w:hint="eastAsia"/>
        </w:rPr>
      </w:pPr>
      <w:commentRangeStart w:id="3"/>
      <w:r>
        <w:rPr>
          <w:rFonts w:ascii="Times New Roman" w:hAnsi="Times New Roman" w:eastAsia="宋体" w:cs="Times New Roman"/>
          <w:i/>
          <w:color w:val="808080"/>
          <w:sz w:val="24"/>
        </w:rPr>
        <w:t>(此处插入痛点方案对应图)</w:t>
      </w:r>
    </w:p>
    <w:p w14:paraId="6331BAA1">
      <w:pPr>
        <w:jc w:val="center"/>
        <w:rPr>
          <w:rFonts w:hint="eastAsia"/>
        </w:rPr>
      </w:pPr>
      <w:r>
        <w:rPr>
          <w:rFonts w:ascii="楷体" w:hAnsi="楷体" w:eastAsia="楷体" w:cs="Times New Roman"/>
          <w:b/>
          <w:sz w:val="22"/>
        </w:rPr>
        <w:t>图1.5 行业痛点与系统解决方案对应关系图</w:t>
      </w:r>
      <w:commentRangeEnd w:id="3"/>
      <w:r>
        <w:commentReference w:id="3"/>
      </w:r>
    </w:p>
    <w:p w14:paraId="05D1A8CE">
      <w:pPr>
        <w:pStyle w:val="2"/>
        <w:autoSpaceDE w:val="0"/>
        <w:autoSpaceDN w:val="0"/>
        <w:rPr>
          <w:rFonts w:hint="eastAsia" w:ascii="黑体" w:hAnsi="黑体" w:eastAsia="黑体"/>
        </w:rPr>
      </w:pPr>
      <w:bookmarkStart w:id="4" w:name="_Toc224321312"/>
      <w:r>
        <w:t>2 特色与创新</w:t>
      </w:r>
      <w:bookmarkEnd w:id="4"/>
    </w:p>
    <w:p w14:paraId="5745930B">
      <w:pPr>
        <w:pStyle w:val="3"/>
        <w:autoSpaceDE w:val="0"/>
        <w:autoSpaceDN w:val="0"/>
        <w:rPr>
          <w:rFonts w:hint="eastAsia" w:ascii="黑体" w:hAnsi="黑体" w:eastAsia="黑体"/>
        </w:rPr>
      </w:pPr>
      <w:bookmarkStart w:id="5" w:name="_Toc224321313"/>
      <w:r>
        <w:t>2.1 技术创新</w:t>
      </w:r>
      <w:bookmarkEnd w:id="5"/>
    </w:p>
    <w:p w14:paraId="2326ED48">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"端-边-云"三层融合架构</w:t>
      </w:r>
    </w:p>
    <w:p w14:paraId="2769A64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创新性地采用"端-边-云"三层架构，实现了感知、计算、应用的有机分离与协同。端层（ESP32-S3）负责多传感器实时采集，以10秒为周期通过MQTT协议上报数据，确保低功耗、高实时性。边层（树莓派4B）部署本地MQTT Broker[11]（Mosquitto）和轻量级CNN模型，实现毫秒级边缘AI推理，即使在网络中断的情况下仍可独立完成睡姿分类和受压风险监测。云层（Express API）则集成Kimi K3大语言模型，提供深度智能分析能力。三层各司其职，既保证了系统的实时响应能力，又充分利用了云端AI的深度分析优势。</w:t>
      </w:r>
    </w:p>
    <w:p w14:paraId="1B1D5B7F">
      <w:pPr>
        <w:jc w:val="center"/>
        <w:rPr>
          <w:rFonts w:hint="eastAsia"/>
        </w:rPr>
      </w:pPr>
      <w:commentRangeStart w:id="4"/>
      <w:r>
        <w:rPr>
          <w:rFonts w:ascii="Times New Roman" w:hAnsi="Times New Roman" w:eastAsia="宋体" w:cs="Times New Roman"/>
          <w:i/>
          <w:color w:val="808080"/>
          <w:sz w:val="24"/>
        </w:rPr>
        <w:t>(此处插入三层架构详图)</w:t>
      </w:r>
    </w:p>
    <w:p w14:paraId="504BDF38">
      <w:pPr>
        <w:jc w:val="center"/>
        <w:rPr>
          <w:rFonts w:hint="eastAsia"/>
        </w:rPr>
      </w:pPr>
      <w:r>
        <w:rPr>
          <w:rFonts w:ascii="楷体" w:hAnsi="楷体" w:eastAsia="楷体" w:cs="Times New Roman"/>
          <w:b/>
          <w:sz w:val="22"/>
        </w:rPr>
        <w:t>图2.1 “端-边-云”三层融合架构及数据流向示意图</w:t>
      </w:r>
      <w:commentRangeEnd w:id="4"/>
      <w:r>
        <w:commentReference w:id="4"/>
      </w:r>
    </w:p>
    <w:p w14:paraId="09BF3725">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多专科AI护理Agent</w:t>
      </w:r>
    </w:p>
    <w:p w14:paraId="07B34B1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系统内置5种专科AI护理Agent，分别针对高位截瘫、糖尿病、中风后遗症、慢阻肺和通用护理场景设计。每种Agent配备独立的系统提示词（System Prompt）和个性化的体征告警阈值。例如，高位截瘫Agent将血氧安全下限设为92%且特别关注体温调节异常；糖尿病Agent重点监控血糖波动范围（3.9-11.1 mmol/L）并关注足部护理；慢阻肺Agent将血氧阈值适应性调低至88%以减少误报。这种设计使得AI能够像不同科室的专科护士一样，为各类慢性病患者提供针对性的护理建议。</w:t>
      </w:r>
    </w:p>
    <w:p w14:paraId="0454006E">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边缘AI轻量推理</w:t>
      </w:r>
    </w:p>
    <w:p w14:paraId="25A13E59">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在树莓派端部署了自研的PostureCNN卷积神经网络模型[14][15]，该模型仅有不到15K个参数，推理耗时低于1毫秒。模型接收8×8压力矩阵数据作为输入，能够实时分类6种睡眠姿态（仰卧、左侧卧、右侧卧、俯卧、坐姿、空床），并配合基于规则的持续高压跟踪算法实现三级受压风险预警（30分钟黄色预警、60分钟橙色预警、120分钟红色预警）。轻量级的模型设计使得边缘设备无需GPU即可流畅运行，确保了低成本部署的可行性。</w:t>
      </w:r>
      <w:commentRangeStart w:id="5"/>
    </w:p>
    <w:commentRangeEnd w:id="5"/>
    <w:p w14:paraId="2EB4CC0E">
      <w:pPr>
        <w:jc w:val="center"/>
        <w:rPr>
          <w:rFonts w:hint="eastAsia"/>
        </w:rPr>
      </w:pPr>
      <w:r>
        <w:drawing>
          <wp:inline xmlns:a="http://schemas.openxmlformats.org/drawingml/2006/main" xmlns:pic="http://schemas.openxmlformats.org/drawingml/2006/picture">
            <wp:extent cx="5220000" cy="2133723"/>
            <wp:docPr id="9" name="Picture 9"/>
            <wp:cNvGraphicFramePr>
              <a:graphicFrameLocks noChangeAspect="1"/>
            </wp:cNvGraphicFramePr>
            <a:graphic>
              <a:graphicData uri="http://schemas.openxmlformats.org/drawingml/2006/picture">
                <pic:pic>
                  <pic:nvPicPr>
                    <pic:cNvPr id="0" name="fig2_2_posturecnn.png"/>
                    <pic:cNvPicPr/>
                  </pic:nvPicPr>
                  <pic:blipFill>
                    <a:blip r:embed="rId20"/>
                    <a:stretch>
                      <a:fillRect/>
                    </a:stretch>
                  </pic:blipFill>
                  <pic:spPr>
                    <a:xfrm>
                      <a:off x="0" y="0"/>
                      <a:ext cx="5220000" cy="2133723"/>
                    </a:xfrm>
                    <a:prstGeom prst="rect"/>
                  </pic:spPr>
                </pic:pic>
              </a:graphicData>
            </a:graphic>
          </wp:inline>
        </w:drawing>
      </w:r>
    </w:p>
    <w:p w14:paraId="58B2F27B">
      <w:pPr>
        <w:jc w:val="center"/>
        <w:rPr>
          <w:rFonts w:hint="eastAsia"/>
        </w:rPr>
      </w:pPr>
      <w:r>
        <w:rPr>
          <w:rFonts w:ascii="楷体" w:hAnsi="楷体" w:eastAsia="楷体" w:cs="Times New Roman"/>
          <w:b/>
          <w:sz w:val="22"/>
        </w:rPr>
        <w:t>图2.2 PostureCNN轻量卷积神经网络模型结构</w:t>
      </w:r>
    </w:p>
    <w:p w14:paraId="7F54DF9F">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双模型边缘AI推理架构</w:t>
      </w:r>
    </w:p>
    <w:p w14:paraId="7613C547">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在PostureCNN的基础上，系统进一步引入了受MobileNetV3[31]启发的PostureMobileNet模型，采用深度可分离卷积（Depthwise Separable Convolution）替代标准卷积以提升参数效率，并引入Squeeze-and-Excitation（SE）注意力模块[32]实现通道自适应加权。模型使用Hardswish激活函数替代ReLU以提高计算效率，总参数量约45K，在树莓派4B上推理耗时仍低于2毫秒。训练阶段采用AdamW优化器配合余弦退火学习率调度（Cosine Annealing）[33]和数据增强（随机旋转、翻转、缩放、高斯噪声），显著提升了模型的泛化能力。系统支持将模型导出为ONNX格式[34]，利用ONNX Runtime进行工业级推理部署，在无PyTorch环境下亦可运行。系统启动时自动按优先级选择最佳可用引擎：ONNX Runtime &gt; PostureMobileNet &gt; PostureCNN &gt; 规则回退。</w:t>
      </w:r>
    </w:p>
    <w:p w14:paraId="361E2210">
      <w:pPr>
        <w:autoSpaceDE w:val="0"/>
        <w:autoSpaceDN w:val="0"/>
        <w:jc w:val="both"/>
        <w:rPr>
          <w:rFonts w:ascii="Times New Roman" w:hAnsi="Times New Roman" w:eastAsia="宋体" w:cs="Times New Roman"/>
          <w:sz w:val="24"/>
          <w:szCs w:val="24"/>
        </w:rPr>
      </w:pPr>
    </w:p>
    <w:p w14:paraId="6F8431FF">
      <w:pPr>
        <w:jc w:val="center"/>
        <w:rPr>
          <w:rFonts w:hint="eastAsia"/>
        </w:rPr>
      </w:pPr>
      <w:commentRangeStart w:id="6"/>
      <w:r>
        <w:drawing>
          <wp:inline xmlns:a="http://schemas.openxmlformats.org/drawingml/2006/main" xmlns:pic="http://schemas.openxmlformats.org/drawingml/2006/picture">
            <wp:extent cx="5220000" cy="2291212"/>
            <wp:docPr id="10" name="Picture 10"/>
            <wp:cNvGraphicFramePr>
              <a:graphicFrameLocks noChangeAspect="1"/>
            </wp:cNvGraphicFramePr>
            <a:graphic>
              <a:graphicData uri="http://schemas.openxmlformats.org/drawingml/2006/picture">
                <pic:pic>
                  <pic:nvPicPr>
                    <pic:cNvPr id="0" name="fig2_3_mobilenet.png"/>
                    <pic:cNvPicPr/>
                  </pic:nvPicPr>
                  <pic:blipFill>
                    <a:blip r:embed="rId21"/>
                    <a:stretch>
                      <a:fillRect/>
                    </a:stretch>
                  </pic:blipFill>
                  <pic:spPr>
                    <a:xfrm>
                      <a:off x="0" y="0"/>
                      <a:ext cx="5220000" cy="2291212"/>
                    </a:xfrm>
                    <a:prstGeom prst="rect"/>
                  </pic:spPr>
                </pic:pic>
              </a:graphicData>
            </a:graphic>
          </wp:inline>
        </w:drawing>
      </w:r>
    </w:p>
    <w:p w14:paraId="3D7EF18F">
      <w:pPr>
        <w:jc w:val="center"/>
        <w:rPr>
          <w:rFonts w:hint="eastAsia"/>
        </w:rPr>
      </w:pPr>
      <w:r>
        <w:rPr>
          <w:rFonts w:ascii="楷体" w:hAnsi="楷体" w:eastAsia="楷体"/>
          <w:b/>
          <w:sz w:val="22"/>
        </w:rPr>
        <w:t>图2.3 PostureMobileNet深度可分离卷积网络结构与SE注意力模块</w:t>
      </w:r>
      <w:commentRangeEnd w:id="6"/>
      <w:r>
        <w:commentReference w:id="6"/>
      </w:r>
    </w:p>
    <w:p w14:paraId="4A05C068">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b/>
          <w:sz w:val="28"/>
        </w:rPr>
        <w:t>涂鸦AI云TuyaLink物联网平台集成</w:t>
      </w:r>
    </w:p>
    <w:p w14:paraId="59B33E3B">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系统集成了涂鸦AI云TuyaLink物联网平台[35]，实现了“本地MQTT + 云端TuyaLink”双链路数据通道。树莓派作为网关设备，通过TLS加密的MQTTS协议（端口8883）直连涂鸦云，采用设备三元组（ProductId/DeviceId/DeviceSecret）与HMAC-SHA256签名认证机制[36]，按TuyaLink物模型Topic（tylink/{deviceId}/thing/property/report）定期上报设备属性（心率、血氧、体温、血压、睡姿等）。平台支持属性设置与动作调用，远程医护人员可通过涂鸦IoT控制台或移动端向病床下发控制指令（如调整靠背角度、紧急停车、查询状态），指令经tylink标准Topic下发至边缘网关执行。双链路设计确保云端网络不可达时本地MQTT仍可独立工作，提升了系统容灾能力。云端AI调用亦经统一LLM网关按需路由至涂鸦智能体开放服务，实现平台侧多科室智能体的灵活切换。</w:t>
      </w:r>
    </w:p>
    <w:p w14:paraId="4C673F37">
      <w:pPr>
        <w:jc w:val="center"/>
        <w:rPr>
          <w:rFonts w:hint="eastAsia"/>
        </w:rPr>
      </w:pPr>
      <w:commentRangeStart w:id="7"/>
      <w:r>
        <w:drawing>
          <wp:inline xmlns:a="http://schemas.openxmlformats.org/drawingml/2006/main" xmlns:pic="http://schemas.openxmlformats.org/drawingml/2006/picture">
            <wp:extent cx="5220000" cy="1974992"/>
            <wp:docPr id="11" name="Picture 11"/>
            <wp:cNvGraphicFramePr>
              <a:graphicFrameLocks noChangeAspect="1"/>
            </wp:cNvGraphicFramePr>
            <a:graphic>
              <a:graphicData uri="http://schemas.openxmlformats.org/drawingml/2006/picture">
                <pic:pic>
                  <pic:nvPicPr>
                    <pic:cNvPr id="0" name="fig2_4_tuyalink.png"/>
                    <pic:cNvPicPr/>
                  </pic:nvPicPr>
                  <pic:blipFill>
                    <a:blip r:embed="rId22"/>
                    <a:stretch>
                      <a:fillRect/>
                    </a:stretch>
                  </pic:blipFill>
                  <pic:spPr>
                    <a:xfrm>
                      <a:off x="0" y="0"/>
                      <a:ext cx="5220000" cy="1974992"/>
                    </a:xfrm>
                    <a:prstGeom prst="rect"/>
                  </pic:spPr>
                </pic:pic>
              </a:graphicData>
            </a:graphic>
          </wp:inline>
        </w:drawing>
      </w:r>
    </w:p>
    <w:p w14:paraId="2FF0FC65">
      <w:pPr>
        <w:jc w:val="center"/>
        <w:rPr>
          <w:rFonts w:hint="eastAsia"/>
        </w:rPr>
      </w:pPr>
      <w:r>
        <w:rPr>
          <w:rFonts w:ascii="Times New Roman" w:hAnsi="Times New Roman" w:eastAsia="宋体"/>
          <w:b/>
          <w:sz w:val="22"/>
        </w:rPr>
        <w:t>图2.4 本地MQTT与涂鸦云TuyaLink双链路数据通道架构</w:t>
      </w:r>
      <w:commentRangeEnd w:id="7"/>
      <w:r>
        <w:commentReference w:id="7"/>
      </w:r>
    </w:p>
    <w:p w14:paraId="4B0F793F">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多模态传感器融合告警引擎</w:t>
      </w:r>
    </w:p>
    <w:p w14:paraId="2BAB3576">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为提升告警准确率并减少单一传感器的误报，系统实现了基于Dempster-Shafer证据理论[37]的多模态传感器融合引擎。引擎融合三种异构数据源：基于MediaPipe Pose[38]的摄像头视觉跌倒检测（分析人体关键点的Y坐标变化和躯干倾斜角度）、压力矩阵AI分析（MobileNet睡姿分类 + 受压持续时间跟踪）、以及体征生理数据（心率、血氧、体温异常检测）。各数据源独立输出证据质量函数（m(danger)/m(safe)/m(Θ)）后，采用标准Dempster组合规则计算联合信度Belief与似然度Plausibility，并以冲突系数K量化数据源间矛盾程度。当多源证据高度一致时提升告警置信度，当源间矛盾时降低置信度以避免误报。融合结果最终输出四级告警（none/info/warning/critical）及置信度分数。</w:t>
      </w:r>
    </w:p>
    <w:p w14:paraId="622EC5F5">
      <w:pPr>
        <w:jc w:val="center"/>
        <w:rPr>
          <w:rFonts w:hint="eastAsia"/>
        </w:rPr>
      </w:pPr>
      <w:commentRangeStart w:id="8"/>
      <w:r>
        <w:rPr>
          <w:rFonts w:ascii="Times New Roman" w:hAnsi="Times New Roman" w:eastAsia="宋体"/>
          <w:sz w:val="24"/>
        </w:rPr>
        <w:t>(此处插入多模态融合流程图，含视觉/压力/体征三路证据 → D-S融合 → 四级告警输出)</w:t>
      </w:r>
    </w:p>
    <w:p w14:paraId="376D3CE5">
      <w:pPr>
        <w:jc w:val="center"/>
        <w:rPr>
          <w:rFonts w:hint="eastAsia"/>
        </w:rPr>
      </w:pPr>
      <w:r>
        <w:rPr>
          <w:rFonts w:ascii="楷体" w:hAnsi="楷体" w:eastAsia="楷体"/>
          <w:b/>
          <w:sz w:val="22"/>
        </w:rPr>
        <w:t>图2.5 基于Dempster-Shafer证据理论的多模态传感器融合框架</w:t>
      </w:r>
      <w:commentRangeEnd w:id="8"/>
      <w:r>
        <w:commentReference w:id="8"/>
      </w:r>
    </w:p>
    <w:p w14:paraId="74C5DE73">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AI自主决策闭环</w:t>
      </w:r>
    </w:p>
    <w:p w14:paraId="65F3E9FF">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系统构建了完整的"感知→决策→执行"AI-in-the-Loop自主决策闭环[39]。决策引擎内置9条优先级规则：（1）低血氧自动抬升靠背（SpO2&lt;90%持续30秒，自动抬升15°改善通气）；（2）异常心率告警及语音提醒；（3）持续高温自动降温提示；（4）血压异常多级告警；（5）受压超时自动翻身提醒（结合压力矩阵持续高压时长）；（6）压疮高风险护理方案推送；（7）跌倒/离床自动紧急告警（联动多模态融合结果）；（8）长时间未翻身语音关怀提醒；（9）基于1D-CNN时序模型的预测性受压预防（预测未来30分钟受压风险并提前干预）。每条规则配备独立的冷却时间和优先级权重，防止重复触发。决策引擎通过直接控制推杆电机（调整靠背角度）和语音合成（播放关怀提醒）实现执行闭环，同时将所有决策日志上报云端存档。</w:t>
      </w:r>
    </w:p>
    <w:p w14:paraId="5964BE2B">
      <w:pPr>
        <w:jc w:val="center"/>
        <w:rPr>
          <w:rFonts w:hint="eastAsia"/>
        </w:rPr>
      </w:pPr>
      <w:commentRangeStart w:id="9"/>
      <w:r>
        <w:rPr>
          <w:rFonts w:ascii="Times New Roman" w:hAnsi="Times New Roman" w:eastAsia="宋体"/>
          <w:sz w:val="24"/>
        </w:rPr>
        <w:t>(此处插入AI自主决策闭环流程图，含传感器输入 → 8条规则优先级调度 → 推杆/语音/告警执行)</w:t>
      </w:r>
    </w:p>
    <w:p w14:paraId="08E04BFE">
      <w:pPr>
        <w:jc w:val="center"/>
        <w:rPr>
          <w:rFonts w:hint="eastAsia"/>
        </w:rPr>
      </w:pPr>
      <w:r>
        <w:rPr>
          <w:rFonts w:ascii="楷体" w:hAnsi="楷体" w:eastAsia="楷体"/>
          <w:b/>
          <w:sz w:val="22"/>
        </w:rPr>
        <w:t>图2.6 AI-in-the-Loop自主决策引擎规则调度与执行闭环</w:t>
      </w:r>
      <w:commentRangeEnd w:id="9"/>
      <w:r>
        <w:commentReference w:id="9"/>
      </w:r>
    </w:p>
    <w:p w14:paraId="69050123">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全流程语音AI陪护</w:t>
      </w:r>
    </w:p>
    <w:p w14:paraId="00098392">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系统创新性地构建了"录音→ASR识别→AI对话→TTS合成→播放"的全流程语音交互链路。患者通过USB麦克风说话，音频经SiliconFlow TeleSpeechASR引擎[25]转录为文字；文字内容连同患者病史背景发送至Kimi K3大模型生成关怀性回复；回复文字再经CosyVoice2语音合成引擎[26]转化为自然流畅的语音通过PAM8403功放播放。整个过程对患者而言如同与一位贴心的护理助手对话，有效缓解长期卧床带来的孤独感与焦虑情绪。链路采用基于能量的VAD自动录音（无需任何按键）与WebSocket流式管道（ASR→LLM→TTS逐句合成播放）压缩端到端延迟，流式通道异常时自动回退HTTP模式。</w:t>
      </w:r>
    </w:p>
    <w:p w14:paraId="08092214">
      <w:pPr>
        <w:jc w:val="center"/>
        <w:rPr>
          <w:rFonts w:hint="eastAsia"/>
        </w:rPr>
      </w:pPr>
      <w:commentRangeStart w:id="10"/>
      <w:r>
        <w:rPr>
          <w:rFonts w:ascii="Times New Roman" w:hAnsi="Times New Roman" w:eastAsia="宋体" w:cs="Times New Roman"/>
          <w:i/>
          <w:color w:val="808080"/>
          <w:sz w:val="24"/>
        </w:rPr>
        <w:t>(此处插入语音链路图)</w:t>
      </w:r>
    </w:p>
    <w:p w14:paraId="616D08EB">
      <w:pPr>
        <w:jc w:val="center"/>
        <w:rPr>
          <w:rFonts w:hint="eastAsia"/>
        </w:rPr>
      </w:pPr>
      <w:r>
        <w:rPr>
          <w:rFonts w:ascii="楷体" w:hAnsi="楷体" w:eastAsia="楷体" w:cs="Times New Roman"/>
          <w:b/>
          <w:sz w:val="22"/>
        </w:rPr>
        <w:t>图2.7 全流程语音AI陪护交互链路</w:t>
      </w:r>
      <w:commentRangeEnd w:id="10"/>
      <w:r>
        <w:commentReference w:id="10"/>
      </w:r>
    </w:p>
    <w:p w14:paraId="2EFC1AF3">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自主寻房导航系统</w:t>
      </w:r>
    </w:p>
    <w:p w14:paraId="18A29C0B">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病床底盘集成了完整的自主导航系统：3路TCRT5000循迹传感器实现黑线路径追踪，NearLink星闪锚点三边测距实现病房定位与识别（RC522 RFID读卡器[18]保留为备用方案），3路HC-SR04超声波传感器实现前方和两侧的障碍物检测（15cm紧急停车、30cm减速避让）。L298N双H桥驱动4WD TT马达底盘，配合PID速度调节算法[19]确保平稳行驶。护理人员只需在Web遥控界面输入目标病房号，病床即可沿预设路线自主导航到达。</w:t>
      </w:r>
    </w:p>
    <w:p w14:paraId="31491B94">
      <w:pPr>
        <w:jc w:val="center"/>
        <w:rPr>
          <w:rFonts w:hint="eastAsia"/>
        </w:rPr>
      </w:pPr>
      <w:commentRangeStart w:id="11"/>
      <w:r>
        <w:rPr>
          <w:rFonts w:ascii="Times New Roman" w:hAnsi="Times New Roman" w:eastAsia="宋体" w:cs="Times New Roman"/>
          <w:i/>
          <w:color w:val="808080"/>
          <w:sz w:val="24"/>
        </w:rPr>
        <w:t>(此处插入导航流程图)</w:t>
      </w:r>
    </w:p>
    <w:p w14:paraId="5CB3BE7A">
      <w:pPr>
        <w:jc w:val="center"/>
        <w:rPr>
          <w:rFonts w:hint="eastAsia"/>
        </w:rPr>
      </w:pPr>
      <w:r>
        <w:rPr>
          <w:rFonts w:ascii="楷体" w:hAnsi="楷体" w:eastAsia="楷体" w:cs="Times New Roman"/>
          <w:b/>
          <w:sz w:val="22"/>
        </w:rPr>
        <w:t>图2.8 自主寻房导航系统工作流程与传感器协同机制</w:t>
      </w:r>
      <w:commentRangeEnd w:id="11"/>
      <w:r>
        <w:commentReference w:id="11"/>
      </w:r>
    </w:p>
    <w:p w14:paraId="769F339F">
      <w:pPr>
        <w:pStyle w:val="3"/>
        <w:autoSpaceDE w:val="0"/>
        <w:autoSpaceDN w:val="0"/>
        <w:rPr>
          <w:rFonts w:hint="eastAsia" w:ascii="黑体" w:hAnsi="黑体" w:eastAsia="黑体"/>
        </w:rPr>
      </w:pPr>
      <w:bookmarkStart w:id="6" w:name="_Toc224321314"/>
      <w:r>
        <w:t>2.2 功能创新和优势</w:t>
      </w:r>
      <w:bookmarkEnd w:id="6"/>
    </w:p>
    <w:p w14:paraId="548C4AC7">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AI大模型深度赋能</w:t>
      </w:r>
    </w:p>
    <w:p w14:paraId="251DA36A">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区别于传统的阈值告警系统，本平台深度集成Moonshot Kimi K3大语言模型[16]，提供四大AI分析能力：健康报告自动生成（综合24小时体征数据与告警记录，输出诊断分析与康复建议）、专科护理咨询（根据患者疾病类型由对应Agent提供专业回答）、压力矩阵深度分析（结合CNN分类结果给出翻身护理方案）、以及家属关注点智能提取（分析3天内患者与AI的对话内容，提取情绪状态、身体诉求和心理需求）。</w:t>
      </w:r>
    </w:p>
    <w:p w14:paraId="7D12DB4B">
      <w:pPr>
        <w:jc w:val="center"/>
        <w:rPr>
          <w:rFonts w:hint="eastAsia"/>
        </w:rPr>
      </w:pPr>
      <w:commentRangeStart w:id="12"/>
      <w:r>
        <w:rPr>
          <w:rFonts w:ascii="Times New Roman" w:hAnsi="Times New Roman" w:eastAsia="宋体" w:cs="Times New Roman"/>
          <w:i/>
          <w:color w:val="808080"/>
          <w:sz w:val="24"/>
        </w:rPr>
        <w:t>(此处插入AI能力架构图)</w:t>
      </w:r>
    </w:p>
    <w:p w14:paraId="5773B884">
      <w:pPr>
        <w:jc w:val="center"/>
        <w:rPr>
          <w:rFonts w:hint="eastAsia"/>
        </w:rPr>
      </w:pPr>
      <w:r>
        <w:rPr>
          <w:rFonts w:ascii="楷体" w:hAnsi="楷体" w:eastAsia="楷体" w:cs="Times New Roman"/>
          <w:b/>
          <w:sz w:val="22"/>
        </w:rPr>
        <w:t>图2.9 Kimi K3大模型四大AI分析能力架构</w:t>
      </w:r>
      <w:commentRangeEnd w:id="12"/>
      <w:r>
        <w:commentReference w:id="12"/>
      </w:r>
    </w:p>
    <w:p w14:paraId="0D7A8BEE">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多角色差异化协作</w:t>
      </w:r>
    </w:p>
    <w:p w14:paraId="3156D31F">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系统设计了管理员、医生、患者、家属四种用户角色，通过JWT令牌认证[24]与RBAC权限控制实现差异化访问。管理员拥有全部权限，可管理所有患者和系统配置；医生可查看名下所有患者的体征数据和AI报告；患者可查看自己的健康数据和使用语音聊天；家属则可查看关联患者的健康状态和AI生成的关注点分析报告。这种设计使得护理信息在不同角色间精准流转，真正实现了以患者为中心的多方协同护理。</w:t>
      </w:r>
    </w:p>
    <w:p w14:paraId="6AEE25CC">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b/>
          <w:sz w:val="28"/>
        </w:rPr>
        <w:t>11页面Web可视化Dashboard</w:t>
      </w:r>
    </w:p>
    <w:p w14:paraId="4D2D05A2">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前端采用原生HTML/CSS/JS开发，结合Chart.js图表库[29]和Canvas热力图渲染技术，构建了11个功能页面：入口导航页、登录页、总览仪表盘（含压力热力图与体征折线图）、异常预警管理、AI体检报告、患者病历管理、智能提醒、Web端AI聊天、语音聊天、数字孪生3D以及家属关注点分析页面。8×8压力矩阵数据通过Canvas实时绘制为色彩直观的热力图，帮助护理人员一目了然地识别患者的高压区域。</w:t>
      </w:r>
    </w:p>
    <w:p w14:paraId="533E01E0">
      <w:pPr>
        <w:jc w:val="center"/>
        <w:rPr>
          <w:rFonts w:hint="eastAsia"/>
        </w:rPr>
      </w:pPr>
      <w:commentRangeStart w:id="13"/>
      <w:r>
        <w:drawing>
          <wp:inline xmlns:a="http://schemas.openxmlformats.org/drawingml/2006/main" xmlns:pic="http://schemas.openxmlformats.org/drawingml/2006/picture">
            <wp:extent cx="4320000" cy="2799628"/>
            <wp:docPr id="17" name="Picture 17"/>
            <wp:cNvGraphicFramePr>
              <a:graphicFrameLocks noChangeAspect="1"/>
            </wp:cNvGraphicFramePr>
            <a:graphic>
              <a:graphicData uri="http://schemas.openxmlformats.org/drawingml/2006/picture">
                <pic:pic>
                  <pic:nvPicPr>
                    <pic:cNvPr id="0" name="shot_heatmap_card.png"/>
                    <pic:cNvPicPr/>
                  </pic:nvPicPr>
                  <pic:blipFill>
                    <a:blip r:embed="rId28"/>
                    <a:stretch>
                      <a:fillRect/>
                    </a:stretch>
                  </pic:blipFill>
                  <pic:spPr>
                    <a:xfrm>
                      <a:off x="0" y="0"/>
                      <a:ext cx="4320000" cy="2799628"/>
                    </a:xfrm>
                    <a:prstGeom prst="rect"/>
                  </pic:spPr>
                </pic:pic>
              </a:graphicData>
            </a:graphic>
          </wp:inline>
        </w:drawing>
      </w:r>
    </w:p>
    <w:p w14:paraId="0CDAC90B">
      <w:pPr>
        <w:jc w:val="center"/>
        <w:rPr>
          <w:rFonts w:hint="eastAsia"/>
        </w:rPr>
      </w:pPr>
      <w:r>
        <w:rPr>
          <w:rFonts w:ascii="楷体" w:hAnsi="楷体" w:eastAsia="楷体" w:cs="Times New Roman"/>
          <w:b/>
          <w:sz w:val="22"/>
        </w:rPr>
        <w:t>图2.10 前端8x8压力矩阵Canvas热力图渲染效果展示</w:t>
      </w:r>
      <w:commentRangeEnd w:id="13"/>
      <w:r>
        <w:commentReference w:id="13"/>
      </w:r>
    </w:p>
    <w:p w14:paraId="1FD016FB">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数字孪生3D可视化</w:t>
      </w:r>
    </w:p>
    <w:p w14:paraId="0D0E6E82">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系统前端新增基于Three.js[40]的数字孪生3D可视化页面，构建了病床的三维模型，包括可动态调节的靠背关节和人体姿态模型。页面实时从API获取传感器数据，驱动3D场景中的压力热力图渲染（2D平面热力图 + 3D柱状图双视角）、人体姿态动画切换（仰卧/侧卧/俯卧/坐起/空床）、以及生命体征数值面板更新。OrbitControls支持鼠标交互旋转、缩放和平移，为远程医护人员提供了前所未有的空间直觉化监护体验。数字孪生技术[41]使得护理人员无需到床旁即可全面掌握患者的体位和受压状况。</w:t>
      </w:r>
    </w:p>
    <w:p w14:paraId="7DB22419">
      <w:pPr>
        <w:jc w:val="center"/>
        <w:rPr>
          <w:rFonts w:hint="eastAsia"/>
        </w:rPr>
      </w:pPr>
      <w:commentRangeStart w:id="14"/>
      <w:r>
        <w:rPr>
          <w:rFonts w:ascii="Times New Roman" w:hAnsi="Times New Roman" w:eastAsia="宋体"/>
          <w:sz w:val="24"/>
        </w:rPr>
        <w:t>(此处插入数字孪生3D可视化页面截图，含3D病床模型 + 压力热力图 + 体征面板)</w:t>
      </w:r>
    </w:p>
    <w:p w14:paraId="361FE019">
      <w:pPr>
        <w:jc w:val="center"/>
        <w:rPr>
          <w:rFonts w:hint="eastAsia"/>
        </w:rPr>
      </w:pPr>
      <w:r>
        <w:rPr>
          <w:rFonts w:ascii="楷体" w:hAnsi="楷体" w:eastAsia="楷体"/>
          <w:b/>
          <w:sz w:val="22"/>
        </w:rPr>
        <w:t>图2.11 基于Three.js的数字孪生3D可视化交互界面</w:t>
      </w:r>
      <w:commentRangeEnd w:id="14"/>
      <w:r>
        <w:commentReference w:id="14"/>
      </w:r>
    </w:p>
    <w:p w14:paraId="7FE4F339">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联邦学习隐私保护训练</w:t>
      </w:r>
    </w:p>
    <w:p w14:paraId="0D53D13D">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为解决多床位协作训练AI模型时的患者隐私问题，系统实现了基于FedAvg算法[42]的联邦学习概念验证模块。每个床位作为联邦客户端在本地数据上训练模型，仅上传模型权重差值（weight delta）至中心服务器进行加权聚合，原始患者压力数据始终不离开本地设备。为进一步保护隐私，在权重差值上传前添加差分隐私噪声[43]（校准高斯噪声，隐私预算ε=2.0），使得服务器即使获得模型更新也无法反推出单个患者的压力分布特征。该设计为多医院/多病区场景下的协作AI训练提供了隐私安全的技术路径。</w:t>
      </w:r>
    </w:p>
    <w:p w14:paraId="638ECAA1">
      <w:pPr>
        <w:jc w:val="center"/>
        <w:rPr>
          <w:rFonts w:hint="eastAsia"/>
        </w:rPr>
      </w:pPr>
      <w:commentRangeStart w:id="15"/>
      <w:r>
        <w:rPr>
          <w:rFonts w:ascii="Times New Roman" w:hAnsi="Times New Roman" w:eastAsia="宋体"/>
          <w:sz w:val="24"/>
        </w:rPr>
        <w:t>(此处插入联邦学习架构图，含多床位客户端 → 本地训练 → 差分隐私 → FedAvg聚合 → 全局模型分发)</w:t>
      </w:r>
    </w:p>
    <w:p w14:paraId="7800688A">
      <w:pPr>
        <w:jc w:val="center"/>
        <w:rPr>
          <w:rFonts w:hint="eastAsia"/>
        </w:rPr>
      </w:pPr>
      <w:r>
        <w:rPr>
          <w:rFonts w:ascii="楷体" w:hAnsi="楷体" w:eastAsia="楷体"/>
          <w:b/>
          <w:sz w:val="22"/>
        </w:rPr>
        <w:t>图2.12 基于FedAvg的联邦学习隐私保护训练架构</w:t>
      </w:r>
      <w:commentRangeEnd w:id="15"/>
      <w:r>
        <w:commentReference w:id="15"/>
      </w:r>
    </w:p>
    <w:p w14:paraId="42B75F1C">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区块链健康数据存证</w:t>
      </w:r>
    </w:p>
    <w:p w14:paraId="0FC87B15">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系统引入轻量级区块链模块[44]用于健康数据的不可篡改存证。每5分钟，系统将患者体征数据的SHA-256摘要（而非原始数据）写入本地链式哈希结构中，同时记录告警事件、AI分析报告和决策引擎执行日志。每个区块包含前一区块的哈希值、时间戳、数据摘要和工作量证明（Proof-of-Work），形成单向链式依赖。任何对历史记录的篡改都会导致后续所有区块的哈希校验失败，从而被系统检测。该设计为医疗数据的溯源审计和法律合规性提供了可靠的技术保障[45]。</w:t>
      </w:r>
    </w:p>
    <w:p w14:paraId="19269A2A">
      <w:pPr>
        <w:jc w:val="center"/>
        <w:rPr>
          <w:rFonts w:hint="eastAsia"/>
        </w:rPr>
      </w:pPr>
      <w:commentRangeStart w:id="16"/>
      <w:r>
        <w:rPr>
          <w:rFonts w:ascii="Times New Roman" w:hAnsi="Times New Roman" w:eastAsia="宋体"/>
          <w:sz w:val="24"/>
        </w:rPr>
        <w:t>(此处插入区块链存证结构图，含区块链式哈希 + SHA-256摘要 + PoW + 验证链路)</w:t>
      </w:r>
    </w:p>
    <w:p w14:paraId="78F5064F">
      <w:pPr>
        <w:jc w:val="center"/>
        <w:rPr>
          <w:rFonts w:hint="eastAsia"/>
        </w:rPr>
      </w:pPr>
      <w:r>
        <w:rPr>
          <w:rFonts w:ascii="楷体" w:hAnsi="楷体" w:eastAsia="楷体"/>
          <w:b/>
          <w:sz w:val="22"/>
        </w:rPr>
        <w:t>图2.13 轻量级健康数据区块链存证结构</w:t>
      </w:r>
      <w:commentRangeEnd w:id="16"/>
      <w:r>
        <w:commentReference w:id="16"/>
      </w:r>
    </w:p>
    <w:p w14:paraId="6B0008B8">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语音情感识别增强</w:t>
      </w:r>
    </w:p>
    <w:p w14:paraId="7B5B7D24">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sz w:val="24"/>
        </w:rPr>
        <w:t>在语音AI陪护的基础上，系统新增了语音情感识别（Speech Emotion Recognition, SER）[46]能力。系统通过Kimi K3大模型对患者的对话文本进行多维度情感分析，输出主要情绪类型、情绪强度（0-1）、效价（Valence，-1至+1表示正负面程度）、唤醒度（Arousal，0-1表示情绪激动程度）以及抑郁/焦虑/疼痛三维风险指标。系统持续追踪情感变化趋势，为护理人员提供患者心理状态的量化评估依据。大模型不可用时系统自动降级为关键词规则分类器并给出粗粒度Valence-Arousal映射，保障离线可用。结合自然语言处理中的情感计算技术[47]，该功能使智能病床从纯生理监测扩展到了心理关怀层面。</w:t>
      </w:r>
    </w:p>
    <w:p w14:paraId="7FDCC97B">
      <w:pPr>
        <w:jc w:val="center"/>
        <w:rPr>
          <w:rFonts w:hint="eastAsia"/>
        </w:rPr>
      </w:pPr>
      <w:commentRangeStart w:id="17"/>
      <w:r>
        <w:rPr>
          <w:rFonts w:ascii="Times New Roman" w:hAnsi="Times New Roman" w:eastAsia="宋体"/>
          <w:sz w:val="24"/>
        </w:rPr>
        <w:t>(此处插入情感分析维度示意图，含Valence-Arousal二维情感空间 + 风险指标雷达图)</w:t>
      </w:r>
    </w:p>
    <w:p w14:paraId="542A7A2E">
      <w:pPr>
        <w:jc w:val="center"/>
        <w:rPr>
          <w:rFonts w:hint="eastAsia"/>
        </w:rPr>
      </w:pPr>
      <w:r>
        <w:rPr>
          <w:rFonts w:ascii="楷体" w:hAnsi="楷体" w:eastAsia="楷体"/>
          <w:b/>
          <w:sz w:val="22"/>
        </w:rPr>
        <w:t>图2.14 语音情感识别多维度分析模型与Valence-Arousal情感空间</w:t>
      </w:r>
      <w:commentRangeEnd w:id="17"/>
      <w:r>
        <w:commentReference w:id="17"/>
      </w:r>
    </w:p>
    <w:p w14:paraId="405F563B">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低成本可复制方案</w:t>
      </w:r>
    </w:p>
    <w:p w14:paraId="247BE7D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整套硬件系统预估总成本仅约900元人民币（含运费），所用器件均为市面常见的开源硬件模块，无需定制PCB或专用芯片。软件层面全部采用开源技术栈（Node.js、Express、SQLite、PyTorch、Flask），降低了技术门槛和维护成本。这种低成本、易复制的设计理念使得系统具备在基层医疗机构和养老院规模化推广的潜力。</w:t>
      </w:r>
    </w:p>
    <w:p w14:paraId="1F904A4C">
      <w:pPr>
        <w:autoSpaceDE w:val="0"/>
        <w:autoSpaceDN w:val="0"/>
        <w:spacing w:line="300" w:lineRule="auto"/>
        <w:ind w:firstLine="562" w:firstLineChars="200"/>
        <w:rPr>
          <w:rFonts w:hint="eastAsia"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自然语言控制</w:t>
      </w:r>
    </w:p>
    <w:p w14:paraId="7D7F1B19">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传统智能病床通常采用遥控器或触屏面板的交互方式，操作门槛较高，尤其对于行动不便的老年患者和高位截瘻患者而言，物理按键操作存在显著困难。本系统创新性地引入自然语言控制（Natural Language Control, NLC）功能，患者仅需通过语音指令即可控制病床硬件，如“把靠背升起来”“往前走”“去302房”等自然语言，无需记忆特定按键或触控操作。</w:t>
      </w:r>
    </w:p>
    <w:p w14:paraId="103F97F4">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NLC与语音AI陪聊功能采用双模式架构设计，通过专属唤醒词实现模式切换：说“病床控制”进入NLC模式，说“退出控制”退出该模式；说“小护小护”进入AI陪聊模式，说“结束聊天”退出陪聊模式。两种模式的唤醒词和退出词完全独立，避免了误触发问题[47]。</w:t>
      </w:r>
    </w:p>
    <w:p w14:paraId="72B52781">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NLC模式下，系统采用基于大语言模型的意图解析架构：患者语音经SiliconFlow TeleSpeechASR识别为文本后，通过精心设计的NLC System Prompt调用Kimi K3进行意图解析，将自然语言映射为标准化的动作JSON。系统支持11种硬件控制动作，涵盖靠背升降、底盘移动和自主导航三大类。解析后的动作指令通过HTTP POST发送至本地Flask遥控服务的/api/cmd端点执行硬件操作，同时生成TTS语音进行确认播报。</w:t>
      </w:r>
    </w:p>
    <w:p w14:paraId="2AB98516">
      <w:pPr>
        <w:jc w:val="center"/>
        <w:rPr>
          <w:rFonts w:hint="eastAsia"/>
        </w:rPr>
      </w:pPr>
      <w:commentRangeStart w:id="18"/>
      <w:r>
        <w:rPr>
          <w:rFonts w:ascii="Times New Roman" w:hAnsi="Times New Roman" w:eastAsia="宋体"/>
          <w:sz w:val="24"/>
        </w:rPr>
        <w:t>(此处插入NLC流程图)</w:t>
      </w:r>
    </w:p>
    <w:p w14:paraId="2A337556">
      <w:pPr>
        <w:jc w:val="center"/>
        <w:rPr>
          <w:rFonts w:hint="eastAsia"/>
          <w:b/>
          <w:bCs/>
          <w:sz w:val="21"/>
          <w:szCs w:val="21"/>
        </w:rPr>
      </w:pPr>
      <w:r>
        <w:rPr>
          <w:rFonts w:ascii="楷体" w:hAnsi="楷体" w:eastAsia="楷体"/>
          <w:b/>
          <w:bCs/>
          <w:sz w:val="22"/>
          <w:szCs w:val="21"/>
        </w:rPr>
        <w:t>图2.</w:t>
      </w:r>
      <w:r>
        <w:rPr>
          <w:rFonts w:hint="eastAsia" w:ascii="楷体" w:hAnsi="楷体" w:eastAsia="楷体"/>
          <w:b/>
          <w:bCs/>
          <w:sz w:val="22"/>
          <w:szCs w:val="21"/>
        </w:rPr>
        <w:t>15</w:t>
      </w:r>
      <w:r>
        <w:rPr>
          <w:rFonts w:ascii="楷体" w:hAnsi="楷体" w:eastAsia="楷体"/>
          <w:b/>
          <w:bCs/>
          <w:sz w:val="22"/>
          <w:szCs w:val="21"/>
        </w:rPr>
        <w:t xml:space="preserve"> 自然语言控制（NLC）双模式架构与意图解析流程图</w:t>
      </w:r>
      <w:commentRangeEnd w:id="18"/>
      <w:r>
        <w:commentReference w:id="18"/>
      </w:r>
    </w:p>
    <w:p w14:paraId="13291DA4">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所有语音控制操作均记录在voice_commands数据表中，包含原始语音文本、解析动作、AI回复和执行状态，为系统运行审计和交互体验优化提供数据支撑。</w:t>
      </w:r>
    </w:p>
    <w:p w14:paraId="1938888F">
      <w:pPr>
        <w:spacing w:line="300" w:lineRule="auto"/>
      </w:pPr>
      <w:r>
        <w:rPr>
          <w:rFonts w:ascii="Times New Roman" w:hAnsi="Times New Roman" w:eastAsia="黑体"/>
          <w:b/>
          <w:sz w:val="24"/>
        </w:rPr>
        <w:t>多智能体协同护理决策（Multi-Agent Swarm）</w:t>
      </w:r>
    </w:p>
    <w:p w14:paraId="4A2CA4A3">
      <w:pPr>
        <w:spacing w:line="300" w:lineRule="auto"/>
        <w:ind w:firstLine="480" w:firstLineChars="200"/>
      </w:pPr>
      <w:r>
        <w:rPr>
          <w:rFonts w:ascii="Times New Roman" w:hAnsi="Times New Roman" w:eastAsia="宋体"/>
          <w:sz w:val="24"/>
        </w:rPr>
        <w:t>在单一决策引擎之上，系统进一步实现了多智能体协同框架：护理协调者（NursingCoordinator）统一调度体征监护、压疮预防、急救分诊、情绪陪伴4个专科Agent，各Agent拥有独立的触发条件、优先级与专属提示词，通过消息信箱机制协作会诊。框架引入L0-L3四级工具权限沙箱：从只读查询（L0）到语音提醒（L1）、护理建议推送（L2）、硬件执行（L3）逐级收紧，任何Agent的动作调用均须通过权限校验器审查，为医疗场景下AI自主行为划定安全边界。云端同步提供多Agent并行会诊接口（/api/agents/coordinate）与Swarm运行状态查询端点。</w:t>
      </w:r>
    </w:p>
    <w:p w14:paraId="3442C085">
      <w:pPr>
        <w:spacing w:line="300" w:lineRule="auto"/>
        <w:jc w:val="center"/>
      </w:pPr>
      <w:r>
        <w:rPr>
          <w:rFonts w:ascii="Times New Roman" w:hAnsi="Times New Roman" w:eastAsia="宋体"/>
          <w:sz w:val="24"/>
        </w:rPr>
        <w:t>(此处插入Multi-Agent Swarm架构图，含Coordinator调度 + 4专科Agent + L0-L3权限沙箱)</w:t>
      </w:r>
    </w:p>
    <w:p w14:paraId="20908DA2">
      <w:pPr>
        <w:spacing w:line="300" w:lineRule="auto"/>
        <w:jc w:val="center"/>
        <w:rPr>
          <w:b/>
          <w:bCs/>
        </w:rPr>
      </w:pPr>
      <w:r>
        <w:rPr>
          <w:rFonts w:ascii="楷体" w:hAnsi="楷体" w:eastAsia="楷体"/>
          <w:b/>
          <w:bCs/>
          <w:sz w:val="22"/>
        </w:rPr>
        <w:t>图2.16 多智能体协同护理决策框架与权限分层沙箱</w:t>
      </w:r>
    </w:p>
    <w:p w14:paraId="3B92E987">
      <w:pPr>
        <w:spacing w:line="300" w:lineRule="auto"/>
      </w:pPr>
      <w:r>
        <w:rPr>
          <w:rFonts w:ascii="Times New Roman" w:hAnsi="Times New Roman" w:eastAsia="黑体"/>
          <w:b/>
          <w:sz w:val="24"/>
        </w:rPr>
        <w:t>非接触呼吸率监测（压力信号频域提取）</w:t>
      </w:r>
    </w:p>
    <w:p w14:paraId="30511946">
      <w:pPr>
        <w:spacing w:line="300" w:lineRule="auto"/>
        <w:ind w:firstLine="480" w:firstLineChars="200"/>
      </w:pPr>
      <w:r>
        <w:rPr>
          <w:rFonts w:ascii="Times New Roman" w:hAnsi="Times New Roman" w:eastAsia="宋体"/>
          <w:sz w:val="24"/>
        </w:rPr>
        <w:t>系统复用Velostat压力矩阵实现零额外硬件的呼吸率监测：ESP32以4Hz发布床面压力总和，边缘端维护60秒滑动窗口，经去趋势、Hamming加窗与FFT频谱分析，在0.15-0.6Hz呼吸频带内检测谱峰，将胸腹起伏引起的微小压力波动转化为呼吸率（次/分）。谱峰显著性作为质量指标，体动干扰或空床时自动抑制输出以避免误报。呼吸率随体征数据一同上云入库，并在仪表盘实时展示，为呼吸抑制、睡眠呼吸异常等风险提供无感知、无接触的连续监测手段。</w:t>
      </w:r>
    </w:p>
    <w:p w14:paraId="6C48229F">
      <w:pPr>
        <w:spacing w:line="300" w:lineRule="auto"/>
        <w:jc w:val="center"/>
      </w:pPr>
      <w:r>
        <w:rPr>
          <w:rFonts w:ascii="Times New Roman" w:hAnsi="Times New Roman" w:eastAsia="宋体"/>
          <w:sz w:val="24"/>
        </w:rPr>
        <w:t>(此处插入呼吸率提取流程图，含4Hz压力时序 → 去趋势/加窗 → FFT频谱 → 呼吸频带谱峰)</w:t>
      </w:r>
    </w:p>
    <w:p w14:paraId="071E5038">
      <w:pPr>
        <w:spacing w:line="300" w:lineRule="auto"/>
        <w:jc w:val="center"/>
        <w:rPr>
          <w:b/>
          <w:bCs/>
        </w:rPr>
      </w:pPr>
      <w:r>
        <w:rPr>
          <w:rFonts w:ascii="楷体" w:hAnsi="楷体" w:eastAsia="楷体"/>
          <w:b/>
          <w:bCs/>
          <w:sz w:val="22"/>
        </w:rPr>
        <w:t>图2.17 基于压力矩阵频域分析的非接触呼吸率提取流程</w:t>
      </w:r>
    </w:p>
    <w:p w14:paraId="62F8F398">
      <w:pPr>
        <w:spacing w:line="300" w:lineRule="auto"/>
      </w:pPr>
      <w:r>
        <w:rPr>
          <w:rFonts w:ascii="Times New Roman" w:hAnsi="Times New Roman" w:eastAsia="黑体"/>
          <w:b/>
          <w:sz w:val="24"/>
        </w:rPr>
        <w:t>语音SOS急救直通</w:t>
      </w:r>
    </w:p>
    <w:p w14:paraId="018F863A">
      <w:pPr>
        <w:spacing w:line="300" w:lineRule="auto"/>
        <w:ind w:firstLine="480" w:firstLineChars="200"/>
      </w:pPr>
      <w:r>
        <w:rPr>
          <w:rFonts w:ascii="Times New Roman" w:hAnsi="Times New Roman" w:eastAsia="宋体"/>
          <w:sz w:val="24"/>
        </w:rPr>
        <w:t>语音链路内置SOS急救词直通机制：患者在任意模式下（无需唤醒词）说出“救命”“呼吸困难”“胸口疼”等急救关键词，边缘端本地即时匹配命中——不经过大模型、零网络往返延迟——立即以critical级别直通云端告警接口，经Socket.IO实时弹窗推送至所有在线护士站页面，同时本地语音即时安抚患者。30秒冷却机制防止重复告警；本地TTS降级链（预置音频→espeak-ng→文字提示）保证断网时仍有反馈。该设计将急救响应从“对话式交互”缩短为“关键词直通”，为突发状况争取黄金时间。</w:t>
      </w:r>
    </w:p>
    <w:p w14:paraId="407A8EE8">
      <w:pPr>
        <w:pStyle w:val="2"/>
        <w:autoSpaceDE w:val="0"/>
        <w:autoSpaceDN w:val="0"/>
        <w:rPr>
          <w:rFonts w:hint="eastAsia"/>
        </w:rPr>
      </w:pPr>
      <w:bookmarkStart w:id="7" w:name="_Toc224321315"/>
      <w:r>
        <w:t>3 功能设计</w:t>
      </w:r>
      <w:bookmarkEnd w:id="7"/>
    </w:p>
    <w:p w14:paraId="38C925A9">
      <w:pPr>
        <w:pStyle w:val="3"/>
        <w:autoSpaceDE w:val="0"/>
        <w:autoSpaceDN w:val="0"/>
        <w:rPr>
          <w:rFonts w:hint="eastAsia"/>
        </w:rPr>
      </w:pPr>
      <w:bookmarkStart w:id="8" w:name="_Toc224321316"/>
      <w:r>
        <w:t>3.1 整体结构</w:t>
      </w:r>
      <w:bookmarkEnd w:id="8"/>
    </w:p>
    <w:p w14:paraId="17B693E5">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本系统利用多传感器融合采集、边缘AI推理和云端大模型智能分析等技术，实现了从数据采集到本地分析再到云端深度诊断的全流程智能护理。端层使用ESP32-S3搭载6类传感器完成体征数据采集，通过WiFi连接和MQTT协议将数据传输至边层树莓派。边层部署Mosquitto MQTT Broker接收并解析数据，由PostureCNN模型完成实时睡姿分类，同时通过HTTP Bridge将数据转发至云端。云端Express API服务接收数据后写入SQLite数据库持久化存储，进行阈值告警检测，并在需要时调用Kimi K3大模型执行深度分析。前端Web Dashboard通过RESTful API获取数据并实时可视化展示。</w:t>
      </w:r>
    </w:p>
    <w:p w14:paraId="52548751">
      <w:pPr>
        <w:jc w:val="center"/>
        <w:rPr>
          <w:rFonts w:hint="eastAsia"/>
        </w:rPr>
      </w:pPr>
      <w:commentRangeStart w:id="19"/>
      <w:r>
        <w:drawing>
          <wp:inline xmlns:a="http://schemas.openxmlformats.org/drawingml/2006/main" xmlns:pic="http://schemas.openxmlformats.org/drawingml/2006/picture">
            <wp:extent cx="5220000" cy="2217906"/>
            <wp:docPr id="12" name="Picture 12"/>
            <wp:cNvGraphicFramePr>
              <a:graphicFrameLocks noChangeAspect="1"/>
            </wp:cNvGraphicFramePr>
            <a:graphic>
              <a:graphicData uri="http://schemas.openxmlformats.org/drawingml/2006/picture">
                <pic:pic>
                  <pic:nvPicPr>
                    <pic:cNvPr id="0" name="fig3_1_modules.png"/>
                    <pic:cNvPicPr/>
                  </pic:nvPicPr>
                  <pic:blipFill>
                    <a:blip r:embed="rId23"/>
                    <a:stretch>
                      <a:fillRect/>
                    </a:stretch>
                  </pic:blipFill>
                  <pic:spPr>
                    <a:xfrm>
                      <a:off x="0" y="0"/>
                      <a:ext cx="5220000" cy="2217906"/>
                    </a:xfrm>
                    <a:prstGeom prst="rect"/>
                  </pic:spPr>
                </pic:pic>
              </a:graphicData>
            </a:graphic>
          </wp:inline>
        </w:drawing>
      </w:r>
    </w:p>
    <w:p w14:paraId="0FD80113">
      <w:pPr>
        <w:jc w:val="center"/>
        <w:rPr>
          <w:rFonts w:hint="eastAsia"/>
        </w:rPr>
      </w:pPr>
      <w:r>
        <w:rPr>
          <w:rFonts w:ascii="楷体" w:hAnsi="楷体" w:eastAsia="楷体" w:cs="Times New Roman"/>
          <w:b/>
          <w:sz w:val="22"/>
        </w:rPr>
        <w:t>图3.1 系统功能模块总体架构图</w:t>
      </w:r>
      <w:commentRangeEnd w:id="19"/>
      <w:r>
        <w:commentReference w:id="19"/>
      </w:r>
    </w:p>
    <w:p w14:paraId="6CADF6CA">
      <w:pPr>
        <w:pStyle w:val="4"/>
        <w:autoSpaceDE w:val="0"/>
        <w:autoSpaceDN w:val="0"/>
        <w:rPr>
          <w:rFonts w:hint="eastAsia" w:ascii="黑体" w:hAnsi="黑体" w:eastAsia="黑体"/>
          <w:sz w:val="30"/>
          <w:szCs w:val="30"/>
        </w:rPr>
      </w:pPr>
      <w:bookmarkStart w:id="9" w:name="_Toc224321317"/>
      <w:r>
        <w:t>3.1.1 体征数据实时监测与告警</w:t>
      </w:r>
      <w:bookmarkEnd w:id="9"/>
    </w:p>
    <w:p w14:paraId="68E188C2">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系统每10秒从ESP32-S3采集一组完整的体征数据，包括心率、血氧饱和度、体表温度、血压（收缩压/舒张压）、六轴姿态数据、8×8压力矩阵原始数据，以及由压力时序频域分析提取的呼吸率；血糖数据支持人工录入与外接血糖仪预留接口，与传感数据共用同一告警链路。数据经MQTT传输至树莓派后，首先在本地进行基于疾病类型的个性化阈值检测：系统根据患者关联的AI Agent配置获取对应的阈值范围，当任一指标超出安全范围时立即生成告警记录并写入云端数据库。告警状态支持三阶段流转：active（新建）→acknowledged（已确认）→resolved（已处理），便于护理团队跟踪处理进度。</w:t>
      </w:r>
    </w:p>
    <w:p w14:paraId="2F48718A">
      <w:pPr>
        <w:jc w:val="center"/>
        <w:rPr>
          <w:rFonts w:hint="eastAsia"/>
        </w:rPr>
      </w:pPr>
      <w:commentRangeStart w:id="20"/>
      <w:r>
        <w:rPr>
          <w:rFonts w:ascii="Times New Roman" w:hAnsi="Times New Roman" w:eastAsia="宋体" w:cs="Times New Roman"/>
          <w:i/>
          <w:color w:val="808080"/>
          <w:sz w:val="24"/>
        </w:rPr>
        <w:t>(此处插入告警流程图)</w:t>
      </w:r>
    </w:p>
    <w:p w14:paraId="093886AA">
      <w:pPr>
        <w:jc w:val="center"/>
        <w:rPr>
          <w:rFonts w:hint="eastAsia"/>
        </w:rPr>
      </w:pPr>
      <w:r>
        <w:rPr>
          <w:rFonts w:ascii="楷体" w:hAnsi="楷体" w:eastAsia="楷体" w:cs="Times New Roman"/>
          <w:b/>
          <w:sz w:val="22"/>
        </w:rPr>
        <w:t>图3.2 体征数据实时采集与个性化阈值告警流程</w:t>
      </w:r>
      <w:commentRangeEnd w:id="20"/>
      <w:r>
        <w:commentReference w:id="20"/>
      </w:r>
    </w:p>
    <w:p w14:paraId="5892DED4">
      <w:pPr>
        <w:pStyle w:val="4"/>
        <w:autoSpaceDE w:val="0"/>
        <w:autoSpaceDN w:val="0"/>
        <w:rPr>
          <w:rFonts w:hint="eastAsia" w:ascii="黑体" w:hAnsi="黑体" w:eastAsia="黑体"/>
          <w:sz w:val="30"/>
          <w:szCs w:val="30"/>
        </w:rPr>
      </w:pPr>
      <w:bookmarkStart w:id="10" w:name="_Toc224321318"/>
      <w:r>
        <w:t>3.1.2 边缘AI睡姿分类与受压风险监测</w:t>
      </w:r>
      <w:bookmarkEnd w:id="10"/>
    </w:p>
    <w:p w14:paraId="157B584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树莓派端部署的PostureCNN模型采用两层卷积加全连接的轻量架构，接收8×8压力矩阵作为单通道输入，输出6种睡姿的分类概率。模型在离线训练阶段使用大量标注数据，在线推理阶段仅需不到1毫秒即可完成一次分类。在此基础上，受压监测模块持续跟踪矩阵中各区域的高压持续时长，当某一区域连续承受高压超过30分钟、60分钟或120分钟时分别触发黄色、橙色和红色三级预警。翻身检测模块通过对比前后帧压力矩阵的差异幅度来判断患者是否发生了体位变化，自动记录翻身时间和频率。</w:t>
      </w:r>
    </w:p>
    <w:p w14:paraId="37F5D5BC">
      <w:pPr>
        <w:jc w:val="center"/>
        <w:rPr>
          <w:rFonts w:hint="eastAsia"/>
        </w:rPr>
      </w:pPr>
      <w:commentRangeStart w:id="21"/>
      <w:r>
        <w:drawing>
          <wp:inline xmlns:a="http://schemas.openxmlformats.org/drawingml/2006/main" xmlns:pic="http://schemas.openxmlformats.org/drawingml/2006/picture">
            <wp:extent cx="5220000" cy="1839448"/>
            <wp:docPr id="13" name="Picture 13"/>
            <wp:cNvGraphicFramePr>
              <a:graphicFrameLocks noChangeAspect="1"/>
            </wp:cNvGraphicFramePr>
            <a:graphic>
              <a:graphicData uri="http://schemas.openxmlformats.org/drawingml/2006/picture">
                <pic:pic>
                  <pic:nvPicPr>
                    <pic:cNvPr id="0" name="fig3_3_alert_flow.png"/>
                    <pic:cNvPicPr/>
                  </pic:nvPicPr>
                  <pic:blipFill>
                    <a:blip r:embed="rId24"/>
                    <a:stretch>
                      <a:fillRect/>
                    </a:stretch>
                  </pic:blipFill>
                  <pic:spPr>
                    <a:xfrm>
                      <a:off x="0" y="0"/>
                      <a:ext cx="5220000" cy="1839448"/>
                    </a:xfrm>
                    <a:prstGeom prst="rect"/>
                  </pic:spPr>
                </pic:pic>
              </a:graphicData>
            </a:graphic>
          </wp:inline>
        </w:drawing>
      </w:r>
    </w:p>
    <w:p w14:paraId="6D156D81">
      <w:pPr>
        <w:jc w:val="center"/>
        <w:rPr>
          <w:rFonts w:hint="eastAsia"/>
        </w:rPr>
      </w:pPr>
      <w:r>
        <w:rPr>
          <w:rFonts w:ascii="楷体" w:hAnsi="楷体" w:eastAsia="楷体" w:cs="Times New Roman"/>
          <w:b/>
          <w:sz w:val="22"/>
        </w:rPr>
        <w:t>图3.3 PostureCNN推理与受压风险三级预警机制示意图</w:t>
      </w:r>
      <w:commentRangeEnd w:id="21"/>
      <w:r>
        <w:commentReference w:id="21"/>
      </w:r>
    </w:p>
    <w:p w14:paraId="6A16D064">
      <w:pPr>
        <w:pStyle w:val="4"/>
        <w:autoSpaceDE w:val="0"/>
        <w:autoSpaceDN w:val="0"/>
        <w:rPr>
          <w:rFonts w:hint="eastAsia" w:ascii="黑体" w:hAnsi="黑体" w:eastAsia="黑体"/>
          <w:sz w:val="30"/>
          <w:szCs w:val="30"/>
        </w:rPr>
      </w:pPr>
      <w:bookmarkStart w:id="11" w:name="_Toc224321319"/>
      <w:r>
        <w:t>3.1.3 AI智能健康报告生成</w:t>
      </w:r>
      <w:bookmarkEnd w:id="11"/>
    </w:p>
    <w:p w14:paraId="0845872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rPr>
        <w:t>当</w:t>
      </w:r>
      <w:r>
        <w:rPr>
          <w:rFonts w:ascii="Times New Roman" w:hAnsi="Times New Roman" w:eastAsia="宋体" w:cs="Times New Roman"/>
          <w:sz w:val="24"/>
          <w:szCs w:val="24"/>
        </w:rPr>
        <w:t>医生或管理员请求生成健康报告时，系统自动收集目标患者近24小时的体征数据和告警记录，将其结构化后作为上下文发送至Kimi K3大语言模型。AI模型综合分析体征趋势、异常事件和疾病背景，生成包含健康评估摘要、AI辅助诊断、康复建议三部分的完整报告。报告自动写入数据库并在前端展示，医生可按日期查看历史报告进行纵向对比。</w:t>
      </w:r>
    </w:p>
    <w:p w14:paraId="6E5E1863">
      <w:pPr>
        <w:jc w:val="center"/>
        <w:rPr>
          <w:rFonts w:hint="eastAsia"/>
        </w:rPr>
      </w:pPr>
      <w:commentRangeStart w:id="22"/>
      <w:r>
        <w:rPr>
          <w:rFonts w:ascii="Times New Roman" w:hAnsi="Times New Roman" w:eastAsia="宋体" w:cs="Times New Roman"/>
          <w:i/>
          <w:color w:val="808080"/>
          <w:sz w:val="24"/>
        </w:rPr>
        <w:t>(此处插入报告生成流程图)</w:t>
      </w:r>
    </w:p>
    <w:p w14:paraId="2ADA8387">
      <w:pPr>
        <w:jc w:val="center"/>
        <w:rPr>
          <w:rFonts w:hint="eastAsia"/>
        </w:rPr>
      </w:pPr>
      <w:r>
        <w:rPr>
          <w:rFonts w:ascii="楷体" w:hAnsi="楷体" w:eastAsia="楷体" w:cs="Times New Roman"/>
          <w:b/>
          <w:sz w:val="22"/>
        </w:rPr>
        <w:t>图3.4 AI智能健康报告生成流程图</w:t>
      </w:r>
      <w:commentRangeEnd w:id="22"/>
      <w:r>
        <w:commentReference w:id="22"/>
      </w:r>
    </w:p>
    <w:p w14:paraId="1BF4ABBC">
      <w:pPr>
        <w:pStyle w:val="4"/>
        <w:autoSpaceDE w:val="0"/>
        <w:autoSpaceDN w:val="0"/>
        <w:rPr>
          <w:rFonts w:hint="eastAsia" w:ascii="黑体" w:hAnsi="黑体" w:eastAsia="黑体"/>
          <w:sz w:val="30"/>
          <w:szCs w:val="30"/>
        </w:rPr>
      </w:pPr>
      <w:bookmarkStart w:id="12" w:name="_Toc224321320"/>
      <w:r>
        <w:t>3.1.4 语音AI陪护与家属关注分析</w:t>
      </w:r>
      <w:bookmarkEnd w:id="12"/>
    </w:p>
    <w:p w14:paraId="146D0F09">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语音AI陪护功能支持两种交互模式。设备端模式下，患者对USB麦克风说话，音频文件上传至云端，经TeleSpeechASR转录后由Kimi K3生成回复，再经CosyVoice2合成语音返回设备端播放。Web端模式下，家属或患者可直接在聊天界面输入文字与AI对话。所有对话记录持久化存储于数据库。家属关注分析功能则利用Kimi K3对患者近3天的对话内容进行深度分析，自动提取最关心的问题、当前情绪状态、身体不适诉求和心理需求，生成结构化的关注点报告供家属查阅。</w:t>
      </w:r>
    </w:p>
    <w:p w14:paraId="36E6878A">
      <w:pPr>
        <w:jc w:val="center"/>
        <w:rPr>
          <w:rFonts w:hint="eastAsia"/>
        </w:rPr>
      </w:pPr>
      <w:commentRangeStart w:id="23"/>
      <w:r>
        <w:rPr>
          <w:rFonts w:ascii="Times New Roman" w:hAnsi="Times New Roman" w:eastAsia="宋体" w:cs="Times New Roman"/>
          <w:i/>
          <w:color w:val="808080"/>
          <w:sz w:val="24"/>
        </w:rPr>
        <w:t>(此处插入语音分析数据流图)</w:t>
      </w:r>
    </w:p>
    <w:p w14:paraId="44EA869C">
      <w:pPr>
        <w:jc w:val="center"/>
        <w:rPr>
          <w:rFonts w:hint="eastAsia"/>
        </w:rPr>
      </w:pPr>
      <w:r>
        <w:rPr>
          <w:rFonts w:ascii="楷体" w:hAnsi="楷体" w:eastAsia="楷体" w:cs="Times New Roman"/>
          <w:b/>
          <w:sz w:val="22"/>
        </w:rPr>
        <w:t>图3.5 语音AI陪护与家属关注分析数据流</w:t>
      </w:r>
      <w:commentRangeEnd w:id="23"/>
      <w:r>
        <w:commentReference w:id="23"/>
      </w:r>
    </w:p>
    <w:p w14:paraId="2B62D54D">
      <w:pPr>
        <w:pStyle w:val="4"/>
        <w:autoSpaceDE w:val="0"/>
        <w:autoSpaceDN w:val="0"/>
        <w:rPr>
          <w:rFonts w:hint="eastAsia" w:ascii="Times New Roman" w:hAnsi="Times New Roman" w:eastAsia="黑体" w:cs="Times New Roman"/>
          <w:sz w:val="30"/>
          <w:szCs w:val="30"/>
        </w:rPr>
      </w:pPr>
      <w:bookmarkStart w:id="13" w:name="_Toc224321321"/>
      <w:r>
        <w:t>3.1.5 自然语言控制</w:t>
      </w:r>
      <w:bookmarkEnd w:id="13"/>
    </w:p>
    <w:p w14:paraId="099DB1B5">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本模块实现了基于自然语言的病床硬件语音控制功能，与语音AI陪聊模块形成互补。两者通过专属唤醒词（“病床控制”/“小护小护”）和退出词（“退出控制”/“结束聊天”）实现模式隔离，避免在陪聊过程中误触发硬件操作。</w:t>
      </w:r>
    </w:p>
    <w:p w14:paraId="01B73237">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NLC功能流程：（1）患者说出唤醒词“病床控制”进入NLC模式；（2）后续语音经ASR识别后发送至云端/api/voice/device/command接口；（3）Kimi K3通过专用NLC System Prompt解析用户意图，输出标准化JSON；（4）设备端收到action后，通过本地HTTP调用Flask Web遥控的/api/cmd端点执行硬件操作；（5）同时播放TTS语音确认。</w:t>
      </w:r>
    </w:p>
    <w:p w14:paraId="6C0E2A11">
      <w:pPr>
        <w:autoSpaceDE w:val="0"/>
        <w:autoSpaceDN w:val="0"/>
        <w:spacing w:line="300" w:lineRule="auto"/>
        <w:ind w:firstLine="480" w:firstLineChars="200"/>
        <w:jc w:val="both"/>
        <w:rPr>
          <w:rFonts w:hint="eastAsia" w:ascii="Times New Roman" w:hAnsi="Times New Roman" w:eastAsia="宋体" w:cs="Times New Roman"/>
          <w:sz w:val="24"/>
          <w:szCs w:val="24"/>
        </w:rPr>
      </w:pPr>
      <w:r>
        <w:rPr>
          <w:rFonts w:ascii="Times New Roman" w:hAnsi="Times New Roman" w:eastAsia="宋体"/>
          <w:sz w:val="24"/>
        </w:rPr>
        <w:t>系统支持11种NLC控制动作，涵盖三大类场景：靠背控制（升/降/停）、底盘运动控制（前进/后退/左转/右转/停止）、智能导航控制（循迹/星闪寻房/停止导航）。特别地，导航类指令支持参数提取，如“去302房”可自动提取房间号“302”并传递给星闪定位寻房导航模块。</w:t>
      </w:r>
    </w:p>
    <w:p w14:paraId="7670AFF5">
      <w:pPr>
        <w:jc w:val="center"/>
        <w:rPr>
          <w:rFonts w:hint="eastAsia"/>
        </w:rPr>
      </w:pPr>
      <w:commentRangeStart w:id="24"/>
      <w:r>
        <w:rPr>
          <w:rFonts w:ascii="Times New Roman" w:hAnsi="Times New Roman" w:eastAsia="宋体"/>
          <w:sz w:val="24"/>
        </w:rPr>
        <w:t>(此处插入NLC功能模块图)</w:t>
      </w:r>
    </w:p>
    <w:p w14:paraId="5C1B3C6B">
      <w:pPr>
        <w:jc w:val="center"/>
        <w:rPr>
          <w:rFonts w:hint="eastAsia"/>
          <w:b/>
          <w:bCs/>
          <w:sz w:val="21"/>
          <w:szCs w:val="21"/>
        </w:rPr>
      </w:pPr>
      <w:r>
        <w:rPr>
          <w:rFonts w:ascii="楷体" w:hAnsi="楷体" w:eastAsia="楷体"/>
          <w:b/>
          <w:bCs/>
          <w:sz w:val="22"/>
          <w:szCs w:val="21"/>
        </w:rPr>
        <w:t>图3.6 自然语言控制功能模块交互流程图</w:t>
      </w:r>
      <w:commentRangeEnd w:id="24"/>
      <w:r>
        <w:commentReference w:id="24"/>
      </w:r>
    </w:p>
    <w:p w14:paraId="6F68F228">
      <w:pPr>
        <w:pStyle w:val="4"/>
      </w:pPr>
      <w:r>
        <w:t>3.1.6 智能提醒：定时语音播报</w:t>
      </w:r>
    </w:p>
    <w:p w14:paraId="0BFF84A0">
      <w:pPr>
        <w:spacing w:line="300" w:lineRule="auto"/>
        <w:ind w:firstLine="480" w:firstLineChars="200"/>
      </w:pPr>
      <w:r>
        <w:rPr>
          <w:rFonts w:ascii="Times New Roman" w:hAnsi="Times New Roman" w:eastAsia="宋体"/>
          <w:sz w:val="24"/>
        </w:rPr>
        <w:t>系统为每位住院患者提供个性化的定时提醒功能，支持吃药提醒与喝水提醒两种类型。医生或管理员可在前端「智能提醒」页面为患者创建提醒计划，设置执行时间、药物名称、用药剂量及备注说明。每条提醒计划均在数据库中生成当日执行日志（reminder_logs），并由服务器定时调度器按分钟粒度进行监控。</w:t>
      </w:r>
    </w:p>
    <w:p w14:paraId="249FA8B4">
      <w:pPr>
        <w:spacing w:line="300" w:lineRule="auto"/>
        <w:ind w:firstLine="482" w:firstLineChars="200"/>
      </w:pPr>
      <w:r>
        <w:rPr>
          <w:rFonts w:ascii="Times New Roman" w:hAnsi="Times New Roman" w:eastAsia="宋体"/>
          <w:b/>
          <w:sz w:val="24"/>
        </w:rPr>
        <w:t>语音播报机制</w:t>
      </w:r>
    </w:p>
    <w:p w14:paraId="10E23C11">
      <w:pPr>
        <w:spacing w:line="300" w:lineRule="auto"/>
        <w:ind w:firstLine="480" w:firstLineChars="200"/>
      </w:pPr>
      <w:r>
        <w:rPr>
          <w:rFonts w:ascii="Times New Roman" w:hAnsi="Times New Roman" w:eastAsia="宋体"/>
          <w:sz w:val="24"/>
        </w:rPr>
        <w:t>服务器每分钟执行一次定时扫描：查询所有处于 pending 状态、预定时间在当前时刻 ±30 秒以内的全部日志条目。对每条到期日志执行以下步骤：</w:t>
      </w:r>
    </w:p>
    <w:p w14:paraId="09D1C65D">
      <w:pPr>
        <w:spacing w:line="300" w:lineRule="auto"/>
        <w:ind w:firstLine="480" w:firstLineChars="200"/>
      </w:pPr>
      <w:r>
        <w:rPr>
          <w:rFonts w:ascii="Times New Roman" w:hAnsi="Times New Roman" w:eastAsia="宋体"/>
          <w:sz w:val="24"/>
        </w:rPr>
        <w:t>① 立即将日志状态更新为 notified，防止下一分钟重复播报；② 调用 SiliconFlow CosyVoice2 TTS 接口，将提醒文本（格式：「患者姓名，现在是HH:mm，该吃药/喝水了。标题，剂量。备注」）合成为 MP3 音频，编码为 Base64；③ 通过 Server-Sent Events（SSE）长连接，将音频数据与文本实时推送至所有已订阅的护士站浏览器。</w:t>
      </w:r>
    </w:p>
    <w:p w14:paraId="20580E91">
      <w:pPr>
        <w:spacing w:line="300" w:lineRule="auto"/>
        <w:ind w:firstLine="482" w:firstLineChars="200"/>
      </w:pPr>
      <w:r>
        <w:rPr>
          <w:rFonts w:ascii="Times New Roman" w:hAnsi="Times New Roman" w:eastAsia="宋体"/>
          <w:b/>
          <w:sz w:val="24"/>
        </w:rPr>
        <w:t>前端实时接收与播放</w:t>
      </w:r>
    </w:p>
    <w:p w14:paraId="66B94305">
      <w:pPr>
        <w:spacing w:line="300" w:lineRule="auto"/>
        <w:ind w:firstLine="480" w:firstLineChars="200"/>
      </w:pPr>
      <w:r>
        <w:rPr>
          <w:rFonts w:ascii="Times New Roman" w:hAnsi="Times New Roman" w:eastAsia="宋体"/>
          <w:sz w:val="24"/>
        </w:rPr>
        <w:t>护士站浏览器打开「智能提醒」页面后，点击「开启语音播报」按钮即可订阅 /api/reminders/sse 端点（基于 EventSource API）。当服务器推送 reminder 事件时：若携带 audio_base64 则直接通过 &lt;audio&gt; 标签播放 MP3；若 TTS API 不可用，系统自动降级至浏览器内置 Web Speech API（speechSynthesis）进行本地朗读，保障零依赖情况下的可用性。页面同步刷新今日执行日志，更新提醒状态徽章为「已播报」。</w:t>
      </w:r>
    </w:p>
    <w:p w14:paraId="57CC136F">
      <w:pPr>
        <w:spacing w:line="300" w:lineRule="auto"/>
        <w:ind w:firstLine="482" w:firstLineChars="200"/>
      </w:pPr>
      <w:r>
        <w:rPr>
          <w:rFonts w:ascii="Times New Roman" w:hAnsi="Times New Roman" w:eastAsia="宋体"/>
          <w:b/>
          <w:sz w:val="24"/>
        </w:rPr>
        <w:t>提醒状态机</w:t>
      </w:r>
    </w:p>
    <w:p w14:paraId="135D76D2">
      <w:pPr>
        <w:spacing w:line="300" w:lineRule="auto"/>
        <w:ind w:firstLine="480" w:firstLineChars="200"/>
      </w:pPr>
      <w:r>
        <w:rPr>
          <w:rFonts w:ascii="Times New Roman" w:hAnsi="Times New Roman" w:eastAsia="宋体"/>
          <w:sz w:val="24"/>
        </w:rPr>
        <w:t>每条 reminder_log 记录经历以下状态转换：pending（创建）→ notified（服务器定时播报）→ completed（护士手动确认完成）；pending → missed（超过 10 分钟未处理，由定时器自动标记）；notified → skipped（护士手动跳过）。前端统计面板实时展示今日各状态计数：总数、待执行、已播报、已完成、已错过。</w:t>
      </w:r>
    </w:p>
    <w:p w14:paraId="743AE177">
      <w:pPr>
        <w:pStyle w:val="4"/>
        <w:autoSpaceDE w:val="0"/>
        <w:autoSpaceDN w:val="0"/>
        <w:rPr>
          <w:rFonts w:hint="eastAsia" w:ascii="黑体" w:hAnsi="黑体" w:eastAsia="黑体"/>
          <w:sz w:val="30"/>
          <w:szCs w:val="30"/>
        </w:rPr>
      </w:pPr>
      <w:bookmarkStart w:id="14" w:name="_Toc224321322"/>
      <w:r>
        <w:t>3.1.7 病床自主导航系统</w:t>
      </w:r>
      <w:bookmarkEnd w:id="14"/>
    </w:p>
    <w:p w14:paraId="11E8876C">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导航系统实现了三种运行模式：自主导航模式下，病床沿地面黑线循迹行驶，结合NearLink星闪锚点三边测距实时解算自身位置，到达目标病房坐标后精准停靠；遥控模式下，护理人员通过手机访问Flask Web遥控界面（5000端口），使用方向键远程操控病床移动和病床靠背升降；混合模式下，病床在自主导航过程中遇到障碍物时自动停车等待，护理人员可随时通过遥控接管。3路超声波传感器实时扫描前方和两侧环境，在30cm距离处触发减速，15cm距离处触发紧急停车，确保导航安全性。</w:t>
      </w:r>
    </w:p>
    <w:p w14:paraId="209FF102">
      <w:pPr>
        <w:jc w:val="center"/>
        <w:rPr>
          <w:rFonts w:hint="eastAsia"/>
        </w:rPr>
      </w:pPr>
      <w:commentRangeStart w:id="25"/>
      <w:r>
        <w:rPr>
          <w:rFonts w:ascii="Times New Roman" w:hAnsi="Times New Roman" w:eastAsia="宋体" w:cs="Times New Roman"/>
          <w:i/>
          <w:color w:val="808080"/>
          <w:sz w:val="24"/>
        </w:rPr>
        <w:t>(此处插入导航状态机图)</w:t>
      </w:r>
    </w:p>
    <w:p w14:paraId="32EDAB1A">
      <w:pPr>
        <w:jc w:val="center"/>
        <w:rPr>
          <w:rFonts w:hint="eastAsia"/>
        </w:rPr>
      </w:pPr>
      <w:r>
        <w:rPr>
          <w:rFonts w:ascii="楷体" w:hAnsi="楷体" w:eastAsia="楷体" w:cs="Times New Roman"/>
          <w:b/>
          <w:sz w:val="22"/>
        </w:rPr>
        <w:t>图3.</w:t>
      </w:r>
      <w:r>
        <w:rPr>
          <w:rFonts w:hint="eastAsia" w:ascii="楷体" w:hAnsi="楷体" w:eastAsia="楷体" w:cs="Times New Roman"/>
          <w:b/>
          <w:sz w:val="22"/>
        </w:rPr>
        <w:t>7</w:t>
      </w:r>
      <w:r>
        <w:rPr>
          <w:rFonts w:ascii="楷体" w:hAnsi="楷体" w:eastAsia="楷体" w:cs="Times New Roman"/>
          <w:b/>
          <w:sz w:val="22"/>
        </w:rPr>
        <w:t xml:space="preserve"> 病床自主导航系统三种运行模式状态机</w:t>
      </w:r>
      <w:commentRangeEnd w:id="25"/>
      <w:r>
        <w:commentReference w:id="25"/>
      </w:r>
    </w:p>
    <w:p w14:paraId="20D1EEC7">
      <w:pPr>
        <w:pStyle w:val="4"/>
      </w:pPr>
      <w:r>
        <w:t>3.1.8 气囊分区自动减压系统</w:t>
      </w:r>
    </w:p>
    <w:p w14:paraId="50DAADCF">
      <w:pPr>
        <w:spacing w:line="300" w:lineRule="auto"/>
        <w:ind w:firstLine="480" w:firstLineChars="200"/>
      </w:pPr>
      <w:r>
        <w:rPr>
          <w:rFonts w:ascii="Times New Roman" w:hAnsi="Times New Roman" w:eastAsia="宋体"/>
          <w:sz w:val="24"/>
        </w:rPr>
        <w:t>针对长期卧床患者的压疮风险，系统设计了气囊分区自动减压模块，与Velostat压力矩阵构成“感知—决策—执行”闭环。压力矩阵持续监测卧床压力分布，当边缘决策模块检测到某一区域持续受压超过阈值时，通过MQTT下发减压指令，由树莓派GPIO控制继电器驱动5V气泵对床垫气囊充气，并经左、右两路电磁阀实现分区独立放气，周期性改变身体支撑点分布，在无人工干预下实现自动减压防压疮。系统内置多重安全限制：单次充气不超过10秒、减压循环最小间隔5分钟、异常状态自动排气断泵，保障医疗场景下的使用安全。</w:t>
      </w:r>
    </w:p>
    <w:p w14:paraId="62C9C1F6">
      <w:pPr>
        <w:pStyle w:val="2"/>
        <w:autoSpaceDE w:val="0"/>
        <w:autoSpaceDN w:val="0"/>
        <w:rPr>
          <w:rFonts w:hint="eastAsia" w:ascii="黑体" w:hAnsi="黑体" w:eastAsia="黑体"/>
        </w:rPr>
      </w:pPr>
      <w:bookmarkStart w:id="15" w:name="_Toc224321323"/>
      <w:r>
        <w:t>4 系统实现</w:t>
      </w:r>
      <w:bookmarkEnd w:id="15"/>
    </w:p>
    <w:p w14:paraId="7122D913">
      <w:pPr>
        <w:pStyle w:val="3"/>
        <w:autoSpaceDE w:val="0"/>
        <w:autoSpaceDN w:val="0"/>
        <w:rPr>
          <w:rFonts w:hint="eastAsia" w:ascii="黑体" w:hAnsi="黑体" w:eastAsia="黑体"/>
        </w:rPr>
      </w:pPr>
      <w:bookmarkStart w:id="16" w:name="_Toc224321324"/>
      <w:r>
        <w:t>4.1 总体情况</w:t>
      </w:r>
      <w:bookmarkEnd w:id="16"/>
    </w:p>
    <w:p w14:paraId="60EE9E85">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开发一套基于物联网与AI大模型的慢性病患者智能护理系统，构建集多传感器融合采集、边缘AI推理、云端大模型分析、自主导航和语音陪护于一体的智能护理病床云平台。</w:t>
      </w:r>
    </w:p>
    <w:p w14:paraId="3D442E75">
      <w:pPr>
        <w:pStyle w:val="4"/>
        <w:autoSpaceDE w:val="0"/>
        <w:autoSpaceDN w:val="0"/>
        <w:rPr>
          <w:rFonts w:hint="eastAsia" w:ascii="黑体" w:hAnsi="黑体" w:eastAsia="黑体"/>
          <w:sz w:val="28"/>
          <w:szCs w:val="28"/>
        </w:rPr>
      </w:pPr>
      <w:bookmarkStart w:id="17" w:name="_Toc224321325"/>
      <w:r>
        <w:t>4.1.1 感知层技术</w:t>
      </w:r>
      <w:bookmarkEnd w:id="17"/>
    </w:p>
    <w:p w14:paraId="7BB705AF">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ESP32-S3-N16R8微控制器[28]（16MB Flash, 8MB PSRAM）作为采集核心，通过I2C总线连接MAX30102心率血氧传感器[20]（地址0x57）、MLX90614红外测温传感器[21]（地址0x5A）和MPU6050六轴姿态传感器[22]（地址0x68），实现三设备共线采集。8×8 Velostat压力矩阵[23]通过两片CD74HC4051模拟多路复用器进行行列扫描，每帧扫描64个压力点。HK-2000B+脉搏传感器采集脉搏波形并估算血压。CSI V2摄像头提供MJPEG视频推流。所有传感器数据以10秒为周期通过WiFi和MQTT协议统一上报。</w:t>
      </w:r>
    </w:p>
    <w:p w14:paraId="3761F9D8">
      <w:pPr>
        <w:pStyle w:val="4"/>
        <w:autoSpaceDE w:val="0"/>
        <w:autoSpaceDN w:val="0"/>
        <w:rPr>
          <w:rFonts w:hint="eastAsia" w:ascii="黑体" w:hAnsi="黑体" w:eastAsia="黑体"/>
          <w:sz w:val="28"/>
          <w:szCs w:val="28"/>
        </w:rPr>
      </w:pPr>
      <w:bookmarkStart w:id="18" w:name="_Toc224321326"/>
      <w:r>
        <w:t>4.1.2 传输层技术</w:t>
      </w:r>
      <w:bookmarkEnd w:id="18"/>
    </w:p>
    <w:p w14:paraId="44BAA34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MQTT协议：ESP32-S3作为MQTT客户端，向树莓派上部署的Mosquitto MQTT Broker发布体征数据，共定义6个Topic分别承载不同类型的传感器数据。MQTT的轻量级发布/订阅模式非常适合物联网场景下的低带宽、低延迟数据传输。</w:t>
      </w:r>
    </w:p>
    <w:p w14:paraId="471652B3">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HTTP协议：树莓派上的MQTT Bridge模块（基于Python paho-mqtt + requests库）订阅本地MQTT消息，解析后通过HTTP POST请求转发至云端Express API，实现边缘到云端的数据桥接。</w:t>
      </w:r>
    </w:p>
    <w:p w14:paraId="3E6F858D">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MJPEG推流：摄像头视频数据通过HTTP MJPEG协议直接推流至局域网，供Web端和移动端实时查看患者状态。</w:t>
      </w:r>
    </w:p>
    <w:p w14:paraId="57635AF9">
      <w:pPr>
        <w:jc w:val="center"/>
        <w:rPr>
          <w:rFonts w:hint="eastAsia"/>
        </w:rPr>
      </w:pPr>
      <w:commentRangeStart w:id="26"/>
      <w:r>
        <w:rPr>
          <w:rFonts w:ascii="Times New Roman" w:hAnsi="Times New Roman" w:eastAsia="宋体" w:cs="Times New Roman"/>
          <w:i/>
          <w:color w:val="808080"/>
          <w:sz w:val="24"/>
        </w:rPr>
        <w:t>(此处插入协议拓扑图)</w:t>
      </w:r>
    </w:p>
    <w:p w14:paraId="19A5D9C0">
      <w:pPr>
        <w:jc w:val="center"/>
        <w:rPr>
          <w:rFonts w:hint="eastAsia"/>
        </w:rPr>
      </w:pPr>
      <w:r>
        <w:rPr>
          <w:rFonts w:ascii="楷体" w:hAnsi="楷体" w:eastAsia="楷体" w:cs="Times New Roman"/>
          <w:b/>
          <w:sz w:val="22"/>
        </w:rPr>
        <w:t>图4.1 系统数据传输协议栈与网络拓扑图</w:t>
      </w:r>
      <w:commentRangeEnd w:id="26"/>
      <w:r>
        <w:commentReference w:id="26"/>
      </w:r>
    </w:p>
    <w:p w14:paraId="0A9F65AF">
      <w:pPr>
        <w:pStyle w:val="4"/>
        <w:autoSpaceDE w:val="0"/>
        <w:autoSpaceDN w:val="0"/>
        <w:rPr>
          <w:rFonts w:hint="eastAsia" w:ascii="黑体" w:hAnsi="黑体" w:eastAsia="黑体"/>
          <w:sz w:val="28"/>
          <w:szCs w:val="28"/>
        </w:rPr>
      </w:pPr>
      <w:bookmarkStart w:id="19" w:name="_Toc224321327"/>
      <w:r>
        <w:t>4.1.3 控制层技术</w:t>
      </w:r>
      <w:bookmarkEnd w:id="19"/>
    </w:p>
    <w:p w14:paraId="200C904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边缘AI推理：树莓派4B[27]（8GB版本）运行PyTorch框架[14]，加载PostureCNN模型进行实时睡姿分类。同时运行基于规则的受压监测引擎和帧间差异翻身检测算法。</w:t>
      </w:r>
    </w:p>
    <w:p w14:paraId="1D074231">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自主导航引擎：导航主程序统一调度循迹模块（3路TCRT5000数字量输入）、NearLink星闪定位模块（Hi3863V100锚点测距经MQTT上报，卡尔曼滤波解算坐标）、超声波避障模块（3路HC-SR04 GPIO触发/回响）和电机驱动模块（L298N PWM控制），实现循迹导航、星闪定位、障碍避让的协同控制。</w:t>
      </w:r>
    </w:p>
    <w:p w14:paraId="3A832233">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电动推杆：12V 150mm行程电动推杆通过L298N驱动实现病床靠背的升降控制，支持Web遥控界面的远程操作。</w:t>
      </w:r>
    </w:p>
    <w:p w14:paraId="53C3D48B">
      <w:pPr>
        <w:jc w:val="center"/>
        <w:rPr>
          <w:rFonts w:hint="eastAsia"/>
        </w:rPr>
      </w:pPr>
      <w:commentRangeStart w:id="27"/>
      <w:r>
        <w:rPr>
          <w:rFonts w:ascii="Times New Roman" w:hAnsi="Times New Roman" w:eastAsia="宋体" w:cs="Times New Roman"/>
          <w:i/>
          <w:color w:val="808080"/>
          <w:sz w:val="24"/>
        </w:rPr>
        <w:t>(此处插入硬件模块交互图)</w:t>
      </w:r>
    </w:p>
    <w:p w14:paraId="1ABDC66B">
      <w:pPr>
        <w:jc w:val="center"/>
        <w:rPr>
          <w:rFonts w:hint="eastAsia"/>
        </w:rPr>
      </w:pPr>
      <w:r>
        <w:rPr>
          <w:rFonts w:ascii="楷体" w:hAnsi="楷体" w:eastAsia="楷体" w:cs="Times New Roman"/>
          <w:b/>
          <w:sz w:val="22"/>
        </w:rPr>
        <w:t>图4.2 导航与控制系统硬件模块交互关系图</w:t>
      </w:r>
      <w:commentRangeEnd w:id="27"/>
      <w:r>
        <w:commentReference w:id="27"/>
      </w:r>
    </w:p>
    <w:p w14:paraId="7D71BC40">
      <w:pPr>
        <w:pStyle w:val="4"/>
        <w:autoSpaceDE w:val="0"/>
        <w:autoSpaceDN w:val="0"/>
        <w:rPr>
          <w:rFonts w:hint="eastAsia" w:ascii="黑体" w:hAnsi="黑体" w:eastAsia="黑体"/>
          <w:sz w:val="28"/>
          <w:szCs w:val="28"/>
        </w:rPr>
      </w:pPr>
      <w:bookmarkStart w:id="20" w:name="_Toc224321328"/>
      <w:r>
        <w:t>4.1.4 软件开发</w:t>
      </w:r>
      <w:bookmarkEnd w:id="20"/>
    </w:p>
    <w:p w14:paraId="0F4FEB19">
      <w:pPr>
        <w:autoSpaceDE w:val="0"/>
        <w:autoSpaceDN w:val="0"/>
        <w:rPr>
          <w:rFonts w:hint="eastAsia"/>
        </w:rPr>
      </w:pPr>
    </w:p>
    <w:p w14:paraId="07FADDB3">
      <w:pPr>
        <w:autoSpaceDE w:val="0"/>
        <w:autoSpaceDN w:val="0"/>
        <w:spacing w:line="300" w:lineRule="auto"/>
        <w:ind w:firstLine="562" w:firstLineChars="200"/>
        <w:jc w:val="both"/>
        <w:rPr>
          <w:rFonts w:hint="eastAsia" w:ascii="黑体" w:hAnsi="黑体" w:eastAsia="黑体"/>
          <w:sz w:val="28"/>
          <w:szCs w:val="28"/>
        </w:rPr>
      </w:pPr>
      <w:r>
        <w:rPr>
          <w:rFonts w:ascii="Times New Roman" w:hAnsi="Times New Roman" w:eastAsia="宋体" w:cs="Times New Roman"/>
          <w:b/>
          <w:bCs/>
          <w:sz w:val="28"/>
          <w:szCs w:val="28"/>
        </w:rPr>
        <w:t>云端技术栈：</w:t>
      </w:r>
    </w:p>
    <w:tbl>
      <w:tblPr>
        <w:tblStyle w:val="1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000"/>
      </w:tblGrid>
      <w:tr w14:paraId="2192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E17D7AC">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组件</w:t>
            </w:r>
          </w:p>
        </w:tc>
        <w:tc>
          <w:tcPr>
            <w:tcW w:w="3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3B9AB71">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技术</w:t>
            </w:r>
          </w:p>
        </w:tc>
        <w:tc>
          <w:tcPr>
            <w:tcW w:w="4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4F2CC3D">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说明</w:t>
            </w:r>
          </w:p>
        </w:tc>
      </w:tr>
      <w:tr w14:paraId="2D65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15D515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后端框架</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405281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Express 4.18</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4E0569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RESTful API，8个路由模块</w:t>
            </w:r>
          </w:p>
        </w:tc>
      </w:tr>
      <w:tr w14:paraId="46D5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DE57D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数据库</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DCAE7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SQLite3 (better-sqlite3)</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51D0F01">
            <w:pPr>
              <w:autoSpaceDE w:val="0"/>
              <w:autoSpaceDN w:val="0"/>
              <w:jc w:val="center"/>
              <w:rPr>
                <w:rFonts w:hint="eastAsia" w:ascii="宋体" w:hAnsi="宋体" w:eastAsia="宋体"/>
                <w:sz w:val="24"/>
                <w:szCs w:val="24"/>
              </w:rPr>
            </w:pPr>
            <w:r>
              <w:rPr>
                <w:rFonts w:ascii="Times New Roman" w:hAnsi="Times New Roman" w:eastAsia="宋体"/>
                <w:sz w:val="24"/>
              </w:rPr>
              <w:t>WAL模式，12张数据表+9个索引</w:t>
            </w:r>
          </w:p>
        </w:tc>
      </w:tr>
      <w:tr w14:paraId="5540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F05F06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认证</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1E3B1A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 + bcryptjs</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723034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4种角色（admin/doctor/patient/family）</w:t>
            </w:r>
          </w:p>
        </w:tc>
      </w:tr>
      <w:tr w14:paraId="2D69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3E8F79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AI大模型</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B6FFCC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Moonshot Kimi K3</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24147B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健康报告、护理咨询、压力分析</w:t>
            </w:r>
          </w:p>
        </w:tc>
      </w:tr>
      <w:tr w14:paraId="0528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60EC2D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语音ASR</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F550E7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SiliconFlow TeleSpeechASR</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D17CD3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音频→文字转录</w:t>
            </w:r>
          </w:p>
        </w:tc>
      </w:tr>
      <w:tr w14:paraId="4F7A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456239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语音TTS</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79F301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SiliconFlow CosyVoice2</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104C80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文字→语音合成（MP3）</w:t>
            </w:r>
          </w:p>
        </w:tc>
      </w:tr>
      <w:tr w14:paraId="340C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44094D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前端</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C9B789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原生HTML/CSS/JS + Chart.js</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36EFDD1">
            <w:pPr>
              <w:autoSpaceDE w:val="0"/>
              <w:autoSpaceDN w:val="0"/>
              <w:jc w:val="center"/>
              <w:rPr>
                <w:rFonts w:hint="eastAsia" w:ascii="宋体" w:hAnsi="宋体" w:eastAsia="宋体"/>
                <w:sz w:val="24"/>
                <w:szCs w:val="24"/>
              </w:rPr>
            </w:pPr>
            <w:r>
              <w:rPr>
                <w:rFonts w:ascii="Times New Roman" w:hAnsi="Times New Roman" w:eastAsia="宋体"/>
                <w:sz w:val="24"/>
              </w:rPr>
              <w:t>11个页面，Canvas热力图</w:t>
            </w:r>
          </w:p>
        </w:tc>
      </w:tr>
      <w:tr w14:paraId="1C7A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2FAA18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进程管理</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413C55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PM2</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58723E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自动重启、日志管理</w:t>
            </w:r>
          </w:p>
        </w:tc>
      </w:tr>
      <w:tr w14:paraId="1DFE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39BC03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反向代理</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928B69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Nginx</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9F1D82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SSL终结、静态文件加速</w:t>
            </w:r>
          </w:p>
        </w:tc>
      </w:tr>
    </w:tbl>
    <w:p w14:paraId="44073406">
      <w:pPr>
        <w:autoSpaceDE w:val="0"/>
        <w:autoSpaceDN w:val="0"/>
        <w:rPr>
          <w:rFonts w:hint="eastAsia"/>
        </w:rPr>
      </w:pPr>
    </w:p>
    <w:p w14:paraId="6363A2D1">
      <w:pPr>
        <w:autoSpaceDE w:val="0"/>
        <w:autoSpaceDN w:val="0"/>
        <w:spacing w:line="300" w:lineRule="auto"/>
        <w:ind w:firstLine="562" w:firstLineChars="200"/>
        <w:jc w:val="both"/>
        <w:rPr>
          <w:rFonts w:hint="eastAsia" w:ascii="黑体" w:hAnsi="黑体" w:eastAsia="黑体"/>
          <w:sz w:val="28"/>
          <w:szCs w:val="28"/>
        </w:rPr>
      </w:pPr>
      <w:r>
        <w:rPr>
          <w:rFonts w:ascii="Times New Roman" w:hAnsi="Times New Roman" w:eastAsia="宋体" w:cs="Times New Roman"/>
          <w:b/>
          <w:bCs/>
          <w:sz w:val="28"/>
          <w:szCs w:val="28"/>
        </w:rPr>
        <w:t>边缘层技术栈：</w:t>
      </w:r>
    </w:p>
    <w:tbl>
      <w:tblPr>
        <w:tblStyle w:val="1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000"/>
      </w:tblGrid>
      <w:tr w14:paraId="6CBD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06A2790">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组件</w:t>
            </w:r>
          </w:p>
        </w:tc>
        <w:tc>
          <w:tcPr>
            <w:tcW w:w="3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37C678E">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技术</w:t>
            </w:r>
          </w:p>
        </w:tc>
        <w:tc>
          <w:tcPr>
            <w:tcW w:w="4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69D5474">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说明</w:t>
            </w:r>
          </w:p>
        </w:tc>
      </w:tr>
      <w:tr w14:paraId="6F16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8C9594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MQTT Broker</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F7417D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Mosquitto</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3C2B14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本地消息代理，6个Topic</w:t>
            </w:r>
          </w:p>
        </w:tc>
      </w:tr>
      <w:tr w14:paraId="64EF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545588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MQTT Bridge</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061745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Python paho-mqtt + requests</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5B8931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消息解析→HTTP转发</w:t>
            </w:r>
          </w:p>
        </w:tc>
      </w:tr>
      <w:tr w14:paraId="283F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D802F2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边缘AI</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99EE5E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PyTorch PostureCNN</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FE7BCB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15K参数，&lt;1ms推理</w:t>
            </w:r>
          </w:p>
        </w:tc>
      </w:tr>
      <w:tr w14:paraId="6A318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E49B29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受压监测</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C54D20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规则引擎</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D0B00F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30/60/120分钟三级预警</w:t>
            </w:r>
          </w:p>
        </w:tc>
      </w:tr>
      <w:tr w14:paraId="7806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96A736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翻身检测</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3DAF20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帧间差异算法</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1835FF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自动记录翻身频率</w:t>
            </w:r>
          </w:p>
        </w:tc>
      </w:tr>
      <w:tr w14:paraId="1D1E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5B50FD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自主导航</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E2CED71">
            <w:pPr>
              <w:autoSpaceDE w:val="0"/>
              <w:autoSpaceDN w:val="0"/>
              <w:jc w:val="center"/>
              <w:rPr>
                <w:rFonts w:hint="eastAsia" w:ascii="宋体" w:hAnsi="宋体" w:eastAsia="宋体"/>
                <w:sz w:val="24"/>
                <w:szCs w:val="24"/>
              </w:rPr>
            </w:pPr>
            <w:r>
              <w:rPr>
                <w:rFonts w:ascii="Times New Roman" w:hAnsi="Times New Roman" w:eastAsia="宋体"/>
                <w:sz w:val="24"/>
              </w:rPr>
              <w:t>3路TCRT5000循迹</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9DCF1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PID速度调节</w:t>
            </w:r>
          </w:p>
        </w:tc>
      </w:tr>
      <w:tr w14:paraId="6E1D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BA26A56">
            <w:pPr>
              <w:autoSpaceDE w:val="0"/>
              <w:autoSpaceDN w:val="0"/>
              <w:jc w:val="center"/>
              <w:rPr>
                <w:rFonts w:hint="eastAsia" w:ascii="宋体" w:hAnsi="宋体" w:eastAsia="宋体"/>
                <w:sz w:val="24"/>
                <w:szCs w:val="24"/>
              </w:rPr>
            </w:pPr>
            <w:r>
              <w:rPr>
                <w:rFonts w:ascii="Times New Roman" w:hAnsi="Times New Roman" w:eastAsia="宋体"/>
                <w:sz w:val="24"/>
              </w:rPr>
              <w:t>星闪定位</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0D62229">
            <w:pPr>
              <w:autoSpaceDE w:val="0"/>
              <w:autoSpaceDN w:val="0"/>
              <w:jc w:val="center"/>
              <w:rPr>
                <w:rFonts w:hint="eastAsia" w:ascii="宋体" w:hAnsi="宋体" w:eastAsia="宋体"/>
                <w:sz w:val="24"/>
                <w:szCs w:val="24"/>
              </w:rPr>
            </w:pPr>
            <w:r>
              <w:rPr>
                <w:rFonts w:ascii="Times New Roman" w:hAnsi="Times New Roman" w:eastAsia="宋体"/>
                <w:sz w:val="24"/>
              </w:rPr>
              <w:t>NearLink Hi3863锚点×3+标签</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1E94C3A">
            <w:pPr>
              <w:autoSpaceDE w:val="0"/>
              <w:autoSpaceDN w:val="0"/>
              <w:jc w:val="center"/>
              <w:rPr>
                <w:rFonts w:hint="eastAsia" w:ascii="宋体" w:hAnsi="宋体" w:eastAsia="宋体"/>
                <w:sz w:val="24"/>
                <w:szCs w:val="24"/>
              </w:rPr>
            </w:pPr>
            <w:r>
              <w:rPr>
                <w:rFonts w:ascii="Times New Roman" w:hAnsi="Times New Roman" w:eastAsia="宋体"/>
                <w:sz w:val="24"/>
              </w:rPr>
              <w:t>三边测距定位与病房识别</w:t>
            </w:r>
          </w:p>
        </w:tc>
      </w:tr>
      <w:tr w14:paraId="7D56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E2F0C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避障</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93A9C7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3×HC-SR04超声波</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8923DB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15cm停车/30cm减速</w:t>
            </w:r>
          </w:p>
        </w:tc>
      </w:tr>
      <w:tr w14:paraId="6FF3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AA8974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LCD显示</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0BFC87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3.5寸SPI TFT</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87A895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实时体征+导航状态</w:t>
            </w:r>
          </w:p>
        </w:tc>
      </w:tr>
      <w:tr w14:paraId="09BA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B28CC1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语音交互</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72B034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USB麦克风+PAM8403功放</w:t>
            </w:r>
          </w:p>
        </w:tc>
        <w:tc>
          <w:tcPr>
            <w:tcW w:w="4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82A4C3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录音→ASR→AI→TTS→播放</w:t>
            </w:r>
          </w:p>
        </w:tc>
      </w:tr>
      <w:tr w14:paraId="2FC9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DF5423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Web遥控</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4F9438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Flask 5000端口</w:t>
            </w:r>
          </w:p>
        </w:tc>
        <w:tc>
          <w:tcPr>
            <w:tcW w:w="4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9A0FAF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手机端方向键/导航/升降</w:t>
            </w:r>
          </w:p>
        </w:tc>
      </w:tr>
    </w:tbl>
    <w:p w14:paraId="6D67267C">
      <w:pPr>
        <w:autoSpaceDE w:val="0"/>
        <w:autoSpaceDN w:val="0"/>
        <w:rPr>
          <w:rFonts w:hint="eastAsia"/>
        </w:rPr>
      </w:pPr>
    </w:p>
    <w:p w14:paraId="056F277D">
      <w:pPr>
        <w:autoSpaceDE w:val="0"/>
        <w:autoSpaceDN w:val="0"/>
        <w:spacing w:line="300" w:lineRule="auto"/>
        <w:ind w:firstLine="480" w:firstLineChars="200"/>
        <w:jc w:val="both"/>
        <w:rPr>
          <w:rFonts w:hint="eastAsia" w:ascii="黑体" w:hAnsi="黑体" w:eastAsia="黑体"/>
          <w:sz w:val="28"/>
          <w:szCs w:val="28"/>
        </w:rPr>
      </w:pPr>
      <w:r>
        <w:t>鸿蒙App端技术栈：</w:t>
      </w:r>
    </w:p>
    <w:p w14:paraId="4C461E4E">
      <w:pPr>
        <w:autoSpaceDE w:val="0"/>
        <w:autoSpaceDN w:val="0"/>
        <w:spacing w:line="300" w:lineRule="auto"/>
        <w:ind w:firstLine="480" w:firstLineChars="200"/>
        <w:jc w:val="both"/>
        <w:rPr>
          <w:rFonts w:hint="eastAsia" w:ascii="宋体" w:hAnsi="宋体" w:eastAsia="宋体"/>
          <w:sz w:val="24"/>
          <w:szCs w:val="24"/>
        </w:rPr>
      </w:pPr>
      <w:r>
        <w:t>基于HarmonyOS 6.0.2（API 22）与ArkTS语言（严格模式）开发原生移动应用，DevEco Studio工程化构建。App封装统一ApiService网络层，与Web端共用云平台RESTful API和JWT认证体系；内置双地址配置——公网访问云端ECS进行远程监护，局域网直连树莓派实现床旁低时延语音控制（NLC）。包含体征仪表盘、智能体协同、AI咨询、告警管理、床体控制五大功能页面。</w:t>
      </w:r>
    </w:p>
    <w:p w14:paraId="293C4A4D">
      <w:pPr>
        <w:pStyle w:val="4"/>
        <w:autoSpaceDE w:val="0"/>
        <w:autoSpaceDN w:val="0"/>
        <w:rPr>
          <w:rFonts w:hint="eastAsia" w:ascii="黑体" w:hAnsi="黑体" w:eastAsia="黑体"/>
          <w:sz w:val="28"/>
          <w:szCs w:val="28"/>
        </w:rPr>
      </w:pPr>
      <w:bookmarkStart w:id="21" w:name="_Toc224321329"/>
      <w:r>
        <w:t>4.1.5 云技术管理</w:t>
      </w:r>
      <w:bookmarkEnd w:id="21"/>
    </w:p>
    <w:p w14:paraId="08FB2B24">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Kimi K3大模型服务：通过Moonshot AI平台API调用Kimi K3大语言模型（2.8万亿参数，基于KDA混合线性注意力与注意力残差架构，原生支持视觉理解、1M token长上下文与深度思考模式）[16]，为系统提供健康报告生成、护理咨询、压力矩阵深度分析和患者情绪分析等核心AI能力。系统为每种专科Agent设计了独立的System Prompt，确保AI回答的专业性和针对性。</w:t>
      </w:r>
    </w:p>
    <w:p w14:paraId="26B2BC47">
      <w:pPr>
        <w:jc w:val="center"/>
        <w:rPr>
          <w:rFonts w:hint="eastAsia"/>
        </w:rPr>
      </w:pPr>
      <w:commentRangeStart w:id="28"/>
      <w:r>
        <w:drawing>
          <wp:inline distT="0" distB="0" distL="114300" distR="114300">
            <wp:extent cx="5219700" cy="2524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20000" cy="2524905"/>
                    </a:xfrm>
                    <a:prstGeom prst="rect">
                      <a:avLst/>
                    </a:prstGeom>
                  </pic:spPr>
                </pic:pic>
              </a:graphicData>
            </a:graphic>
          </wp:inline>
        </w:drawing>
      </w:r>
    </w:p>
    <w:p w14:paraId="31EDAC1D">
      <w:pPr>
        <w:jc w:val="center"/>
        <w:rPr>
          <w:rFonts w:hint="eastAsia"/>
        </w:rPr>
      </w:pPr>
      <w:r>
        <w:rPr>
          <w:rFonts w:ascii="楷体" w:hAnsi="楷体" w:eastAsia="楷体" w:cs="Times New Roman"/>
          <w:b/>
          <w:sz w:val="22"/>
        </w:rPr>
        <w:t>图4.3 五种专科AI护理Agent个性化阈值与提示词配置对比</w:t>
      </w:r>
      <w:commentRangeEnd w:id="28"/>
      <w:r>
        <w:commentReference w:id="28"/>
      </w:r>
    </w:p>
    <w:p w14:paraId="05F0907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SiliconFlow语音服务：集成TeleSpeechASR语音识别和CosyVoice2语音合成两项云服务，为设备端语音交互提供高质量的语音转文字和文字转语音能力。</w:t>
      </w:r>
    </w:p>
    <w:p w14:paraId="78E37E25">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sz w:val="24"/>
        </w:rPr>
        <w:t>SQLite数据库：采用WAL[13]（Write-Ahead Logging）模式的SQLite3数据库，设计12张数据表（users、patients、vitals、reports、alerts、agent_configs、voice_conversations、patient_concerns、emotion_records、voice_commands、reminders、reminder_logs）和9个性能索引，通过外键约束和CHECK约束保障数据完整性。</w:t>
      </w:r>
    </w:p>
    <w:p w14:paraId="4A6B4BE0">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Nginx反向代理与PM2进程管理：Nginx[30]负责SSL证书终结和静态文件加速，PM2负责Node.js进程的自动重启、日志管理和集群模式部署，确保生产环境的高可用性。</w:t>
      </w:r>
    </w:p>
    <w:p w14:paraId="114AA2B9">
      <w:pPr>
        <w:jc w:val="center"/>
        <w:rPr>
          <w:rFonts w:hint="eastAsia"/>
        </w:rPr>
      </w:pPr>
      <w:commentRangeStart w:id="29"/>
      <w:r>
        <w:rPr>
          <w:rFonts w:ascii="Times New Roman" w:hAnsi="Times New Roman" w:eastAsia="宋体" w:cs="Times New Roman"/>
          <w:i/>
          <w:color w:val="808080"/>
          <w:sz w:val="24"/>
        </w:rPr>
        <w:t>(此处插入云端架构图)</w:t>
      </w:r>
    </w:p>
    <w:p w14:paraId="07A66FFF">
      <w:pPr>
        <w:jc w:val="center"/>
        <w:rPr>
          <w:rFonts w:hint="eastAsia"/>
        </w:rPr>
      </w:pPr>
      <w:r>
        <w:rPr>
          <w:rFonts w:ascii="楷体" w:hAnsi="楷体" w:eastAsia="楷体" w:cs="Times New Roman"/>
          <w:b/>
          <w:sz w:val="22"/>
        </w:rPr>
        <w:t>图4.4 云端服务架构与技术栈集成图</w:t>
      </w:r>
      <w:commentRangeEnd w:id="29"/>
      <w:r>
        <w:commentReference w:id="29"/>
      </w:r>
    </w:p>
    <w:p w14:paraId="1723327A">
      <w:pPr>
        <w:pStyle w:val="2"/>
        <w:autoSpaceDE w:val="0"/>
        <w:autoSpaceDN w:val="0"/>
        <w:rPr>
          <w:rFonts w:hint="eastAsia" w:ascii="黑体" w:hAnsi="黑体" w:eastAsia="黑体"/>
        </w:rPr>
      </w:pPr>
      <w:bookmarkStart w:id="22" w:name="_Toc224321330"/>
      <w:r>
        <w:t>5 其他内容</w:t>
      </w:r>
      <w:bookmarkEnd w:id="22"/>
    </w:p>
    <w:p w14:paraId="3C542592">
      <w:pPr>
        <w:pStyle w:val="3"/>
        <w:autoSpaceDE w:val="0"/>
        <w:autoSpaceDN w:val="0"/>
        <w:rPr>
          <w:rFonts w:hint="eastAsia" w:ascii="黑体" w:hAnsi="黑体" w:eastAsia="黑体"/>
        </w:rPr>
      </w:pPr>
      <w:bookmarkStart w:id="23" w:name="_Toc224321331"/>
      <w:bookmarkEnd w:id="23"/>
      <w:r>
        <w:t>5.1 工程细节与成本分析</w:t>
      </w:r>
    </w:p>
    <w:p w14:paraId="0332352C">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本部分介绍项目的数据库设计、AI能力矩阵、效果展示及作业成本。</w:t>
      </w:r>
    </w:p>
    <w:p w14:paraId="084AEC2A">
      <w:pPr>
        <w:spacing w:line="300" w:lineRule="auto"/>
        <w:ind w:firstLine="480" w:firstLineChars="200"/>
      </w:pPr>
      <w:r>
        <w:rPr>
          <w:rFonts w:ascii="Times New Roman" w:hAnsi="Times New Roman" w:eastAsia="宋体"/>
          <w:sz w:val="24"/>
        </w:rPr>
        <w:t>智能提醒模块新增两张数据表：reminders 表存储提醒计划（patient_id、reminder_type、title、dosage、schedule_time、is_active、created_by），支持按病人查询与启停；reminder_logs 表存储每日执行日志（reminder_id、patient_id、scheduled_time、status、completed_at、note），status 字段枚举值包括 pending / notified / completed / skipped / missed，实现完整的提醒生命周期追踪。</w:t>
      </w:r>
    </w:p>
    <w:p w14:paraId="382E9860">
      <w:pPr>
        <w:pStyle w:val="4"/>
        <w:autoSpaceDE w:val="0"/>
        <w:autoSpaceDN w:val="0"/>
        <w:rPr>
          <w:rFonts w:hint="eastAsia" w:ascii="黑体" w:hAnsi="黑体" w:eastAsia="黑体"/>
          <w:sz w:val="28"/>
          <w:szCs w:val="28"/>
        </w:rPr>
      </w:pPr>
      <w:bookmarkStart w:id="24" w:name="_Toc224321332"/>
      <w:r>
        <w:t>5.1.1 数据库设计</w:t>
      </w:r>
      <w:bookmarkEnd w:id="24"/>
    </w:p>
    <w:p w14:paraId="6E9867F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系统使用SQLite3数据库，包含7张数据表。users表存储用户账号、密码哈希和角色信息；patients表记录患者基本信息、床位号、疾病类型和关联的AI Agent；vitals表存储每次采集的完整体征数据（心率、血压、血氧、血糖、体温、睡姿、压力矩阵原始数据）；reports表保存AI生成的健康报告；alerts表管理告警记录及状态流转；voice_conversations表存储语音对话历史；patient_concerns表保存AI分析生成的患者关注点报告。agent_configs表则配置5种专科Agent的系统提示词和个性化阈值。</w:t>
      </w:r>
    </w:p>
    <w:p w14:paraId="67D9CF23">
      <w:pPr>
        <w:jc w:val="center"/>
        <w:rPr>
          <w:rFonts w:hint="eastAsia"/>
        </w:rPr>
      </w:pPr>
      <w:commentRangeStart w:id="30"/>
      <w:r>
        <w:drawing>
          <wp:inline xmlns:a="http://schemas.openxmlformats.org/drawingml/2006/main" xmlns:pic="http://schemas.openxmlformats.org/drawingml/2006/picture">
            <wp:extent cx="5220000" cy="2962215"/>
            <wp:docPr id="14" name="Picture 14"/>
            <wp:cNvGraphicFramePr>
              <a:graphicFrameLocks noChangeAspect="1"/>
            </wp:cNvGraphicFramePr>
            <a:graphic>
              <a:graphicData uri="http://schemas.openxmlformats.org/drawingml/2006/picture">
                <pic:pic>
                  <pic:nvPicPr>
                    <pic:cNvPr id="0" name="fig5_1_er.png"/>
                    <pic:cNvPicPr/>
                  </pic:nvPicPr>
                  <pic:blipFill>
                    <a:blip r:embed="rId25"/>
                    <a:stretch>
                      <a:fillRect/>
                    </a:stretch>
                  </pic:blipFill>
                  <pic:spPr>
                    <a:xfrm>
                      <a:off x="0" y="0"/>
                      <a:ext cx="5220000" cy="2962215"/>
                    </a:xfrm>
                    <a:prstGeom prst="rect"/>
                  </pic:spPr>
                </pic:pic>
              </a:graphicData>
            </a:graphic>
          </wp:inline>
        </w:drawing>
      </w:r>
    </w:p>
    <w:p w14:paraId="29EC7285">
      <w:pPr>
        <w:jc w:val="center"/>
        <w:rPr>
          <w:rFonts w:hint="eastAsia"/>
        </w:rPr>
      </w:pPr>
      <w:r>
        <w:rPr>
          <w:rFonts w:ascii="楷体" w:hAnsi="楷体" w:eastAsia="楷体" w:cs="Times New Roman"/>
          <w:b/>
          <w:sz w:val="22"/>
        </w:rPr>
        <w:t>图5.1 系统数据库ER关系图</w:t>
      </w:r>
      <w:commentRangeEnd w:id="30"/>
      <w:r>
        <w:commentReference w:id="30"/>
      </w:r>
    </w:p>
    <w:p w14:paraId="6EF21501">
      <w:pPr>
        <w:autoSpaceDE w:val="0"/>
        <w:autoSpaceDN w:val="0"/>
        <w:rPr>
          <w:rFonts w:hint="eastAsia"/>
        </w:rPr>
      </w:pPr>
    </w:p>
    <w:p w14:paraId="581CCC82">
      <w:pPr>
        <w:autoSpaceDE w:val="0"/>
        <w:autoSpaceDN w:val="0"/>
        <w:spacing w:line="300" w:lineRule="auto"/>
        <w:ind w:firstLine="562" w:firstLineChars="200"/>
        <w:jc w:val="both"/>
        <w:rPr>
          <w:rFonts w:hint="eastAsia" w:ascii="黑体" w:hAnsi="黑体" w:eastAsia="黑体"/>
          <w:sz w:val="28"/>
          <w:szCs w:val="28"/>
        </w:rPr>
      </w:pPr>
      <w:r>
        <w:rPr>
          <w:rFonts w:ascii="Times New Roman" w:hAnsi="Times New Roman" w:eastAsia="宋体" w:cs="Times New Roman"/>
          <w:b/>
          <w:bCs/>
          <w:sz w:val="28"/>
          <w:szCs w:val="28"/>
        </w:rPr>
        <w:t>AI护理Agent配置：</w:t>
      </w:r>
    </w:p>
    <w:tbl>
      <w:tblPr>
        <w:tblStyle w:val="1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3200"/>
        <w:gridCol w:w="2800"/>
      </w:tblGrid>
      <w:tr w14:paraId="391E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3DE8EE3">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Agent</w:t>
            </w:r>
          </w:p>
        </w:tc>
        <w:tc>
          <w:tcPr>
            <w:tcW w:w="1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C1C7760">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适用病种</w:t>
            </w:r>
          </w:p>
        </w:tc>
        <w:tc>
          <w:tcPr>
            <w:tcW w:w="3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B1C80B5">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关键阈值</w:t>
            </w:r>
          </w:p>
        </w:tc>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F8269B6">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特色关注</w:t>
            </w:r>
          </w:p>
        </w:tc>
      </w:tr>
      <w:tr w14:paraId="3125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5238C6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quadriplegia</w:t>
            </w:r>
          </w:p>
        </w:tc>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FCDF09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高位截瘫</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A93619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HR 45-110, SpO2≥92, T≤38℃</w:t>
            </w:r>
          </w:p>
        </w:tc>
        <w:tc>
          <w:tcPr>
            <w:tcW w:w="2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312BE8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体温调节、受压监测与体位护理、呼吸功能</w:t>
            </w:r>
          </w:p>
        </w:tc>
      </w:tr>
      <w:tr w14:paraId="1F97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E2EDB4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diabetes</w:t>
            </w:r>
          </w:p>
        </w:tc>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69E0FB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糖尿病</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8CF08F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GLU 3.9-11.1, BP&lt;140/90</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9990D1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血糖波动、足部监测、饮食运动</w:t>
            </w:r>
          </w:p>
        </w:tc>
      </w:tr>
      <w:tr w14:paraId="7C52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90B769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post_stroke</w:t>
            </w:r>
          </w:p>
        </w:tc>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7D18DB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中风后遗症</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D379AC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BP&lt;150/95, HR 50-110</w:t>
            </w:r>
          </w:p>
        </w:tc>
        <w:tc>
          <w:tcPr>
            <w:tcW w:w="2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939753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血压控制、康复训练、情绪管理</w:t>
            </w:r>
          </w:p>
        </w:tc>
      </w:tr>
      <w:tr w14:paraId="68BD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103D72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copd</w:t>
            </w:r>
          </w:p>
        </w:tc>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613D7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慢阻肺</w:t>
            </w:r>
          </w:p>
        </w:tc>
        <w:tc>
          <w:tcPr>
            <w:tcW w:w="3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7F0F3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SpO2≥88, HR&lt;120</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17676E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血氧监测、呼吸模式、用药提醒</w:t>
            </w:r>
          </w:p>
        </w:tc>
      </w:tr>
      <w:tr w14:paraId="17F0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A1C945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general</w:t>
            </w:r>
          </w:p>
        </w:tc>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573771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通用护理</w:t>
            </w:r>
          </w:p>
        </w:tc>
        <w:tc>
          <w:tcPr>
            <w:tcW w:w="3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9AD857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HR 50-120, SpO2≥93, T≤37.5℃</w:t>
            </w:r>
          </w:p>
        </w:tc>
        <w:tc>
          <w:tcPr>
            <w:tcW w:w="2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0E763E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综合监测、趋势分析、生活建议</w:t>
            </w:r>
          </w:p>
        </w:tc>
      </w:tr>
    </w:tbl>
    <w:p w14:paraId="00203FC5">
      <w:pPr>
        <w:pStyle w:val="4"/>
        <w:autoSpaceDE w:val="0"/>
        <w:autoSpaceDN w:val="0"/>
        <w:rPr>
          <w:rFonts w:hint="eastAsia" w:ascii="黑体" w:hAnsi="黑体" w:eastAsia="黑体"/>
          <w:sz w:val="28"/>
          <w:szCs w:val="28"/>
        </w:rPr>
      </w:pPr>
      <w:bookmarkStart w:id="25" w:name="_Toc224321333"/>
      <w:r>
        <w:t>5.1.2 AI能力矩阵</w:t>
      </w:r>
      <w:bookmarkEnd w:id="25"/>
    </w:p>
    <w:tbl>
      <w:tblPr>
        <w:tblStyle w:val="16"/>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6"/>
        <w:gridCol w:w="1827"/>
        <w:gridCol w:w="1414"/>
        <w:gridCol w:w="1724"/>
        <w:gridCol w:w="1709"/>
      </w:tblGrid>
      <w:tr w14:paraId="3F91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03B1EE3">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AI功能</w:t>
            </w:r>
          </w:p>
        </w:tc>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71CDEC2">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模型/引擎</w:t>
            </w:r>
          </w:p>
        </w:tc>
        <w:tc>
          <w:tcPr>
            <w:tcW w:w="1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99A76BF">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部署位置</w:t>
            </w:r>
          </w:p>
        </w:tc>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5CA2EB0">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输入</w:t>
            </w:r>
          </w:p>
        </w:tc>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86E03B5">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输出</w:t>
            </w:r>
          </w:p>
        </w:tc>
      </w:tr>
      <w:tr w14:paraId="78BCE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BCEC20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睡姿分类</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5F6B86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PostureCNN (PyTorch)</w:t>
            </w:r>
          </w:p>
        </w:tc>
        <w:tc>
          <w:tcPr>
            <w:tcW w:w="1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50DE95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树莓派</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1BC995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8×8压力矩阵</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B53CBC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6类姿态+置信度</w:t>
            </w:r>
          </w:p>
        </w:tc>
      </w:tr>
      <w:tr w14:paraId="1853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3343EC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受压风险监测</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65A076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规则引擎</w:t>
            </w:r>
          </w:p>
        </w:tc>
        <w:tc>
          <w:tcPr>
            <w:tcW w:w="1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6D9E3F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树莓派</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00B4F6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持续高压时间</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F1839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四级风险等级</w:t>
            </w:r>
          </w:p>
        </w:tc>
      </w:tr>
      <w:tr w14:paraId="290C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F7862B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翻身检测</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870526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帧间差异算法</w:t>
            </w:r>
          </w:p>
        </w:tc>
        <w:tc>
          <w:tcPr>
            <w:tcW w:w="1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817567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树莓派</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25E2EB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前后帧对比</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233D20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翻身事件记录</w:t>
            </w:r>
          </w:p>
        </w:tc>
      </w:tr>
      <w:tr w14:paraId="59A4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7C6E36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健康报告</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40FBB7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Kimi K3</w:t>
            </w:r>
          </w:p>
        </w:tc>
        <w:tc>
          <w:tcPr>
            <w:tcW w:w="1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A98A40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云端</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CD9261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24h体征+告警</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19704E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诊断+康复建议</w:t>
            </w:r>
          </w:p>
        </w:tc>
      </w:tr>
      <w:tr w14:paraId="204D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2FF8F3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护理咨询</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124D4F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Kimi K3</w:t>
            </w:r>
          </w:p>
        </w:tc>
        <w:tc>
          <w:tcPr>
            <w:tcW w:w="1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D0BE2B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云端</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C05B3F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体征+病情+问题</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1D4EB2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专科回答</w:t>
            </w:r>
          </w:p>
        </w:tc>
      </w:tr>
      <w:tr w14:paraId="562D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1CBCF7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压力深度分析</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2E3CF7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Kimi K3</w:t>
            </w:r>
          </w:p>
        </w:tc>
        <w:tc>
          <w:tcPr>
            <w:tcW w:w="1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89A048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云端</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7ABBCA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矩阵+CNN结果</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270385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护理方案+告警</w:t>
            </w:r>
          </w:p>
        </w:tc>
      </w:tr>
      <w:tr w14:paraId="74CC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3246F5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语音识别</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7D0853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TeleSpeechASR</w:t>
            </w:r>
          </w:p>
        </w:tc>
        <w:tc>
          <w:tcPr>
            <w:tcW w:w="1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5929D2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SiliconFlow</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4A4317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WAV音频</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A0AA0F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文字</w:t>
            </w:r>
          </w:p>
        </w:tc>
      </w:tr>
      <w:tr w14:paraId="4023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06AC33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语音合成</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ACFDBC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CosyVoice2</w:t>
            </w:r>
          </w:p>
        </w:tc>
        <w:tc>
          <w:tcPr>
            <w:tcW w:w="1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32FA0E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SiliconFlow</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53BE96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文字</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675CC1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MP3音频</w:t>
            </w:r>
          </w:p>
        </w:tc>
      </w:tr>
      <w:tr w14:paraId="104B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9279A6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情绪分析</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F5C005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Kimi K3</w:t>
            </w:r>
          </w:p>
        </w:tc>
        <w:tc>
          <w:tcPr>
            <w:tcW w:w="1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785108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云端</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6D7AA2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3天对话记录</w:t>
            </w:r>
          </w:p>
        </w:tc>
        <w:tc>
          <w:tcPr>
            <w:tcW w:w="1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AA6E92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关注点+情绪+诉求</w:t>
            </w:r>
          </w:p>
        </w:tc>
      </w:tr>
    </w:tbl>
    <w:p w14:paraId="47C5A50C">
      <w:pPr>
        <w:pStyle w:val="4"/>
        <w:autoSpaceDE w:val="0"/>
        <w:autoSpaceDN w:val="0"/>
        <w:rPr>
          <w:rFonts w:hint="eastAsia" w:ascii="黑体" w:hAnsi="黑体" w:eastAsia="黑体"/>
          <w:sz w:val="28"/>
          <w:szCs w:val="28"/>
        </w:rPr>
      </w:pPr>
      <w:bookmarkStart w:id="26" w:name="_Toc224321334"/>
      <w:r>
        <w:t>5.1.3 效果展示</w:t>
      </w:r>
      <w:bookmarkEnd w:id="26"/>
    </w:p>
    <w:p w14:paraId="045987E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包含8个前端Web页面，覆盖从登录认证到数据可视化的完整交互流程。总览仪表盘页面以患者卡片形式展示所有在管患者的基本信息和最新体征概要。体征实时面板页面集成了Chart.js折线图（展示心率、血氧、体温等指标的时间趋势）和Canvas 8×8压力热力图（以色阶直观呈现患者的体压分布）。AI体检报告页面以时间线形式展示历史报告，每份报告包含AI生成的健康评估、辅助诊断和康复建议。异常预警页面支持按类型、状态和时间筛选，便于护理人员高效处理告警。语音聊天页面提供类即时通讯的对话界面，家属关注分析页面则以结构化卡片形式展示AI提取的患者情绪、身体诉求和心理需求。</w:t>
      </w:r>
    </w:p>
    <w:p w14:paraId="79BFEB94">
      <w:pPr>
        <w:jc w:val="center"/>
        <w:rPr>
          <w:rFonts w:hint="eastAsia"/>
        </w:rPr>
      </w:pPr>
      <w:commentRangeStart w:id="31"/>
      <w:r>
        <w:drawing>
          <wp:inline xmlns:a="http://schemas.openxmlformats.org/drawingml/2006/main" xmlns:pic="http://schemas.openxmlformats.org/drawingml/2006/picture">
            <wp:extent cx="4860000" cy="6075000"/>
            <wp:docPr id="15" name="Picture 15"/>
            <wp:cNvGraphicFramePr>
              <a:graphicFrameLocks noChangeAspect="1"/>
            </wp:cNvGraphicFramePr>
            <a:graphic>
              <a:graphicData uri="http://schemas.openxmlformats.org/drawingml/2006/picture">
                <pic:pic>
                  <pic:nvPicPr>
                    <pic:cNvPr id="0" name="shot_dashboard.png"/>
                    <pic:cNvPicPr/>
                  </pic:nvPicPr>
                  <pic:blipFill>
                    <a:blip r:embed="rId26"/>
                    <a:stretch>
                      <a:fillRect/>
                    </a:stretch>
                  </pic:blipFill>
                  <pic:spPr>
                    <a:xfrm>
                      <a:off x="0" y="0"/>
                      <a:ext cx="4860000" cy="6075000"/>
                    </a:xfrm>
                    <a:prstGeom prst="rect"/>
                  </pic:spPr>
                </pic:pic>
              </a:graphicData>
            </a:graphic>
          </wp:inline>
        </w:drawing>
      </w:r>
    </w:p>
    <w:p w14:paraId="52BD8939">
      <w:pPr>
        <w:jc w:val="center"/>
        <w:rPr>
          <w:rFonts w:hint="eastAsia"/>
        </w:rPr>
      </w:pPr>
      <w:r>
        <w:rPr>
          <w:rFonts w:ascii="楷体" w:hAnsi="楷体" w:eastAsia="楷体" w:cs="Times New Roman"/>
          <w:b/>
          <w:sz w:val="22"/>
        </w:rPr>
        <w:t>图5.2 Web前端Dashboard体征监护面板与压力热力图</w:t>
      </w:r>
      <w:commentRangeEnd w:id="31"/>
      <w:r>
        <w:commentReference w:id="31"/>
      </w:r>
    </w:p>
    <w:p w14:paraId="38006B56">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边缘端方面，3.5寸SPI LCD屏实时显示当前患者的核心体征参数和导航状态。Flask Web遥控界面提供直观的方向键控制和一键导航功能。摄像头MJPEG推流可在局域网内通过浏览器直接查看患者实时画面。</w:t>
      </w:r>
    </w:p>
    <w:p w14:paraId="390584EE">
      <w:pPr>
        <w:jc w:val="center"/>
        <w:rPr>
          <w:rFonts w:hint="eastAsia"/>
        </w:rPr>
      </w:pPr>
      <w:commentRangeStart w:id="32"/>
      <w:r>
        <w:rPr>
          <w:rFonts w:ascii="Times New Roman" w:hAnsi="Times New Roman" w:eastAsia="宋体" w:cs="Times New Roman"/>
          <w:i/>
          <w:color w:val="808080"/>
          <w:sz w:val="24"/>
        </w:rPr>
        <w:t>(此处插入边缘端界面截图)</w:t>
      </w:r>
    </w:p>
    <w:p w14:paraId="23C97C33">
      <w:pPr>
        <w:jc w:val="center"/>
        <w:rPr>
          <w:rFonts w:hint="eastAsia"/>
        </w:rPr>
      </w:pPr>
      <w:r>
        <w:rPr>
          <w:rFonts w:ascii="楷体" w:hAnsi="楷体" w:eastAsia="楷体" w:cs="Times New Roman"/>
          <w:b/>
          <w:sz w:val="22"/>
        </w:rPr>
        <w:t>图5.3 边缘端3.5寸LCD状态屏与Flask Web遥控界面</w:t>
      </w:r>
      <w:commentRangeEnd w:id="32"/>
      <w:r>
        <w:commentReference w:id="32"/>
      </w:r>
    </w:p>
    <w:p w14:paraId="6CAA3010">
      <w:pPr>
        <w:autoSpaceDE w:val="0"/>
        <w:autoSpaceDN w:val="0"/>
        <w:spacing w:line="300" w:lineRule="auto"/>
        <w:ind w:firstLine="480" w:firstLineChars="200"/>
        <w:jc w:val="both"/>
        <w:rPr>
          <w:rFonts w:hint="eastAsia" w:ascii="宋体" w:hAnsi="宋体" w:eastAsia="宋体"/>
          <w:sz w:val="24"/>
          <w:szCs w:val="24"/>
        </w:rPr>
      </w:pPr>
      <w:r>
        <w:t>移动端方面，鸿蒙原生App为医护人员与家属提供随身监护入口。体征仪表盘页面以卡片式布局实时刷新心率、血氧、体温、血压与睡姿状态；智能体页面呈现五个专科护理Agent的协同工作状态；AI咨询页面接入云端统一LLM网关进行多轮对话；告警页面支持告警确认闭环；控制页面可远程下发靠背角度调节、气囊分区减压与病房导航指令。App与Web端共用同一账号体系与JWT认证，登录后数据实时同步。</w:t>
      </w:r>
    </w:p>
    <w:p w14:paraId="1C7A6F4B">
      <w:pPr>
        <w:jc w:val="center"/>
        <w:rPr>
          <w:rFonts w:hint="eastAsia"/>
        </w:rPr>
      </w:pPr>
      <w:r>
        <w:t>(此处插入鸿蒙App实机截图)</w:t>
      </w:r>
    </w:p>
    <w:p w14:paraId="49E76035">
      <w:pPr>
        <w:jc w:val="center"/>
        <w:rPr>
          <w:rFonts w:hint="eastAsia"/>
        </w:rPr>
      </w:pPr>
      <w:r>
        <w:t>图5.4 鸿蒙App五大功能页面（体征仪表盘/智能体协同/AI咨询/告警管理/床体控制）</w:t>
      </w:r>
    </w:p>
    <w:p w14:paraId="03AE6CEC">
      <w:pPr>
        <w:pStyle w:val="4"/>
        <w:autoSpaceDE w:val="0"/>
        <w:autoSpaceDN w:val="0"/>
        <w:rPr>
          <w:rFonts w:hint="eastAsia" w:ascii="黑体" w:hAnsi="黑体" w:eastAsia="黑体"/>
          <w:sz w:val="28"/>
          <w:szCs w:val="28"/>
        </w:rPr>
      </w:pPr>
      <w:bookmarkStart w:id="27" w:name="_Toc224321335"/>
      <w:r>
        <w:t>5.1.4 API接口设计</w:t>
      </w:r>
      <w:bookmarkEnd w:id="27"/>
    </w:p>
    <w:p w14:paraId="55955CA5">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系统共设计20余个RESTful API端点，分布在8个路由模块中。认证模块（auth）提供登录注册接口，采用bcrypt密码哈希和JWT令牌机制。设备数据上报接口使用API Key认证（X-API-Key头部），与用户端JWT认证相互独立，确保设备端和用户端的安全隔离。主要API端点包括：</w:t>
      </w:r>
    </w:p>
    <w:p w14:paraId="5E1007A5">
      <w:pPr>
        <w:autoSpaceDE w:val="0"/>
        <w:autoSpaceDN w:val="0"/>
        <w:rPr>
          <w:rFonts w:hint="eastAsia"/>
        </w:rPr>
      </w:pPr>
    </w:p>
    <w:tbl>
      <w:tblPr>
        <w:tblStyle w:val="16"/>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7"/>
        <w:gridCol w:w="827"/>
        <w:gridCol w:w="995"/>
        <w:gridCol w:w="3581"/>
      </w:tblGrid>
      <w:tr w14:paraId="05E6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8023FC0">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端点</w:t>
            </w:r>
          </w:p>
        </w:tc>
        <w:tc>
          <w:tcPr>
            <w:tcW w:w="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954776C">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方法</w:t>
            </w:r>
          </w:p>
        </w:tc>
        <w:tc>
          <w:tcPr>
            <w:tcW w:w="1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8765FCC">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认证</w:t>
            </w:r>
          </w:p>
        </w:tc>
        <w:tc>
          <w:tcPr>
            <w:tcW w:w="36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045EECD">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描述</w:t>
            </w:r>
          </w:p>
        </w:tc>
      </w:tr>
      <w:tr w14:paraId="06E2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7E6BCE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/api/auth/login</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9E91DF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F2E795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无</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4F21A2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用户登录，返回JWT</w:t>
            </w:r>
          </w:p>
        </w:tc>
      </w:tr>
      <w:tr w14:paraId="0F3E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2CA6A9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/api/auth/register</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A67278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2641A4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无</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55093B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用户注册</w:t>
            </w:r>
          </w:p>
        </w:tc>
      </w:tr>
      <w:tr w14:paraId="6105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BABDC3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/api/patients</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B2C894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69ADAA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DC2460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患者列表（含疾病信息）</w:t>
            </w:r>
          </w:p>
        </w:tc>
      </w:tr>
      <w:tr w14:paraId="583F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5073F5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/api/vitals</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2152EC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1B0DAD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API-Key</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8C853A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设备体征数据上报+阈值告警</w:t>
            </w:r>
          </w:p>
        </w:tc>
      </w:tr>
      <w:tr w14:paraId="6A55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68C6CE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/api/vitals/:id</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43B69E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65AD0C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507766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体征历史（支持分页）</w:t>
            </w:r>
          </w:p>
        </w:tc>
      </w:tr>
      <w:tr w14:paraId="3384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D31481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/api/vitals/:id/latest</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6A8312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D72EDC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D17C24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最新一条体征</w:t>
            </w:r>
          </w:p>
        </w:tc>
      </w:tr>
      <w:tr w14:paraId="774C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DE0525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/api/vitals/:id/stats</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1C338B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96349A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10D539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体征统计（均值/最值）</w:t>
            </w:r>
          </w:p>
        </w:tc>
      </w:tr>
      <w:tr w14:paraId="10AE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F8B5E1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/api/reports/generate</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0A4F23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2ED16B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C8DA2E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AI生成当日健康报告</w:t>
            </w:r>
          </w:p>
        </w:tc>
      </w:tr>
      <w:tr w14:paraId="6FC5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033899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/api/agents/consult</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4312A3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D2E203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D97488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AI专科护理咨询</w:t>
            </w:r>
          </w:p>
        </w:tc>
      </w:tr>
      <w:tr w14:paraId="6285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3AFA5A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/api/pressure/analyze</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471DA3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ECE64A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EF906C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AI深度压力矩阵分析</w:t>
            </w:r>
          </w:p>
        </w:tc>
      </w:tr>
      <w:tr w14:paraId="21B8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4446A2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/api/voice/device/chat</w:t>
            </w:r>
          </w:p>
        </w:tc>
        <w:tc>
          <w:tcPr>
            <w:tcW w:w="8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FA8EB1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POST</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E50203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API-Key</w:t>
            </w:r>
          </w:p>
        </w:tc>
        <w:tc>
          <w:tcPr>
            <w:tcW w:w="36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2F164E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设备全流程语音（ASR→AI→TTS）</w:t>
            </w:r>
          </w:p>
        </w:tc>
      </w:tr>
      <w:tr w14:paraId="2007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B986A3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/api/voice/concerns/:id</w:t>
            </w:r>
          </w:p>
        </w:tc>
        <w:tc>
          <w:tcPr>
            <w:tcW w:w="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12E971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GET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3673D8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JWT</w:t>
            </w:r>
          </w:p>
        </w:tc>
        <w:tc>
          <w:tcPr>
            <w:tcW w:w="36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AB0144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AI分析患者关注点</w:t>
            </w:r>
          </w:p>
        </w:tc>
      </w:tr>
    </w:tbl>
    <w:p w14:paraId="7CFA7EEA">
      <w:pPr>
        <w:spacing w:line="300" w:lineRule="auto"/>
        <w:ind w:firstLine="480" w:firstLineChars="200"/>
      </w:pPr>
      <w:r>
        <w:rPr>
          <w:rFonts w:ascii="Times New Roman" w:hAnsi="Times New Roman" w:eastAsia="宋体"/>
          <w:sz w:val="24"/>
        </w:rPr>
        <w:t>智能提醒模块新增 /api/reminders 路由（7 个端点）：GET /:patientId 获取提醒计划列表；POST / 创建提醒；PUT /:id 编辑；DELETE /:id 删除；PUT /:id/toggle 启停；GET /logs/:patientId 获取今日日志；PUT /logs/:id/complete|skip 标记完成/跳过；GET /sse Server-Sent Events 实时推送端点（支持 ?token= JWT 认证，兼容 EventSource）；GET /today/:patientId 统计今日各状态计数。系统共计 API 端点增至 27 个。</w:t>
      </w:r>
    </w:p>
    <w:p w14:paraId="5ADB6C00">
      <w:pPr>
        <w:pStyle w:val="4"/>
        <w:autoSpaceDE w:val="0"/>
        <w:autoSpaceDN w:val="0"/>
        <w:rPr>
          <w:rFonts w:hint="eastAsia" w:ascii="黑体" w:hAnsi="黑体" w:eastAsia="黑体"/>
          <w:sz w:val="28"/>
          <w:szCs w:val="28"/>
        </w:rPr>
      </w:pPr>
      <w:bookmarkStart w:id="28" w:name="_Toc224321336"/>
      <w:r>
        <w:t>5.1.5 工业设计</w:t>
      </w:r>
      <w:bookmarkEnd w:id="28"/>
    </w:p>
    <w:p w14:paraId="2ECB207B">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硬件方面，病床底盘采用4WD TT马达驱动的标准小车平台，上方安装病床框架和电动推杆升降机构。边缘计算网关（树莓派4B）和传感器模块集成安装于病床底部的控制盒内，通过合理的线缆走线和散热设计确保长时间稳定运行。3.5寸LCD状态屏安装于床头便于患者和护理人员查看。USB麦克风和PAM8403功放喇叭安装于床头两侧，方便语音交互。</w:t>
      </w:r>
    </w:p>
    <w:p w14:paraId="41A9D86A">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后续量产方向上，可将ESP32-S3和传感器集成设计为定制PCB板，减小体积并提升可靠性；压力矩阵可升级为工业级柔性压力传感阵列，提高检测精度和耐久性；外壳材质可采用ABS工程塑料或铝合金，满足医疗级防水防尘要求。</w:t>
      </w:r>
    </w:p>
    <w:p w14:paraId="2BE02A28">
      <w:pPr>
        <w:jc w:val="center"/>
        <w:rPr>
          <w:rFonts w:hint="eastAsia"/>
        </w:rPr>
      </w:pPr>
      <w:commentRangeStart w:id="33"/>
      <w:r>
        <w:rPr>
          <w:rFonts w:ascii="Times New Roman" w:hAnsi="Times New Roman" w:eastAsia="宋体" w:cs="Times New Roman"/>
          <w:i/>
          <w:color w:val="808080"/>
          <w:sz w:val="24"/>
        </w:rPr>
        <w:t>(此处插入硬件实物图)</w:t>
      </w:r>
    </w:p>
    <w:p w14:paraId="51BE1D97">
      <w:pPr>
        <w:jc w:val="center"/>
        <w:rPr>
          <w:rFonts w:hint="eastAsia"/>
        </w:rPr>
      </w:pPr>
      <w:r>
        <w:rPr>
          <w:rFonts w:ascii="楷体" w:hAnsi="楷体" w:eastAsia="楷体" w:cs="Times New Roman"/>
          <w:b/>
          <w:sz w:val="22"/>
        </w:rPr>
        <w:t>图5.5 病床硬件实物装配与控制盒内部布局</w:t>
      </w:r>
      <w:commentRangeEnd w:id="33"/>
      <w:r>
        <w:commentReference w:id="33"/>
      </w:r>
    </w:p>
    <w:p w14:paraId="05821AA0">
      <w:pPr>
        <w:pStyle w:val="4"/>
        <w:autoSpaceDE w:val="0"/>
        <w:autoSpaceDN w:val="0"/>
        <w:rPr>
          <w:rFonts w:hint="eastAsia" w:ascii="黑体" w:hAnsi="黑体" w:eastAsia="黑体"/>
          <w:sz w:val="28"/>
          <w:szCs w:val="28"/>
        </w:rPr>
      </w:pPr>
      <w:bookmarkStart w:id="29" w:name="_Toc224321337"/>
      <w:r>
        <w:t>5.1.6 作业成本（单位：元）</w:t>
      </w:r>
      <w:bookmarkEnd w:id="29"/>
    </w:p>
    <w:p w14:paraId="6B442DC3">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核心硬件</w:t>
      </w:r>
    </w:p>
    <w:tbl>
      <w:tblPr>
        <w:tblStyle w:val="16"/>
        <w:tblW w:w="7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000"/>
        <w:gridCol w:w="1487"/>
      </w:tblGrid>
      <w:tr w14:paraId="3E1A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19C702D">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物料</w:t>
            </w:r>
          </w:p>
        </w:tc>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9883C32">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型号</w:t>
            </w:r>
          </w:p>
        </w:tc>
        <w:tc>
          <w:tcPr>
            <w:tcW w:w="1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A7A3FCD">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数量</w:t>
            </w:r>
          </w:p>
        </w:tc>
        <w:tc>
          <w:tcPr>
            <w:tcW w:w="1487"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EEE7C0F">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单价（元）</w:t>
            </w:r>
          </w:p>
        </w:tc>
      </w:tr>
      <w:tr w14:paraId="6849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71BF2D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树莓派</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640386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4B 8GB</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8C0FC3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E98D5A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350</w:t>
            </w:r>
          </w:p>
        </w:tc>
      </w:tr>
      <w:tr w14:paraId="5AD6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536480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ESP32开发板</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E76D58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S3-N16R8 (USB-C)</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FEAFF8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559A33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45</w:t>
            </w:r>
          </w:p>
        </w:tc>
      </w:tr>
      <w:tr w14:paraId="0508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DBB9D7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心率血氧传感器</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195EB0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MAX30102</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F672A5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3D1070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w:t>
            </w:r>
          </w:p>
        </w:tc>
      </w:tr>
      <w:tr w14:paraId="1AD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024922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红外测温传感器</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608595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MLX90614 GY-906</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958DAD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0CF46D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30</w:t>
            </w:r>
          </w:p>
        </w:tc>
      </w:tr>
      <w:tr w14:paraId="3448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9F04D3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六轴姿态传感器</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2CF526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MPU6050 GY-521</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69848C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B2DBA1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8</w:t>
            </w:r>
          </w:p>
        </w:tc>
      </w:tr>
      <w:tr w14:paraId="44FC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625A80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脉搏传感器</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DAB6E8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HK-2000B+</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4BD13E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4B1685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35</w:t>
            </w:r>
          </w:p>
        </w:tc>
      </w:tr>
      <w:tr w14:paraId="3B4F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8001F3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压力感应材料</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7B9BF5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Velostat 30×30cm</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BEE685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4249AB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25</w:t>
            </w:r>
          </w:p>
        </w:tc>
      </w:tr>
      <w:tr w14:paraId="0AAF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1D7B18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多路复用器</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AC2027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CD74HC4051</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FE6B16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030C98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6</w:t>
            </w:r>
          </w:p>
        </w:tc>
      </w:tr>
    </w:tbl>
    <w:p w14:paraId="044A2DE9">
      <w:pPr>
        <w:autoSpaceDE w:val="0"/>
        <w:autoSpaceDN w:val="0"/>
        <w:rPr>
          <w:rFonts w:hint="eastAsia"/>
        </w:rPr>
      </w:pPr>
    </w:p>
    <w:p w14:paraId="2CD00595">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导航与运动</w:t>
      </w:r>
    </w:p>
    <w:tbl>
      <w:tblPr>
        <w:tblStyle w:val="16"/>
        <w:tblW w:w="7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000"/>
        <w:gridCol w:w="1487"/>
      </w:tblGrid>
      <w:tr w14:paraId="7E88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372F8F9">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物料</w:t>
            </w:r>
          </w:p>
        </w:tc>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CC64C1D">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型号</w:t>
            </w:r>
          </w:p>
        </w:tc>
        <w:tc>
          <w:tcPr>
            <w:tcW w:w="1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E62BE57">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数量</w:t>
            </w:r>
          </w:p>
        </w:tc>
        <w:tc>
          <w:tcPr>
            <w:tcW w:w="1487"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D2CE639">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单价（元）</w:t>
            </w:r>
          </w:p>
        </w:tc>
      </w:tr>
      <w:tr w14:paraId="1D38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6AB381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小车底盘</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193624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4WD TT马达</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E2D55A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C3B625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60</w:t>
            </w:r>
          </w:p>
        </w:tc>
      </w:tr>
      <w:tr w14:paraId="327B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74924C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电机驱动</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15B1A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L298N双H桥</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74C2935">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FD5A72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20</w:t>
            </w:r>
          </w:p>
        </w:tc>
      </w:tr>
      <w:tr w14:paraId="5C97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ECA4EB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循迹模块</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23B23F0">
            <w:pPr>
              <w:autoSpaceDE w:val="0"/>
              <w:autoSpaceDN w:val="0"/>
              <w:jc w:val="center"/>
              <w:rPr>
                <w:rFonts w:hint="eastAsia" w:ascii="宋体" w:hAnsi="宋体" w:eastAsia="宋体"/>
                <w:sz w:val="24"/>
                <w:szCs w:val="24"/>
              </w:rPr>
            </w:pPr>
            <w:r>
              <w:rPr>
                <w:rFonts w:ascii="Times New Roman" w:hAnsi="Times New Roman" w:eastAsia="宋体"/>
                <w:sz w:val="24"/>
              </w:rPr>
              <w:t>5路TCRT5000（启用3路）</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1DE9D6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448815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w:t>
            </w:r>
          </w:p>
        </w:tc>
      </w:tr>
      <w:tr w14:paraId="401F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785A58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超声波传感器</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D2BF19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HC-SR04</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9DF83D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ED0ECF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w:t>
            </w:r>
          </w:p>
        </w:tc>
      </w:tr>
      <w:tr w14:paraId="0CA6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09F0D36">
            <w:pPr>
              <w:autoSpaceDE w:val="0"/>
              <w:autoSpaceDN w:val="0"/>
              <w:jc w:val="center"/>
              <w:rPr>
                <w:rFonts w:hint="eastAsia" w:ascii="宋体" w:hAnsi="宋体" w:eastAsia="宋体"/>
                <w:sz w:val="24"/>
                <w:szCs w:val="24"/>
              </w:rPr>
            </w:pPr>
            <w:r>
              <w:rPr>
                <w:rFonts w:ascii="Times New Roman" w:hAnsi="Times New Roman" w:eastAsia="宋体"/>
                <w:sz w:val="24"/>
              </w:rPr>
              <w:t>RFID模块+白卡（备用）</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0CA8B95">
            <w:pPr>
              <w:autoSpaceDE w:val="0"/>
              <w:autoSpaceDN w:val="0"/>
              <w:jc w:val="center"/>
              <w:rPr>
                <w:rFonts w:hint="eastAsia" w:ascii="宋体" w:hAnsi="宋体" w:eastAsia="宋体"/>
                <w:sz w:val="24"/>
                <w:szCs w:val="24"/>
              </w:rPr>
            </w:pPr>
            <w:r>
              <w:rPr>
                <w:rFonts w:ascii="Times New Roman" w:hAnsi="Times New Roman" w:eastAsia="宋体"/>
                <w:sz w:val="24"/>
              </w:rPr>
              <w:t>NearLink Hi3863锚点×3+标签</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559D17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1套</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01C5645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20</w:t>
            </w:r>
          </w:p>
        </w:tc>
      </w:tr>
      <w:tr w14:paraId="0900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CFFA25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电动推杆</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604581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12V 150mm</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FB4293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D9E326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65</w:t>
            </w:r>
          </w:p>
        </w:tc>
      </w:tr>
    </w:tbl>
    <w:p w14:paraId="63DED794">
      <w:pPr>
        <w:autoSpaceDE w:val="0"/>
        <w:autoSpaceDN w:val="0"/>
        <w:rPr>
          <w:rFonts w:hint="eastAsia"/>
        </w:rPr>
      </w:pPr>
    </w:p>
    <w:p w14:paraId="77013CAD">
      <w:pPr>
        <w:autoSpaceDE w:val="0"/>
        <w:autoSpaceDN w:val="0"/>
        <w:spacing w:line="300" w:lineRule="auto"/>
        <w:ind w:firstLine="562" w:firstLineChars="200"/>
        <w:rPr>
          <w:rFonts w:hint="eastAsia" w:ascii="黑体" w:hAnsi="黑体" w:eastAsia="黑体"/>
          <w:sz w:val="28"/>
          <w:szCs w:val="28"/>
        </w:rPr>
      </w:pPr>
      <w:r>
        <w:rPr>
          <w:rFonts w:ascii="Times New Roman" w:hAnsi="Times New Roman" w:eastAsia="宋体" w:cs="Times New Roman"/>
          <w:b/>
          <w:bCs/>
          <w:color w:val="1F4E79"/>
          <w:sz w:val="28"/>
          <w:szCs w:val="28"/>
        </w:rPr>
        <w:t>交互与显示</w:t>
      </w:r>
    </w:p>
    <w:tbl>
      <w:tblPr>
        <w:tblStyle w:val="16"/>
        <w:tblW w:w="7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000"/>
        <w:gridCol w:w="1487"/>
      </w:tblGrid>
      <w:tr w14:paraId="30C8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581B8FB">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物料</w:t>
            </w:r>
          </w:p>
        </w:tc>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CA219AC">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型号</w:t>
            </w:r>
          </w:p>
        </w:tc>
        <w:tc>
          <w:tcPr>
            <w:tcW w:w="1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1BFC6EE">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数量</w:t>
            </w:r>
          </w:p>
        </w:tc>
        <w:tc>
          <w:tcPr>
            <w:tcW w:w="1487"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53F846F">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单价（元）</w:t>
            </w:r>
          </w:p>
        </w:tc>
      </w:tr>
      <w:tr w14:paraId="1382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30B3DE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摄像头</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151702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CSI V2</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C4931D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F0A91A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30</w:t>
            </w:r>
          </w:p>
        </w:tc>
      </w:tr>
      <w:tr w14:paraId="30FA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BBC81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LCD屏</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AF8D9E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3.5寸SPI TFT</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7CD275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46A66E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45</w:t>
            </w:r>
          </w:p>
        </w:tc>
      </w:tr>
      <w:tr w14:paraId="6341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9962B0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USB麦克风</w:t>
            </w:r>
          </w:p>
        </w:tc>
        <w:tc>
          <w:tcPr>
            <w:tcW w:w="24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0FCCE2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免驱</w:t>
            </w:r>
          </w:p>
        </w:tc>
        <w:tc>
          <w:tcPr>
            <w:tcW w:w="1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D7EAE7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w:t>
            </w:r>
          </w:p>
        </w:tc>
        <w:tc>
          <w:tcPr>
            <w:tcW w:w="1487"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FF84A2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20</w:t>
            </w:r>
          </w:p>
        </w:tc>
      </w:tr>
      <w:tr w14:paraId="33D9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F0FB08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功放+喇叭</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7F3667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PAM8403 + 3W</w:t>
            </w:r>
          </w:p>
        </w:tc>
        <w:tc>
          <w:tcPr>
            <w:tcW w:w="1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FAF752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1套</w:t>
            </w:r>
          </w:p>
        </w:tc>
        <w:tc>
          <w:tcPr>
            <w:tcW w:w="1487"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92ECF7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15</w:t>
            </w:r>
          </w:p>
        </w:tc>
      </w:tr>
    </w:tbl>
    <w:p w14:paraId="3D90BF26">
      <w:pPr>
        <w:autoSpaceDE w:val="0"/>
        <w:autoSpaceDN w:val="0"/>
        <w:rPr>
          <w:rFonts w:hint="eastAsia"/>
        </w:rPr>
      </w:pPr>
    </w:p>
    <w:p w14:paraId="7501F203">
      <w:pPr>
        <w:autoSpaceDE w:val="0"/>
        <w:autoSpaceDN w:val="0"/>
        <w:spacing w:line="300" w:lineRule="auto"/>
        <w:ind w:firstLine="482" w:firstLineChars="200"/>
        <w:jc w:val="both"/>
        <w:rPr>
          <w:rFonts w:hint="eastAsia" w:ascii="宋体" w:hAnsi="宋体" w:eastAsia="宋体"/>
          <w:sz w:val="24"/>
          <w:szCs w:val="24"/>
        </w:rPr>
      </w:pPr>
      <w:r>
        <w:rPr>
          <w:rFonts w:ascii="Times New Roman" w:hAnsi="Times New Roman" w:eastAsia="宋体" w:cs="Times New Roman"/>
          <w:b/>
          <w:bCs/>
          <w:sz w:val="24"/>
          <w:szCs w:val="24"/>
        </w:rPr>
        <w:t>预估总成本：约900元（含运费及杂项线材配件）。</w:t>
      </w:r>
    </w:p>
    <w:p w14:paraId="66AE5BCB">
      <w:pPr>
        <w:pStyle w:val="4"/>
        <w:autoSpaceDE w:val="0"/>
        <w:autoSpaceDN w:val="0"/>
        <w:rPr>
          <w:rFonts w:hint="eastAsia"/>
        </w:rPr>
      </w:pPr>
      <w:bookmarkStart w:id="30" w:name="_Toc224321338"/>
      <w:r>
        <w:t>5.1.7 项目统计</w:t>
      </w:r>
      <w:bookmarkEnd w:id="30"/>
    </w:p>
    <w:tbl>
      <w:tblPr>
        <w:tblStyle w:val="1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6239"/>
      </w:tblGrid>
      <w:tr w14:paraId="2598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A045A94">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维度</w:t>
            </w:r>
          </w:p>
        </w:tc>
        <w:tc>
          <w:tcPr>
            <w:tcW w:w="6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413C5D2">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数量</w:t>
            </w:r>
          </w:p>
        </w:tc>
      </w:tr>
      <w:tr w14:paraId="4565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71D322C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后端API路由模块</w:t>
            </w:r>
          </w:p>
        </w:tc>
        <w:tc>
          <w:tcPr>
            <w:tcW w:w="6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BE904A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8个（auth/patients/vitals/reports/alerts/agents/voice/pressure）</w:t>
            </w:r>
          </w:p>
        </w:tc>
      </w:tr>
      <w:tr w14:paraId="549C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66171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数据库表</w:t>
            </w:r>
          </w:p>
        </w:tc>
        <w:tc>
          <w:tcPr>
            <w:tcW w:w="6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691DB72">
            <w:pPr>
              <w:autoSpaceDE w:val="0"/>
              <w:autoSpaceDN w:val="0"/>
              <w:jc w:val="center"/>
              <w:rPr>
                <w:rFonts w:hint="eastAsia" w:ascii="宋体" w:hAnsi="宋体" w:eastAsia="宋体"/>
                <w:sz w:val="24"/>
                <w:szCs w:val="24"/>
              </w:rPr>
            </w:pPr>
            <w:r>
              <w:rPr>
                <w:rFonts w:ascii="Times New Roman" w:hAnsi="Times New Roman" w:eastAsia="宋体"/>
                <w:sz w:val="24"/>
              </w:rPr>
              <w:t>12张 + 9个性能索引</w:t>
            </w:r>
          </w:p>
        </w:tc>
      </w:tr>
      <w:tr w14:paraId="53B6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18B76F5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前端页面</w:t>
            </w:r>
          </w:p>
        </w:tc>
        <w:tc>
          <w:tcPr>
            <w:tcW w:w="6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03671C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8个（login/index/dashboard/reports/alerts/records/voice/family）</w:t>
            </w:r>
          </w:p>
        </w:tc>
      </w:tr>
      <w:tr w14:paraId="144F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D6AAB64">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树莓派Python模块</w:t>
            </w:r>
          </w:p>
        </w:tc>
        <w:tc>
          <w:tcPr>
            <w:tcW w:w="6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03DF790">
            <w:pPr>
              <w:autoSpaceDE w:val="0"/>
              <w:autoSpaceDN w:val="0"/>
              <w:jc w:val="center"/>
              <w:rPr>
                <w:rFonts w:hint="eastAsia" w:ascii="宋体" w:hAnsi="宋体" w:eastAsia="宋体"/>
                <w:sz w:val="24"/>
                <w:szCs w:val="24"/>
              </w:rPr>
            </w:pPr>
            <w:r>
              <w:rPr>
                <w:rFonts w:ascii="Times New Roman" w:hAnsi="Times New Roman" w:eastAsia="宋体"/>
                <w:sz w:val="24"/>
              </w:rPr>
              <w:t>14个（主控/桥接/AI/导航/电机/避障/星闪定位/推杆/摄像头/LCD/语音/遥控/配置）</w:t>
            </w:r>
          </w:p>
        </w:tc>
      </w:tr>
      <w:tr w14:paraId="2415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F5D074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ESP32 C++源文件</w:t>
            </w:r>
          </w:p>
        </w:tc>
        <w:tc>
          <w:tcPr>
            <w:tcW w:w="6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EED63A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8个（主程序/MQTT/5种传感器驱动/配置）</w:t>
            </w:r>
          </w:p>
        </w:tc>
      </w:tr>
      <w:tr w14:paraId="0736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85E7F4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AI Agent配置</w:t>
            </w:r>
          </w:p>
        </w:tc>
        <w:tc>
          <w:tcPr>
            <w:tcW w:w="6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467D00">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5种专科（截瘫/糖尿病/中风/COPD/通用）</w:t>
            </w:r>
          </w:p>
        </w:tc>
      </w:tr>
      <w:tr w14:paraId="63D7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1E3C68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API接口总数</w:t>
            </w:r>
          </w:p>
        </w:tc>
        <w:tc>
          <w:tcPr>
            <w:tcW w:w="6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A43531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20+个RESTful端点</w:t>
            </w:r>
          </w:p>
        </w:tc>
      </w:tr>
      <w:tr w14:paraId="6E4D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AB346D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外部AI服务集成</w:t>
            </w:r>
          </w:p>
        </w:tc>
        <w:tc>
          <w:tcPr>
            <w:tcW w:w="6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AB0DE52">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3个（Kimi K3 / TeleSpeechASR / CosyVoice2）</w:t>
            </w:r>
          </w:p>
        </w:tc>
      </w:tr>
      <w:tr w14:paraId="720A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3EEB75CC">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传感器种类</w:t>
            </w:r>
          </w:p>
        </w:tc>
        <w:tc>
          <w:tcPr>
            <w:tcW w:w="60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A12E5E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6类（心率血氧/测温/姿态/压力矩阵/脉搏/摄像头）</w:t>
            </w:r>
          </w:p>
        </w:tc>
      </w:tr>
    </w:tbl>
    <w:p w14:paraId="22121CF2">
      <w:pPr>
        <w:autoSpaceDE w:val="0"/>
        <w:autoSpaceDN w:val="0"/>
        <w:rPr>
          <w:rFonts w:hint="eastAsia"/>
        </w:rPr>
      </w:pPr>
    </w:p>
    <w:p w14:paraId="2BED415D">
      <w:pPr>
        <w:pStyle w:val="3"/>
        <w:autoSpaceDE w:val="0"/>
        <w:autoSpaceDN w:val="0"/>
        <w:rPr>
          <w:rFonts w:hint="eastAsia"/>
        </w:rPr>
      </w:pPr>
      <w:bookmarkStart w:id="31" w:name="_Toc224321339"/>
      <w:r>
        <w:t>5.2 安全设计</w:t>
      </w:r>
      <w:bookmarkEnd w:id="31"/>
    </w:p>
    <w:p w14:paraId="47F15145">
      <w:pPr>
        <w:autoSpaceDE w:val="0"/>
        <w:autoSpaceDN w:val="0"/>
        <w:spacing w:line="300" w:lineRule="auto"/>
        <w:ind w:firstLine="480" w:firstLineChars="200"/>
        <w:jc w:val="both"/>
        <w:rPr>
          <w:rFonts w:hint="eastAsia" w:ascii="宋体" w:hAnsi="宋体" w:eastAsia="宋体"/>
          <w:sz w:val="24"/>
          <w:szCs w:val="24"/>
        </w:rPr>
      </w:pPr>
      <w:r>
        <w:rPr>
          <w:rFonts w:ascii="Times New Roman" w:hAnsi="Times New Roman" w:eastAsia="宋体" w:cs="Times New Roman"/>
          <w:sz w:val="24"/>
          <w:szCs w:val="24"/>
        </w:rPr>
        <w:t>系统在多个层面实施了安全防护措施，确保患者数据的机密性、完整性和可用性。</w:t>
      </w:r>
    </w:p>
    <w:p w14:paraId="7C9E1258">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区块链数据完整性保障</w:t>
      </w:r>
    </w:p>
    <w:p w14:paraId="5732BFCA">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系统通过轻量级区块链模块为健康数据提供不可篡改的存证保障。每个体征记录、告警事件和AI分析报告均以SHA-256摘要形式写入链式哈希结构，任何对历史数据的修改都会导致后续区块的哈希校验失败。工作量证明（PoW）机制进一步增加了伪造成本。区块链验证接口可随时审计完整数据链的一致性，为医疗纠纷提供可信的电子证据。</w:t>
      </w:r>
    </w:p>
    <w:p w14:paraId="50F4921B">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联邦学习隐私计算</w:t>
      </w:r>
    </w:p>
    <w:p w14:paraId="5195FAF6">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在多床位协作训练场景中，联邦学习模块确保原始患者数据始终不离开本地边缘设备。模型权重差值在上传前添加校准高斯噪声（差分隐私ε=2.0），即使服务器被攻破也无法从聚合梯度中反推出任何单个患者的压力分布特征。该设计符合《个人信息保护法》和HIPAA对健康数据处理的要求。</w:t>
      </w:r>
    </w:p>
    <w:p w14:paraId="01C99174">
      <w:pPr>
        <w:autoSpaceDE w:val="0"/>
        <w:autoSpaceDN w:val="0"/>
        <w:spacing w:line="300" w:lineRule="auto"/>
        <w:ind w:firstLine="562" w:firstLineChars="200"/>
        <w:rPr>
          <w:rFonts w:ascii="Times New Roman" w:hAnsi="Times New Roman" w:eastAsia="黑体" w:cs="Times New Roman"/>
          <w:b/>
          <w:bCs/>
          <w:color w:val="1F4E79"/>
          <w:sz w:val="28"/>
          <w:szCs w:val="28"/>
        </w:rPr>
      </w:pPr>
      <w:r>
        <w:rPr>
          <w:rFonts w:ascii="Times New Roman" w:hAnsi="Times New Roman" w:eastAsia="宋体" w:cs="Times New Roman"/>
          <w:b/>
          <w:bCs/>
          <w:color w:val="1F4E79"/>
          <w:sz w:val="28"/>
          <w:szCs w:val="28"/>
        </w:rPr>
        <w:t>IoTDA云端安全</w:t>
      </w:r>
    </w:p>
    <w:p w14:paraId="2CDDB9B4">
      <w:pPr>
        <w:autoSpaceDE w:val="0"/>
        <w:autoSpaceDN w:val="0"/>
        <w:spacing w:line="300" w:lineRule="auto"/>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华为云IoTDA接入采用MQTTS（TLS 1.2加密传输）和HMAC-SHA256设备密钥认证，确保设备身份不可伪造、传输数据不可窃听。IoTDA平台的设备影子和命令下发功能均经过华为云安全认证体系的审核。</w:t>
      </w:r>
    </w:p>
    <w:p w14:paraId="5129E876">
      <w:pPr>
        <w:jc w:val="center"/>
        <w:rPr>
          <w:rFonts w:hint="eastAsia"/>
        </w:rPr>
      </w:pPr>
      <w:r>
        <w:rPr>
          <w:rFonts w:ascii="Times New Roman" w:hAnsi="Times New Roman" w:eastAsia="宋体"/>
          <w:sz w:val="24"/>
        </w:rPr>
        <w:t>(此处插入安全体系架构图，含JWT + 区块链 + 联邦学习DP + IoTDA TLS四层安全)</w:t>
      </w:r>
    </w:p>
    <w:p w14:paraId="4FC7DEF1">
      <w:pPr>
        <w:jc w:val="center"/>
        <w:rPr>
          <w:rFonts w:hint="eastAsia"/>
        </w:rPr>
      </w:pPr>
      <w:commentRangeStart w:id="34"/>
      <w:r>
        <w:rPr>
          <w:rFonts w:ascii="楷体" w:hAnsi="楷体" w:eastAsia="楷体"/>
          <w:b/>
          <w:sz w:val="22"/>
        </w:rPr>
        <w:t>图6.1 多层安全体系架构（JWT/区块链/差分隐私/TLS）</w:t>
      </w:r>
    </w:p>
    <w:p w14:paraId="0FC79EA8">
      <w:pPr>
        <w:jc w:val="center"/>
        <w:rPr>
          <w:rFonts w:hint="eastAsia"/>
        </w:rPr>
      </w:pPr>
      <w:r>
        <w:rPr>
          <w:rFonts w:ascii="Times New Roman" w:hAnsi="Times New Roman" w:eastAsia="宋体" w:cs="Times New Roman"/>
          <w:i/>
          <w:color w:val="808080"/>
          <w:sz w:val="24"/>
        </w:rPr>
        <w:t>(此处插入安全架构图)</w:t>
      </w:r>
    </w:p>
    <w:p w14:paraId="781E5DA8">
      <w:pPr>
        <w:jc w:val="center"/>
        <w:rPr>
          <w:rFonts w:hint="eastAsia"/>
        </w:rPr>
      </w:pPr>
      <w:r>
        <w:rPr>
          <w:rFonts w:ascii="楷体" w:hAnsi="楷体" w:eastAsia="楷体" w:cs="Times New Roman"/>
          <w:b/>
          <w:sz w:val="22"/>
        </w:rPr>
        <w:t>图6.2 多层安全防护体系架构图</w:t>
      </w:r>
      <w:commentRangeEnd w:id="34"/>
      <w:r>
        <w:commentReference w:id="34"/>
      </w:r>
    </w:p>
    <w:p w14:paraId="3FFBF2F0">
      <w:pPr>
        <w:autoSpaceDE w:val="0"/>
        <w:autoSpaceDN w:val="0"/>
        <w:rPr>
          <w:rFonts w:hint="eastAsia"/>
        </w:rPr>
      </w:pPr>
    </w:p>
    <w:tbl>
      <w:tblPr>
        <w:tblStyle w:val="1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0F14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FA3B33C">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安全层级</w:t>
            </w:r>
          </w:p>
        </w:tc>
        <w:tc>
          <w:tcPr>
            <w:tcW w:w="65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61FDAAB">
            <w:pPr>
              <w:autoSpaceDE w:val="0"/>
              <w:autoSpaceDN w:val="0"/>
              <w:jc w:val="center"/>
              <w:rPr>
                <w:rFonts w:hint="eastAsia" w:ascii="黑体" w:hAnsi="黑体" w:eastAsia="黑体"/>
                <w:sz w:val="24"/>
                <w:szCs w:val="24"/>
              </w:rPr>
            </w:pPr>
            <w:r>
              <w:rPr>
                <w:rFonts w:ascii="Times New Roman" w:hAnsi="Times New Roman" w:eastAsia="宋体" w:cs="Times New Roman"/>
                <w:b/>
                <w:bCs/>
                <w:color w:val="FFFFFF"/>
                <w:sz w:val="24"/>
                <w:szCs w:val="24"/>
              </w:rPr>
              <w:t>具体措施</w:t>
            </w:r>
          </w:p>
        </w:tc>
      </w:tr>
      <w:tr w14:paraId="0180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241C5A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用户认证</w:t>
            </w:r>
          </w:p>
        </w:tc>
        <w:tc>
          <w:tcPr>
            <w:tcW w:w="6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048520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bcrypt密码哈希（salt rounds=10） + JWT令牌（有效期24h）</w:t>
            </w:r>
          </w:p>
        </w:tc>
      </w:tr>
      <w:tr w14:paraId="1282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8FAEBDE">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设备认证</w:t>
            </w:r>
          </w:p>
        </w:tc>
        <w:tc>
          <w:tcPr>
            <w:tcW w:w="6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D376DFB">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X-API-Key / X-Device-Key请求头验证，与用户JWT认证独立</w:t>
            </w:r>
          </w:p>
        </w:tc>
      </w:tr>
      <w:tr w14:paraId="2996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617F9D6">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权限控制</w:t>
            </w:r>
          </w:p>
        </w:tc>
        <w:tc>
          <w:tcPr>
            <w:tcW w:w="6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20D86B39">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基于角色的访问控制（RBAC），4种角色差异化权限</w:t>
            </w:r>
          </w:p>
        </w:tc>
      </w:tr>
      <w:tr w14:paraId="022E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2401F5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数据传输</w:t>
            </w:r>
          </w:p>
        </w:tc>
        <w:tc>
          <w:tcPr>
            <w:tcW w:w="6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0FF034D">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Nginx SSL终结，全站HTTPS加密</w:t>
            </w:r>
          </w:p>
        </w:tc>
      </w:tr>
      <w:tr w14:paraId="5A21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4F99FEA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数据存储</w:t>
            </w:r>
          </w:p>
        </w:tc>
        <w:tc>
          <w:tcPr>
            <w:tcW w:w="6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61CB9507">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SQLite外键约束 + CHECK约束，WAL模式防写冲突</w:t>
            </w:r>
          </w:p>
        </w:tc>
      </w:tr>
      <w:tr w14:paraId="1A2A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1E857F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文件上传</w:t>
            </w:r>
          </w:p>
        </w:tc>
        <w:tc>
          <w:tcPr>
            <w:tcW w:w="6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983A3A8">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Multer中间件限制50MB，自动清理临时文件</w:t>
            </w:r>
          </w:p>
        </w:tc>
      </w:tr>
      <w:tr w14:paraId="38B0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D27D8A3">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错误处理</w:t>
            </w:r>
          </w:p>
        </w:tc>
        <w:tc>
          <w:tcPr>
            <w:tcW w:w="6500" w:type="dxa"/>
            <w:tcBorders>
              <w:top w:val="single" w:color="B4C6E7" w:sz="0" w:space="0"/>
              <w:left w:val="single" w:color="B4C6E7" w:sz="0" w:space="0"/>
              <w:bottom w:val="single" w:color="B4C6E7" w:sz="0" w:space="0"/>
              <w:right w:val="single" w:color="B4C6E7" w:sz="0" w:space="0"/>
            </w:tcBorders>
            <w:tcMar>
              <w:top w:w="60" w:type="dxa"/>
              <w:left w:w="120" w:type="dxa"/>
              <w:bottom w:w="60" w:type="dxa"/>
              <w:right w:w="120" w:type="dxa"/>
            </w:tcMar>
            <w:vAlign w:val="center"/>
          </w:tcPr>
          <w:p w14:paraId="5CAECB0A">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全局错误中间件，统一中文错误消息格式</w:t>
            </w:r>
          </w:p>
        </w:tc>
      </w:tr>
      <w:tr w14:paraId="7723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8A135F">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进程管理</w:t>
            </w:r>
          </w:p>
        </w:tc>
        <w:tc>
          <w:tcPr>
            <w:tcW w:w="65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160751">
            <w:pPr>
              <w:autoSpaceDE w:val="0"/>
              <w:autoSpaceDN w:val="0"/>
              <w:jc w:val="center"/>
              <w:rPr>
                <w:rFonts w:hint="eastAsia" w:ascii="宋体" w:hAnsi="宋体" w:eastAsia="宋体"/>
                <w:sz w:val="24"/>
                <w:szCs w:val="24"/>
              </w:rPr>
            </w:pPr>
            <w:r>
              <w:rPr>
                <w:rFonts w:ascii="Times New Roman" w:hAnsi="Times New Roman" w:eastAsia="宋体" w:cs="Times New Roman"/>
                <w:sz w:val="24"/>
                <w:szCs w:val="24"/>
              </w:rPr>
              <w:t>PM2自动重启+日志管理，集群模式提升可用性</w:t>
            </w:r>
          </w:p>
        </w:tc>
      </w:tr>
    </w:tbl>
    <w:p w14:paraId="28DEEDFF">
      <w:pPr>
        <w:autoSpaceDE w:val="0"/>
        <w:autoSpaceDN w:val="0"/>
        <w:rPr>
          <w:rFonts w:hint="eastAsia"/>
        </w:rPr>
      </w:pPr>
    </w:p>
    <w:p w14:paraId="0B5D297B">
      <w:pPr>
        <w:pStyle w:val="2"/>
        <w:autoSpaceDE w:val="0"/>
        <w:autoSpaceDN w:val="0"/>
        <w:rPr>
          <w:rFonts w:hint="eastAsia" w:ascii="黑体" w:hAnsi="黑体" w:eastAsia="黑体"/>
        </w:rPr>
      </w:pPr>
      <w:bookmarkStart w:id="32" w:name="_Toc224321340"/>
      <w:r>
        <w:t>参考文献</w:t>
      </w:r>
      <w:bookmarkEnd w:id="32"/>
    </w:p>
    <w:p w14:paraId="100CFEFF">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[1] 国家统计局. 2024年中国人口形势分析[EB/OL]. (2025-01-17). </w:t>
      </w:r>
    </w:p>
    <w:p w14:paraId="5D9F2FA9">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[2] 民政部, 全国老龄办. 2024年度国家老龄事业发展公报[EB/OL]. (2025-07-24). </w:t>
      </w:r>
    </w:p>
    <w:p w14:paraId="3EF45AFC">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[3] 智研咨询. 2024年中国老年人口数量、人口老龄化统计及其背景下养老产业发展机遇分析[R/OL]. </w:t>
      </w:r>
    </w:p>
    <w:p w14:paraId="3F53414D">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[4] World Health Organization. China Country Assessment Report on Ageing and Health[R/OL]. </w:t>
      </w:r>
    </w:p>
    <w:p w14:paraId="77FCF2F2">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[5] 智研咨询. 2025年中国慢病管理行业政策汇总、产业链、市场规模、竞争格局分析[R/OL]. </w:t>
      </w:r>
    </w:p>
    <w:p w14:paraId="3E013529">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[6] 腾讯新闻. 中国正式进入"老年病时代"[EB/OL]. (2025-11-07). </w:t>
      </w:r>
    </w:p>
    <w:p w14:paraId="4F613A7D">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[7] 健康界. 2025政府工作报告深度解读：银发经济六大核心政策风向[EB/OL]. (2025-03-06). </w:t>
      </w:r>
    </w:p>
    <w:p w14:paraId="600DAA05">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[8] HIT专家网. 两会速览：2025《政府工作报告》涉及医疗卫生的内容[EB/OL]. (2025-03-05). </w:t>
      </w:r>
    </w:p>
    <w:p w14:paraId="07406F24">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[9] 中共中央, 国务院. 关于深化养老服务改革发展的意见[EB/OL]. 国务院公报2025年第3号. (2025-01). </w:t>
      </w:r>
    </w:p>
    <w:p w14:paraId="4DF46C14">
      <w:pPr>
        <w:spacing w:line="300" w:lineRule="auto"/>
        <w:rPr>
          <w:rFonts w:ascii="Times New Roman" w:hAnsi="Times New Roman" w:cs="Times New Roman"/>
          <w:sz w:val="24"/>
          <w:szCs w:val="24"/>
        </w:rPr>
      </w:pPr>
      <w:r>
        <w:rPr>
          <w:rFonts w:ascii="Times New Roman" w:hAnsi="Times New Roman" w:eastAsia="宋体" w:cs="Times New Roman"/>
          <w:sz w:val="21"/>
          <w:szCs w:val="24"/>
        </w:rPr>
        <w:t xml:space="preserve">[10] 国家发展和改革委员会. 抓住老龄化的时代特征 深入挖掘内需新空间[EB/OL]. (2022-06-10). </w:t>
      </w:r>
    </w:p>
    <w:p w14:paraId="351A76CB">
      <w:pPr>
        <w:spacing w:line="300" w:lineRule="auto"/>
        <w:rPr>
          <w:rFonts w:hint="eastAsia"/>
          <w:sz w:val="24"/>
          <w:szCs w:val="24"/>
        </w:rPr>
      </w:pPr>
      <w:r>
        <w:rPr>
          <w:rFonts w:ascii="Times New Roman" w:hAnsi="Times New Roman" w:eastAsia="宋体" w:cs="Times New Roman"/>
          <w:sz w:val="21"/>
          <w:szCs w:val="24"/>
        </w:rPr>
        <w:t>[11] OASIS Standard. MQTT Version 3.1.1[S/OL]. (2014-10-29). http://docs.oasis-open.org/mqtt/mqtt/v3.1.1/os/mqtt-v3.1.1-os.html</w:t>
      </w:r>
    </w:p>
    <w:p w14:paraId="534C2336">
      <w:pPr>
        <w:spacing w:line="300" w:lineRule="auto"/>
        <w:rPr>
          <w:rFonts w:hint="eastAsia"/>
          <w:sz w:val="24"/>
          <w:szCs w:val="24"/>
        </w:rPr>
      </w:pPr>
      <w:r>
        <w:rPr>
          <w:rFonts w:ascii="Times New Roman" w:hAnsi="Times New Roman" w:eastAsia="宋体" w:cs="Times New Roman"/>
          <w:sz w:val="21"/>
          <w:szCs w:val="24"/>
        </w:rPr>
        <w:t>[12] Tilkov S, Vinoski S. Node.js: Using JavaScript to Build High-Performance Network Programs[J]. IEEE Internet Computing, 2010, 14(6): 80-83.</w:t>
      </w:r>
    </w:p>
    <w:p w14:paraId="2AEFA3D0">
      <w:pPr>
        <w:spacing w:line="300" w:lineRule="auto"/>
        <w:rPr>
          <w:rFonts w:hint="eastAsia"/>
          <w:sz w:val="24"/>
          <w:szCs w:val="24"/>
        </w:rPr>
      </w:pPr>
      <w:r>
        <w:rPr>
          <w:rFonts w:ascii="Times New Roman" w:hAnsi="Times New Roman" w:eastAsia="宋体" w:cs="Times New Roman"/>
          <w:sz w:val="21"/>
          <w:szCs w:val="24"/>
        </w:rPr>
        <w:t>[13] Hipp R D. SQLite: Past, Present, and Future[J]. Proceedings of the VLDB Endowment, 2022, 15(12): 3535-3547.</w:t>
      </w:r>
    </w:p>
    <w:p w14:paraId="466C2A32">
      <w:pPr>
        <w:spacing w:line="300" w:lineRule="auto"/>
        <w:rPr>
          <w:rFonts w:hint="eastAsia"/>
          <w:sz w:val="24"/>
          <w:szCs w:val="24"/>
        </w:rPr>
      </w:pPr>
      <w:r>
        <w:rPr>
          <w:rFonts w:ascii="Times New Roman" w:hAnsi="Times New Roman" w:eastAsia="宋体" w:cs="Times New Roman"/>
          <w:sz w:val="21"/>
          <w:szCs w:val="24"/>
        </w:rPr>
        <w:t>[14] LeCun Y, Bengio Y, Hinton G. Deep Learning[J]. Nature, 2015, 521(7553): 436-444.</w:t>
      </w:r>
    </w:p>
    <w:p w14:paraId="3E9B8C84">
      <w:pPr>
        <w:spacing w:line="300" w:lineRule="auto"/>
        <w:rPr>
          <w:rFonts w:hint="eastAsia"/>
          <w:sz w:val="24"/>
          <w:szCs w:val="24"/>
        </w:rPr>
      </w:pPr>
      <w:r>
        <w:rPr>
          <w:rFonts w:ascii="Times New Roman" w:hAnsi="Times New Roman" w:eastAsia="宋体" w:cs="Times New Roman"/>
          <w:sz w:val="21"/>
          <w:szCs w:val="24"/>
        </w:rPr>
        <w:t>[15] Shi W, Cao J, Zhang Q, et al. Edge Computing: Vision and Challenges[J]. IEEE Internet of Things Journal, 2016, 3(5): 637-646.</w:t>
      </w:r>
    </w:p>
    <w:p w14:paraId="706A8150">
      <w:pPr>
        <w:spacing w:line="300" w:lineRule="auto"/>
        <w:rPr>
          <w:rFonts w:hint="eastAsia"/>
          <w:sz w:val="24"/>
          <w:szCs w:val="24"/>
        </w:rPr>
      </w:pPr>
      <w:r>
        <w:rPr>
          <w:rFonts w:ascii="Times New Roman" w:hAnsi="Times New Roman" w:eastAsia="宋体" w:cs="Times New Roman"/>
          <w:sz w:val="21"/>
          <w:szCs w:val="24"/>
        </w:rPr>
        <w:t>[16] Zhao W X, Zhou K, Li J, et al. A Survey of Large Language Models[J]. arXiv preprint arXiv:2303.18223, 2023.</w:t>
      </w:r>
    </w:p>
    <w:p w14:paraId="40EFC057">
      <w:pPr>
        <w:spacing w:line="300" w:lineRule="auto"/>
        <w:rPr>
          <w:rFonts w:hint="eastAsia"/>
          <w:sz w:val="24"/>
          <w:szCs w:val="24"/>
        </w:rPr>
      </w:pPr>
      <w:r>
        <w:rPr>
          <w:rFonts w:ascii="Times New Roman" w:hAnsi="Times New Roman" w:eastAsia="宋体" w:cs="Times New Roman"/>
          <w:sz w:val="21"/>
          <w:szCs w:val="24"/>
        </w:rPr>
        <w:t>[17] Islam S M R, Kwak D, Kabir M H, et al. The Internet of Things for Health Care: A Comprehensive Survey[J]. IEEE Access, 2015, 3: 678-708.</w:t>
      </w:r>
    </w:p>
    <w:p w14:paraId="48B2A132">
      <w:pPr>
        <w:spacing w:line="300" w:lineRule="auto"/>
        <w:rPr>
          <w:rFonts w:hint="eastAsia"/>
          <w:sz w:val="24"/>
          <w:szCs w:val="24"/>
        </w:rPr>
      </w:pPr>
      <w:r>
        <w:rPr>
          <w:rFonts w:ascii="Times New Roman" w:hAnsi="Times New Roman" w:eastAsia="宋体" w:cs="Times New Roman"/>
          <w:sz w:val="21"/>
          <w:szCs w:val="24"/>
        </w:rPr>
        <w:t>[18] Yao W, Chu C H, Li Z. The Use of RFID in Healthcare: Benefits and Barriers[C]. 2010 IEEE International Conference on RFID-Technology and Applications, 2010: 128-134.</w:t>
      </w:r>
    </w:p>
    <w:p w14:paraId="07DEE1F8">
      <w:pPr>
        <w:spacing w:line="300" w:lineRule="auto"/>
        <w:rPr>
          <w:rFonts w:hint="eastAsia"/>
          <w:sz w:val="24"/>
          <w:szCs w:val="24"/>
        </w:rPr>
      </w:pPr>
      <w:r>
        <w:rPr>
          <w:rFonts w:ascii="Times New Roman" w:hAnsi="Times New Roman" w:eastAsia="宋体" w:cs="Times New Roman"/>
          <w:sz w:val="21"/>
          <w:szCs w:val="24"/>
        </w:rPr>
        <w:t>[19] Astrom K J, Hagglund T. PID Controllers: Theory, Design, and Tuning[M]. 2nd ed. Research Triangle Park: ISA, 1995.</w:t>
      </w:r>
    </w:p>
    <w:p w14:paraId="0C8FA2AA">
      <w:pPr>
        <w:spacing w:line="300" w:lineRule="auto"/>
        <w:rPr>
          <w:rFonts w:hint="eastAsia"/>
          <w:sz w:val="24"/>
          <w:szCs w:val="24"/>
        </w:rPr>
      </w:pPr>
      <w:r>
        <w:rPr>
          <w:rFonts w:ascii="Times New Roman" w:hAnsi="Times New Roman" w:eastAsia="宋体" w:cs="Times New Roman"/>
          <w:sz w:val="21"/>
          <w:szCs w:val="24"/>
        </w:rPr>
        <w:t>[20] Maxim Integrated. MAX30102 High-Sensitivity Pulse Oximeter and Heart-Rate Sensor for Wearable Health[DS/OL]. https://datasheets.maximintegrated.com/en/ds/MAX30102.pdf</w:t>
      </w:r>
    </w:p>
    <w:p w14:paraId="7D6016BE">
      <w:pPr>
        <w:spacing w:line="300" w:lineRule="auto"/>
        <w:rPr>
          <w:rFonts w:hint="eastAsia"/>
          <w:sz w:val="24"/>
          <w:szCs w:val="24"/>
        </w:rPr>
      </w:pPr>
      <w:r>
        <w:rPr>
          <w:rFonts w:ascii="Times New Roman" w:hAnsi="Times New Roman" w:eastAsia="宋体" w:cs="Times New Roman"/>
          <w:sz w:val="21"/>
          <w:szCs w:val="24"/>
        </w:rPr>
        <w:t>[21] Melexis. MLX90614 Digital Non-Contact Infrared Thermometer[DS/OL]. https://www.melexis.com/en/product/MLX90614/</w:t>
      </w:r>
    </w:p>
    <w:p w14:paraId="6A555FB2">
      <w:pPr>
        <w:spacing w:line="300" w:lineRule="auto"/>
        <w:rPr>
          <w:rFonts w:hint="eastAsia"/>
          <w:sz w:val="24"/>
          <w:szCs w:val="24"/>
        </w:rPr>
      </w:pPr>
      <w:r>
        <w:rPr>
          <w:rFonts w:ascii="Times New Roman" w:hAnsi="Times New Roman" w:eastAsia="宋体" w:cs="Times New Roman"/>
          <w:sz w:val="21"/>
          <w:szCs w:val="24"/>
        </w:rPr>
        <w:t>[22] InvenSense. MPU-6050 Six-Axis MEMS MotionTracking Device[DS/OL]. https://invensense.tdk.com/products/motion-tracking/6-axis/mpu-6050/</w:t>
      </w:r>
    </w:p>
    <w:p w14:paraId="6845266C">
      <w:pPr>
        <w:spacing w:line="300" w:lineRule="auto"/>
        <w:rPr>
          <w:rFonts w:hint="eastAsia"/>
          <w:sz w:val="24"/>
          <w:szCs w:val="24"/>
        </w:rPr>
      </w:pPr>
      <w:r>
        <w:rPr>
          <w:rFonts w:ascii="Times New Roman" w:hAnsi="Times New Roman" w:eastAsia="宋体" w:cs="Times New Roman"/>
          <w:sz w:val="21"/>
          <w:szCs w:val="24"/>
        </w:rPr>
        <w:t>[23] Paredes-Madrid L, Matute A, et al. Underlying Physics of Conductive Polymer Composites and Force Sensing Resistors (FSRs)[J]. Materials, 2017, 10(11): 1334.</w:t>
      </w:r>
    </w:p>
    <w:p w14:paraId="3FDFF99E">
      <w:pPr>
        <w:spacing w:line="300" w:lineRule="auto"/>
        <w:rPr>
          <w:rFonts w:hint="eastAsia"/>
          <w:sz w:val="24"/>
          <w:szCs w:val="24"/>
        </w:rPr>
      </w:pPr>
      <w:r>
        <w:rPr>
          <w:rFonts w:ascii="Times New Roman" w:hAnsi="Times New Roman" w:eastAsia="宋体" w:cs="Times New Roman"/>
          <w:sz w:val="21"/>
          <w:szCs w:val="24"/>
        </w:rPr>
        <w:t>[24] Jones M, Bradley J, Sakimura N. JSON Web Token (JWT)[S/OL]. IETF RFC 7519. (2015-05). https://tools.ietf.org/html/rfc7519</w:t>
      </w:r>
    </w:p>
    <w:p w14:paraId="0E77E9F5">
      <w:pPr>
        <w:spacing w:line="300" w:lineRule="auto"/>
        <w:rPr>
          <w:rFonts w:hint="eastAsia"/>
          <w:sz w:val="24"/>
          <w:szCs w:val="24"/>
        </w:rPr>
      </w:pPr>
      <w:r>
        <w:rPr>
          <w:rFonts w:ascii="Times New Roman" w:hAnsi="Times New Roman" w:eastAsia="宋体" w:cs="Times New Roman"/>
          <w:sz w:val="21"/>
          <w:szCs w:val="24"/>
        </w:rPr>
        <w:t>[25] Yu D, Deng L. Automatic Speech Recognition: A Deep Learning Approach[M]. London: Springer, 2015.</w:t>
      </w:r>
    </w:p>
    <w:p w14:paraId="29572164">
      <w:pPr>
        <w:spacing w:line="300" w:lineRule="auto"/>
        <w:rPr>
          <w:rFonts w:hint="eastAsia"/>
          <w:sz w:val="24"/>
          <w:szCs w:val="24"/>
        </w:rPr>
      </w:pPr>
      <w:r>
        <w:rPr>
          <w:rFonts w:ascii="Times New Roman" w:hAnsi="Times New Roman" w:eastAsia="宋体" w:cs="Times New Roman"/>
          <w:sz w:val="21"/>
          <w:szCs w:val="24"/>
        </w:rPr>
        <w:t>[26] Tan X, Qin T, Soong F, et al. A Survey on Neural Speech Synthesis[J]. arXiv preprint arXiv:2106.15561, 2021.</w:t>
      </w:r>
    </w:p>
    <w:p w14:paraId="0EA8B473">
      <w:pPr>
        <w:spacing w:line="300" w:lineRule="auto"/>
        <w:rPr>
          <w:rFonts w:hint="eastAsia"/>
          <w:sz w:val="24"/>
          <w:szCs w:val="24"/>
        </w:rPr>
      </w:pPr>
      <w:r>
        <w:rPr>
          <w:rFonts w:ascii="Times New Roman" w:hAnsi="Times New Roman" w:eastAsia="宋体" w:cs="Times New Roman"/>
          <w:sz w:val="21"/>
          <w:szCs w:val="24"/>
        </w:rPr>
        <w:t>[27] Johnston S J, Scott S J R. Raspberry Pi 4 as a Platform for Edge Computing in IoT Applications[J]. Electronics, 2019, 8(9): 1045.</w:t>
      </w:r>
    </w:p>
    <w:p w14:paraId="791F5F50">
      <w:pPr>
        <w:spacing w:line="300" w:lineRule="auto"/>
        <w:rPr>
          <w:rFonts w:hint="eastAsia"/>
          <w:sz w:val="24"/>
          <w:szCs w:val="24"/>
        </w:rPr>
      </w:pPr>
      <w:r>
        <w:rPr>
          <w:rFonts w:ascii="Times New Roman" w:hAnsi="Times New Roman" w:eastAsia="宋体" w:cs="Times New Roman"/>
          <w:sz w:val="21"/>
          <w:szCs w:val="24"/>
        </w:rPr>
        <w:t>[28] Espressif Systems. ESP32-S3 Series Datasheet[DS/OL]. Version 1.4. https://www.espressif.com/documentation/esp32-s3_datasheet_en.pdf</w:t>
      </w:r>
    </w:p>
    <w:p w14:paraId="43988177">
      <w:pPr>
        <w:spacing w:line="300" w:lineRule="auto"/>
        <w:rPr>
          <w:rFonts w:hint="eastAsia"/>
          <w:sz w:val="24"/>
          <w:szCs w:val="24"/>
        </w:rPr>
      </w:pPr>
      <w:r>
        <w:rPr>
          <w:rFonts w:ascii="Times New Roman" w:hAnsi="Times New Roman" w:eastAsia="宋体" w:cs="Times New Roman"/>
          <w:sz w:val="21"/>
          <w:szCs w:val="24"/>
        </w:rPr>
        <w:t>[29] Bostock M, Ogievetsky V, Heer J. D3: Data-Driven Documents[J]. IEEE Trans. Visualization and Computer Graphics, 2011, 17(12): 2301-2309.</w:t>
      </w:r>
    </w:p>
    <w:p w14:paraId="4CAB8061">
      <w:pPr>
        <w:spacing w:line="300" w:lineRule="auto"/>
        <w:rPr>
          <w:rFonts w:hint="eastAsia"/>
          <w:sz w:val="24"/>
          <w:szCs w:val="24"/>
        </w:rPr>
      </w:pPr>
      <w:r>
        <w:rPr>
          <w:rFonts w:ascii="Times New Roman" w:hAnsi="Times New Roman" w:eastAsia="宋体" w:cs="Times New Roman"/>
          <w:sz w:val="21"/>
          <w:szCs w:val="24"/>
        </w:rPr>
        <w:t>[30] Reese W. Nginx: The High-Performance Web Server and Reverse Proxy[J]. Linux Journal, 2008, 2008(173): 2.</w:t>
      </w:r>
    </w:p>
    <w:p w14:paraId="41C0A8DB">
      <w:pPr>
        <w:spacing w:line="300" w:lineRule="auto"/>
        <w:rPr>
          <w:rFonts w:ascii="Times New Roman" w:hAnsi="Times New Roman" w:cs="Times New Roman"/>
          <w:sz w:val="24"/>
          <w:szCs w:val="24"/>
        </w:rPr>
      </w:pPr>
      <w:r>
        <w:rPr>
          <w:rFonts w:ascii="Times New Roman" w:hAnsi="Times New Roman" w:eastAsia="宋体" w:cs="Times New Roman"/>
          <w:sz w:val="21"/>
          <w:szCs w:val="24"/>
        </w:rPr>
        <w:t>[31] Howard A, Sandler M, Chen B, et al. Searching for MobileNetV3[C]. Proceedings of the IEEE/CVF International Conference on Computer Vision (ICCV), 2019: 1314-1324.</w:t>
      </w:r>
    </w:p>
    <w:p w14:paraId="171AA337">
      <w:pPr>
        <w:spacing w:line="300" w:lineRule="auto"/>
        <w:rPr>
          <w:rFonts w:ascii="Times New Roman" w:hAnsi="Times New Roman" w:cs="Times New Roman"/>
          <w:sz w:val="24"/>
          <w:szCs w:val="24"/>
        </w:rPr>
      </w:pPr>
      <w:r>
        <w:rPr>
          <w:rFonts w:ascii="Times New Roman" w:hAnsi="Times New Roman" w:eastAsia="宋体" w:cs="Times New Roman"/>
          <w:sz w:val="21"/>
          <w:szCs w:val="24"/>
        </w:rPr>
        <w:t>[32] Hu J, Shen L, Sun G. Squeeze-and-Excitation Networks[C]. Proceedings of the IEEE Conference on Computer Vision and Pattern Recognition (CVPR), 2018: 7132-7141.</w:t>
      </w:r>
    </w:p>
    <w:p w14:paraId="73F43DA8">
      <w:pPr>
        <w:spacing w:line="300" w:lineRule="auto"/>
        <w:rPr>
          <w:rFonts w:ascii="Times New Roman" w:hAnsi="Times New Roman" w:cs="Times New Roman"/>
          <w:sz w:val="24"/>
          <w:szCs w:val="24"/>
        </w:rPr>
      </w:pPr>
      <w:r>
        <w:rPr>
          <w:rFonts w:ascii="Times New Roman" w:hAnsi="Times New Roman" w:eastAsia="宋体" w:cs="Times New Roman"/>
          <w:sz w:val="21"/>
          <w:szCs w:val="24"/>
        </w:rPr>
        <w:t>[33] Loshchilov I, Hutter F. SGDR: Stochastic Gradient Descent with Warm Restarts[C]. International Conference on Learning Representations (ICLR), 2017.</w:t>
      </w:r>
    </w:p>
    <w:p w14:paraId="7BEE5D93">
      <w:pPr>
        <w:spacing w:line="300" w:lineRule="auto"/>
        <w:rPr>
          <w:rFonts w:ascii="Times New Roman" w:hAnsi="Times New Roman" w:cs="Times New Roman"/>
          <w:sz w:val="24"/>
          <w:szCs w:val="24"/>
        </w:rPr>
      </w:pPr>
      <w:r>
        <w:rPr>
          <w:rFonts w:ascii="Times New Roman" w:hAnsi="Times New Roman" w:eastAsia="宋体" w:cs="Times New Roman"/>
          <w:sz w:val="21"/>
          <w:szCs w:val="24"/>
        </w:rPr>
        <w:t>[34] ONNX Runtime Team. ONNX Runtime: Cross-platform, High Performance ML Inferencing and Training Accelerator[EB/OL]. https://onnxruntime.ai/. (2024).</w:t>
      </w:r>
    </w:p>
    <w:p w14:paraId="0288C0E0">
      <w:pPr>
        <w:spacing w:line="300" w:lineRule="auto"/>
        <w:rPr>
          <w:rFonts w:ascii="Times New Roman" w:hAnsi="Times New Roman" w:cs="Times New Roman"/>
          <w:sz w:val="24"/>
          <w:szCs w:val="24"/>
        </w:rPr>
      </w:pPr>
      <w:r>
        <w:rPr>
          <w:rFonts w:ascii="Times New Roman" w:hAnsi="Times New Roman" w:eastAsia="宋体"/>
          <w:sz w:val="21"/>
        </w:rPr>
        <w:t>[35] 涂鸦智能. TuyaLink设备接入协议与物模型开发指南[EB/OL]. https://developer.tuya.com, 2025.</w:t>
      </w:r>
    </w:p>
    <w:p w14:paraId="535BF737">
      <w:pPr>
        <w:spacing w:line="300" w:lineRule="auto"/>
        <w:rPr>
          <w:rFonts w:ascii="Times New Roman" w:hAnsi="Times New Roman" w:cs="Times New Roman"/>
          <w:sz w:val="24"/>
          <w:szCs w:val="24"/>
        </w:rPr>
      </w:pPr>
      <w:r>
        <w:rPr>
          <w:rFonts w:ascii="Times New Roman" w:hAnsi="Times New Roman" w:eastAsia="宋体" w:cs="Times New Roman"/>
          <w:sz w:val="21"/>
          <w:szCs w:val="24"/>
        </w:rPr>
        <w:t>[36] Krawczyk H, Bellare M, Canetti R. HMAC: Keyed-Hashing for Message Authentication[S/OL]. IETF RFC 2104. (1997-02). https://tools.ietf.org/html/rfc2104.</w:t>
      </w:r>
    </w:p>
    <w:p w14:paraId="0A27C869">
      <w:pPr>
        <w:spacing w:line="300" w:lineRule="auto"/>
        <w:rPr>
          <w:rFonts w:ascii="Times New Roman" w:hAnsi="Times New Roman" w:cs="Times New Roman"/>
          <w:sz w:val="24"/>
          <w:szCs w:val="24"/>
        </w:rPr>
      </w:pPr>
      <w:r>
        <w:rPr>
          <w:rFonts w:ascii="Times New Roman" w:hAnsi="Times New Roman" w:eastAsia="宋体" w:cs="Times New Roman"/>
          <w:sz w:val="21"/>
          <w:szCs w:val="24"/>
        </w:rPr>
        <w:t>[37] Shafer G. A Mathematical Theory of Evidence[M]. Princeton: Princeton University Press, 1976.</w:t>
      </w:r>
    </w:p>
    <w:p w14:paraId="33401CF1">
      <w:pPr>
        <w:spacing w:line="300" w:lineRule="auto"/>
        <w:rPr>
          <w:rFonts w:ascii="Times New Roman" w:hAnsi="Times New Roman" w:cs="Times New Roman"/>
          <w:sz w:val="24"/>
          <w:szCs w:val="24"/>
        </w:rPr>
      </w:pPr>
      <w:r>
        <w:rPr>
          <w:rFonts w:ascii="Times New Roman" w:hAnsi="Times New Roman" w:eastAsia="宋体" w:cs="Times New Roman"/>
          <w:sz w:val="21"/>
          <w:szCs w:val="24"/>
        </w:rPr>
        <w:t>[38] Lugaresi C, Tang J, Nash H, et al. MediaPipe: A Framework for Building Perception Pipelines[J]. arXiv preprint arXiv:1906.08172, 2019.</w:t>
      </w:r>
    </w:p>
    <w:p w14:paraId="3DA31740">
      <w:pPr>
        <w:spacing w:line="300" w:lineRule="auto"/>
        <w:rPr>
          <w:rFonts w:ascii="Times New Roman" w:hAnsi="Times New Roman" w:cs="Times New Roman"/>
          <w:sz w:val="24"/>
          <w:szCs w:val="24"/>
        </w:rPr>
      </w:pPr>
      <w:r>
        <w:rPr>
          <w:rFonts w:ascii="Times New Roman" w:hAnsi="Times New Roman" w:eastAsia="宋体" w:cs="Times New Roman"/>
          <w:sz w:val="21"/>
          <w:szCs w:val="24"/>
        </w:rPr>
        <w:t>[39] Holzinger A. Interactive Machine Learning for Health Informatics: When Do We Need the Human-in-the-Loop?[J]. Brain Informatics, 2016, 3(2): 119-131.</w:t>
      </w:r>
    </w:p>
    <w:p w14:paraId="34BFD9F4">
      <w:pPr>
        <w:spacing w:line="300" w:lineRule="auto"/>
        <w:rPr>
          <w:rFonts w:ascii="Times New Roman" w:hAnsi="Times New Roman" w:cs="Times New Roman"/>
          <w:sz w:val="24"/>
          <w:szCs w:val="24"/>
        </w:rPr>
      </w:pPr>
      <w:r>
        <w:rPr>
          <w:rFonts w:ascii="Times New Roman" w:hAnsi="Times New Roman" w:eastAsia="宋体" w:cs="Times New Roman"/>
          <w:sz w:val="21"/>
          <w:szCs w:val="24"/>
        </w:rPr>
        <w:t>[40] Cabello R. Three.js: JavaScript 3D Library[EB/OL]. https://threejs.org/. (2024).</w:t>
      </w:r>
    </w:p>
    <w:p w14:paraId="3F19281A">
      <w:pPr>
        <w:spacing w:line="300" w:lineRule="auto"/>
        <w:rPr>
          <w:rFonts w:ascii="Times New Roman" w:hAnsi="Times New Roman" w:cs="Times New Roman"/>
          <w:sz w:val="24"/>
          <w:szCs w:val="24"/>
        </w:rPr>
      </w:pPr>
      <w:r>
        <w:rPr>
          <w:rFonts w:ascii="Times New Roman" w:hAnsi="Times New Roman" w:eastAsia="宋体" w:cs="Times New Roman"/>
          <w:sz w:val="21"/>
          <w:szCs w:val="24"/>
        </w:rPr>
        <w:t>[41] Grieves M, Vickers J. Digital Twin: Mitigating Unpredictable, Undesirable Emergent Behavior in Complex Systems[M]. Transdisciplinary Perspectives on Complex Systems. Springer, 2017: 85-113.</w:t>
      </w:r>
    </w:p>
    <w:p w14:paraId="43244BB5">
      <w:pPr>
        <w:spacing w:line="300" w:lineRule="auto"/>
        <w:rPr>
          <w:rFonts w:ascii="Times New Roman" w:hAnsi="Times New Roman" w:cs="Times New Roman"/>
          <w:sz w:val="24"/>
          <w:szCs w:val="24"/>
        </w:rPr>
      </w:pPr>
      <w:r>
        <w:rPr>
          <w:rFonts w:ascii="Times New Roman" w:hAnsi="Times New Roman" w:eastAsia="宋体" w:cs="Times New Roman"/>
          <w:sz w:val="21"/>
          <w:szCs w:val="24"/>
        </w:rPr>
        <w:t>[42] McMahan H B, Moore E, Ramage D, et al. Communication-Efficient Learning of Deep Networks from Decentralized Data[C]. Proceedings of the 20th International Conference on Artificial Intelligence and Statistics (AISTATS), 2017: 1273-1282.</w:t>
      </w:r>
    </w:p>
    <w:p w14:paraId="6279258F">
      <w:pPr>
        <w:spacing w:line="300" w:lineRule="auto"/>
        <w:rPr>
          <w:rFonts w:ascii="Times New Roman" w:hAnsi="Times New Roman" w:cs="Times New Roman"/>
          <w:sz w:val="24"/>
          <w:szCs w:val="24"/>
        </w:rPr>
      </w:pPr>
      <w:r>
        <w:rPr>
          <w:rFonts w:ascii="Times New Roman" w:hAnsi="Times New Roman" w:eastAsia="宋体" w:cs="Times New Roman"/>
          <w:sz w:val="21"/>
          <w:szCs w:val="24"/>
        </w:rPr>
        <w:t>[43] Dwork C, Roth A. The Algorithmic Foundations of Differential Privacy[J]. Foundations and Trends in Theoretical Computer Science, 2014, 9(3-4): 211-407.</w:t>
      </w:r>
    </w:p>
    <w:p w14:paraId="5CA2D1BD">
      <w:pPr>
        <w:spacing w:line="300" w:lineRule="auto"/>
        <w:rPr>
          <w:rFonts w:ascii="Times New Roman" w:hAnsi="Times New Roman" w:cs="Times New Roman"/>
          <w:sz w:val="24"/>
          <w:szCs w:val="24"/>
        </w:rPr>
      </w:pPr>
      <w:r>
        <w:rPr>
          <w:rFonts w:ascii="Times New Roman" w:hAnsi="Times New Roman" w:eastAsia="宋体" w:cs="Times New Roman"/>
          <w:sz w:val="21"/>
          <w:szCs w:val="24"/>
        </w:rPr>
        <w:t>[44] Nakamoto S. Bitcoin: A Peer-to-Peer Electronic Cash System[EB/OL]. https://bitcoin.org/bitcoin.pdf. (2008).</w:t>
      </w:r>
    </w:p>
    <w:p w14:paraId="6D5523FD">
      <w:pPr>
        <w:spacing w:line="300" w:lineRule="auto"/>
        <w:rPr>
          <w:rFonts w:ascii="Times New Roman" w:hAnsi="Times New Roman" w:cs="Times New Roman"/>
          <w:sz w:val="24"/>
          <w:szCs w:val="24"/>
        </w:rPr>
      </w:pPr>
      <w:r>
        <w:rPr>
          <w:rFonts w:ascii="Times New Roman" w:hAnsi="Times New Roman" w:eastAsia="宋体" w:cs="Times New Roman"/>
          <w:sz w:val="21"/>
          <w:szCs w:val="24"/>
        </w:rPr>
        <w:t>[45] Kuo T T, Kim H E, Ohno-Machado L. Blockchain Distributed Ledger Technologies for Biomedical and Health Care Applications[J]. Journal of the American Medical Informatics Association, 2017, 24(6): 1211-1220.</w:t>
      </w:r>
    </w:p>
    <w:p w14:paraId="76528310">
      <w:pPr>
        <w:spacing w:line="300" w:lineRule="auto"/>
        <w:rPr>
          <w:rFonts w:ascii="Times New Roman" w:hAnsi="Times New Roman" w:cs="Times New Roman"/>
          <w:sz w:val="24"/>
          <w:szCs w:val="24"/>
        </w:rPr>
      </w:pPr>
      <w:r>
        <w:rPr>
          <w:rFonts w:ascii="Times New Roman" w:hAnsi="Times New Roman" w:eastAsia="宋体" w:cs="Times New Roman"/>
          <w:sz w:val="21"/>
          <w:szCs w:val="24"/>
        </w:rPr>
        <w:t>[46] Schuller B W. Speech Emotion Recognition: Two Decades in a Nutshell, Benchmarks, and Ongoing Trends[J]. Communications of the ACM, 2018, 61(5): 90-99.</w:t>
      </w:r>
    </w:p>
    <w:p w14:paraId="567AFB37">
      <w:pPr>
        <w:spacing w:line="300" w:lineRule="auto"/>
        <w:rPr>
          <w:rFonts w:ascii="Times New Roman" w:hAnsi="Times New Roman" w:cs="Times New Roman"/>
          <w:sz w:val="24"/>
          <w:szCs w:val="24"/>
        </w:rPr>
      </w:pPr>
      <w:r>
        <w:rPr>
          <w:rFonts w:ascii="Times New Roman" w:hAnsi="Times New Roman" w:eastAsia="宋体" w:cs="Times New Roman"/>
          <w:sz w:val="21"/>
          <w:szCs w:val="24"/>
        </w:rPr>
        <w:t>[47] Picard R W. Affective Computing[M]. Cambridge: MIT Press, 1997.</w:t>
      </w:r>
    </w:p>
    <w:p w14:paraId="6A68F462">
      <w:pPr>
        <w:rPr>
          <w:rFonts w:ascii="Times New Roman" w:hAnsi="Times New Roman" w:cs="Times New Roman"/>
          <w:sz w:val="24"/>
          <w:szCs w:val="24"/>
        </w:rPr>
      </w:pPr>
    </w:p>
    <w:sectPr>
      <w:headerReference r:id="rId7" w:type="default"/>
      <w:footerReference r:id="rId8" w:type="default"/>
      <w:pgSz w:w="11906" w:h="16838"/>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6698816" w:date="2026-07-19T15:49:36Z" w:initials="">
    <w:p w14:paraId="3F3FCC6B">
      <w:pPr>
        <w:pStyle w:val="8"/>
        <w:rPr>
          <w:rFonts w:hint="default" w:eastAsia="微软雅黑"/>
          <w:lang w:val="en-US" w:eastAsia="zh-CN"/>
        </w:rPr>
      </w:pPr>
      <w:r>
        <w:rPr>
          <w:rFonts w:hint="eastAsia"/>
          <w:lang w:val="en-US" w:eastAsia="zh-CN"/>
        </w:rPr>
        <w:t>赵元见，科研风格</w:t>
      </w:r>
    </w:p>
  </w:comment>
  <w:comment w:id="1" w:author="WPS_1776698816" w:date="2026-07-19T15:50:03Z" w:initials="">
    <w:p w14:paraId="49C7E997">
      <w:pPr>
        <w:pStyle w:val="8"/>
        <w:rPr>
          <w:rFonts w:hint="default" w:eastAsia="微软雅黑"/>
          <w:lang w:val="en-US" w:eastAsia="zh-CN"/>
        </w:rPr>
      </w:pPr>
      <w:r>
        <w:rPr>
          <w:rFonts w:hint="eastAsia"/>
          <w:lang w:val="en-US" w:eastAsia="zh-CN"/>
        </w:rPr>
        <w:t>李隆豪，搜索，应该有图，如果没有的话应该很容易画</w:t>
      </w:r>
    </w:p>
  </w:comment>
  <w:comment w:id="2" w:author="WPS_1776698816" w:date="2026-07-19T15:50:42Z" w:initials="">
    <w:p w14:paraId="47976929">
      <w:pPr>
        <w:pStyle w:val="8"/>
        <w:rPr>
          <w:rFonts w:hint="default" w:eastAsia="微软雅黑"/>
          <w:lang w:val="en-US" w:eastAsia="zh-CN"/>
        </w:rPr>
      </w:pPr>
      <w:r>
        <w:rPr>
          <w:rFonts w:hint="eastAsia"/>
          <w:lang w:val="en-US" w:eastAsia="zh-CN"/>
        </w:rPr>
        <w:t>赵元见+王远航，这个看到硬件会好画一点</w:t>
      </w:r>
    </w:p>
  </w:comment>
  <w:comment w:id="3" w:author="WPS_1776698816" w:date="2026-07-19T15:51:23Z" w:initials="">
    <w:p w14:paraId="2389E15B">
      <w:pPr>
        <w:pStyle w:val="8"/>
        <w:rPr>
          <w:rFonts w:hint="default" w:eastAsia="微软雅黑"/>
          <w:lang w:val="en-US" w:eastAsia="zh-CN"/>
        </w:rPr>
      </w:pPr>
      <w:r>
        <w:rPr>
          <w:rFonts w:hint="eastAsia"/>
          <w:lang w:val="en-US" w:eastAsia="zh-CN"/>
        </w:rPr>
        <w:t>张健豪，这个可以画的好看一点</w:t>
      </w:r>
    </w:p>
  </w:comment>
  <w:comment w:id="4" w:author="WPS_1776698816" w:date="2026-07-19T15:52:22Z" w:initials="">
    <w:p w14:paraId="7B939577">
      <w:pPr>
        <w:pStyle w:val="8"/>
        <w:rPr>
          <w:rFonts w:hint="default" w:eastAsia="微软雅黑"/>
          <w:lang w:val="en-US" w:eastAsia="zh-CN"/>
        </w:rPr>
      </w:pPr>
      <w:r>
        <w:rPr>
          <w:rFonts w:hint="eastAsia"/>
          <w:lang w:val="en-US" w:eastAsia="zh-CN"/>
        </w:rPr>
        <w:t>赵元见+王远航，同硬件原因</w:t>
      </w:r>
    </w:p>
  </w:comment>
  <w:comment w:id="5" w:author="WPS_1776698816" w:date="2026-07-19T15:51:59Z" w:initials="">
    <w:p w14:paraId="554C9332">
      <w:pPr>
        <w:pStyle w:val="8"/>
        <w:rPr>
          <w:rFonts w:hint="default" w:eastAsia="微软雅黑"/>
          <w:lang w:val="en-US" w:eastAsia="zh-CN"/>
        </w:rPr>
      </w:pPr>
      <w:r>
        <w:rPr>
          <w:rFonts w:hint="eastAsia"/>
          <w:lang w:val="en-US" w:eastAsia="zh-CN"/>
        </w:rPr>
        <w:t>AI生成一下得了，赵元见</w:t>
      </w:r>
    </w:p>
  </w:comment>
  <w:comment w:id="6" w:author="WPS_1776698816" w:date="2026-07-19T15:52:49Z" w:initials="">
    <w:p w14:paraId="68D8D890">
      <w:pPr>
        <w:pStyle w:val="8"/>
        <w:rPr>
          <w:rFonts w:hint="default" w:eastAsia="微软雅黑"/>
          <w:lang w:val="en-US" w:eastAsia="zh-CN"/>
        </w:rPr>
      </w:pPr>
      <w:r>
        <w:rPr>
          <w:rFonts w:hint="eastAsia"/>
          <w:lang w:val="en-US" w:eastAsia="zh-CN"/>
        </w:rPr>
        <w:t>AI生成一下得了，赵元见</w:t>
      </w:r>
    </w:p>
  </w:comment>
  <w:comment w:id="7" w:author="WPS_1776698816" w:date="2026-07-19T15:53:06Z" w:initials="">
    <w:p w14:paraId="1A632A1E">
      <w:pPr>
        <w:pStyle w:val="8"/>
        <w:rPr>
          <w:rFonts w:hint="eastAsia" w:eastAsia="微软雅黑"/>
          <w:lang w:val="en-US" w:eastAsia="zh-CN"/>
        </w:rPr>
      </w:pPr>
      <w:r>
        <w:rPr>
          <w:rFonts w:hint="eastAsia"/>
          <w:lang w:val="en-US" w:eastAsia="zh-CN"/>
        </w:rPr>
        <w:t>赵元见</w:t>
      </w:r>
    </w:p>
  </w:comment>
  <w:comment w:id="8" w:author="WPS_1776698816" w:date="2026-07-19T15:53:29Z" w:initials="">
    <w:p w14:paraId="4A71558A">
      <w:pPr>
        <w:pStyle w:val="8"/>
        <w:rPr>
          <w:rFonts w:hint="default" w:eastAsia="微软雅黑"/>
          <w:lang w:val="en-US" w:eastAsia="zh-CN"/>
        </w:rPr>
      </w:pPr>
      <w:r>
        <w:rPr>
          <w:rFonts w:hint="eastAsia"/>
          <w:lang w:val="en-US" w:eastAsia="zh-CN"/>
        </w:rPr>
        <w:t>王远航，科研风格</w:t>
      </w:r>
    </w:p>
  </w:comment>
  <w:comment w:id="9" w:author="WPS_1776698816" w:date="2026-07-19T15:53:39Z" w:initials="">
    <w:p w14:paraId="4036E93D">
      <w:pPr>
        <w:pStyle w:val="8"/>
        <w:rPr>
          <w:rFonts w:hint="default" w:eastAsia="微软雅黑"/>
          <w:lang w:val="en-US" w:eastAsia="zh-CN"/>
        </w:rPr>
      </w:pPr>
      <w:r>
        <w:rPr>
          <w:rFonts w:hint="eastAsia"/>
          <w:lang w:val="en-US" w:eastAsia="zh-CN"/>
        </w:rPr>
        <w:t>王远航，科研风格</w:t>
      </w:r>
    </w:p>
  </w:comment>
  <w:comment w:id="10" w:author="WPS_1776698816" w:date="2026-07-19T15:58:57Z" w:initials="">
    <w:p w14:paraId="47B42E18">
      <w:pPr>
        <w:pStyle w:val="8"/>
        <w:rPr>
          <w:rFonts w:hint="eastAsia" w:eastAsia="微软雅黑"/>
          <w:lang w:val="en-US" w:eastAsia="zh-CN"/>
        </w:rPr>
      </w:pPr>
      <w:r>
        <w:rPr>
          <w:rFonts w:hint="eastAsia"/>
          <w:lang w:val="en-US" w:eastAsia="zh-CN"/>
        </w:rPr>
        <w:t>李隆豪</w:t>
      </w:r>
    </w:p>
  </w:comment>
  <w:comment w:id="11" w:author="WPS_1776698816" w:date="2026-07-19T16:00:26Z" w:initials="">
    <w:p w14:paraId="5833A03A">
      <w:pPr>
        <w:pStyle w:val="8"/>
        <w:rPr>
          <w:rFonts w:hint="default" w:eastAsia="微软雅黑"/>
          <w:lang w:val="en-US" w:eastAsia="zh-CN"/>
        </w:rPr>
      </w:pPr>
      <w:r>
        <w:rPr>
          <w:rFonts w:hint="eastAsia"/>
          <w:lang w:val="en-US" w:eastAsia="zh-CN"/>
        </w:rPr>
        <w:t>王远航+赵元见，硬件还没做完</w:t>
      </w:r>
    </w:p>
  </w:comment>
  <w:comment w:id="12" w:author="WPS_1776698816" w:date="2026-07-19T16:00:53Z" w:initials="">
    <w:p w14:paraId="30837810">
      <w:pPr>
        <w:pStyle w:val="8"/>
        <w:rPr>
          <w:rFonts w:hint="default" w:eastAsia="微软雅黑"/>
          <w:lang w:val="en-US" w:eastAsia="zh-CN"/>
        </w:rPr>
      </w:pPr>
      <w:r>
        <w:rPr>
          <w:rFonts w:hint="eastAsia"/>
          <w:lang w:val="en-US" w:eastAsia="zh-CN"/>
        </w:rPr>
        <w:t>张健豪</w:t>
      </w:r>
    </w:p>
  </w:comment>
  <w:comment w:id="13" w:author="WPS_1776698816" w:date="2026-07-19T16:08:02Z" w:initials="">
    <w:p w14:paraId="507909A2">
      <w:pPr>
        <w:pStyle w:val="8"/>
        <w:rPr>
          <w:rFonts w:hint="eastAsia" w:eastAsia="微软雅黑"/>
          <w:lang w:val="en-US" w:eastAsia="zh-CN"/>
        </w:rPr>
      </w:pPr>
      <w:r>
        <w:rPr>
          <w:rFonts w:hint="eastAsia"/>
          <w:lang w:val="en-US" w:eastAsia="zh-CN"/>
        </w:rPr>
        <w:t>赵元见</w:t>
      </w:r>
    </w:p>
  </w:comment>
  <w:comment w:id="14" w:author="WPS_1776698816" w:date="2026-07-19T16:08:23Z" w:initials="">
    <w:p w14:paraId="3E15EB6E">
      <w:pPr>
        <w:pStyle w:val="8"/>
        <w:rPr>
          <w:rFonts w:hint="default" w:eastAsia="微软雅黑"/>
          <w:lang w:val="en-US" w:eastAsia="zh-CN"/>
        </w:rPr>
      </w:pPr>
      <w:r>
        <w:rPr>
          <w:rFonts w:hint="eastAsia"/>
          <w:lang w:val="en-US" w:eastAsia="zh-CN"/>
        </w:rPr>
        <w:t>李隆豪</w:t>
      </w:r>
    </w:p>
  </w:comment>
  <w:comment w:id="15" w:author="WPS_1776698816" w:date="2026-07-19T16:08:11Z" w:initials="">
    <w:p w14:paraId="438B24C9">
      <w:pPr>
        <w:pStyle w:val="8"/>
        <w:rPr>
          <w:rFonts w:hint="eastAsia" w:eastAsia="微软雅黑"/>
          <w:lang w:val="en-US" w:eastAsia="zh-CN"/>
        </w:rPr>
      </w:pPr>
      <w:r>
        <w:rPr>
          <w:rFonts w:hint="eastAsia"/>
          <w:lang w:val="en-US" w:eastAsia="zh-CN"/>
        </w:rPr>
        <w:t>王远航</w:t>
      </w:r>
    </w:p>
  </w:comment>
  <w:comment w:id="16" w:author="WPS_1776698816" w:date="2026-07-19T16:03:16Z" w:initials="">
    <w:p w14:paraId="01CDDBF7">
      <w:pPr>
        <w:pStyle w:val="8"/>
        <w:rPr>
          <w:rFonts w:hint="eastAsia" w:eastAsia="微软雅黑"/>
          <w:lang w:val="en-US" w:eastAsia="zh-CN"/>
        </w:rPr>
      </w:pPr>
      <w:r>
        <w:rPr>
          <w:rFonts w:hint="eastAsia"/>
          <w:lang w:val="en-US" w:eastAsia="zh-CN"/>
        </w:rPr>
        <w:t>王远航</w:t>
      </w:r>
    </w:p>
  </w:comment>
  <w:comment w:id="17" w:author="WPS_1776698816" w:date="2026-07-19T16:09:14Z" w:initials="">
    <w:p w14:paraId="16E41E24">
      <w:pPr>
        <w:pStyle w:val="8"/>
        <w:rPr>
          <w:rFonts w:hint="default" w:eastAsia="微软雅黑"/>
          <w:lang w:val="en-US" w:eastAsia="zh-CN"/>
        </w:rPr>
      </w:pPr>
      <w:r>
        <w:rPr>
          <w:rFonts w:hint="eastAsia"/>
          <w:lang w:val="en-US" w:eastAsia="zh-CN"/>
        </w:rPr>
        <w:t>张健豪</w:t>
      </w:r>
    </w:p>
  </w:comment>
  <w:comment w:id="18" w:author="WPS_1776698816" w:date="2026-07-19T16:09:55Z" w:initials="">
    <w:p w14:paraId="23D579D1">
      <w:pPr>
        <w:pStyle w:val="8"/>
        <w:rPr>
          <w:rFonts w:hint="eastAsia" w:eastAsia="微软雅黑"/>
          <w:lang w:val="en-US" w:eastAsia="zh-CN"/>
        </w:rPr>
      </w:pPr>
      <w:r>
        <w:rPr>
          <w:rFonts w:hint="eastAsia"/>
          <w:lang w:val="en-US" w:eastAsia="zh-CN"/>
        </w:rPr>
        <w:t>李隆豪</w:t>
      </w:r>
    </w:p>
  </w:comment>
  <w:comment w:id="19" w:author="WPS_1776698816" w:date="2026-07-19T16:09:00Z" w:initials="">
    <w:p w14:paraId="66A7F2B6">
      <w:pPr>
        <w:pStyle w:val="8"/>
        <w:rPr>
          <w:rFonts w:hint="eastAsia" w:eastAsia="微软雅黑"/>
          <w:lang w:val="en-US" w:eastAsia="zh-CN"/>
        </w:rPr>
      </w:pPr>
      <w:r>
        <w:rPr>
          <w:rFonts w:hint="eastAsia"/>
          <w:lang w:val="en-US" w:eastAsia="zh-CN"/>
        </w:rPr>
        <w:t>赵元见</w:t>
      </w:r>
    </w:p>
  </w:comment>
  <w:comment w:id="20" w:author="WPS_1776698816" w:date="2026-07-19T16:08:48Z" w:initials="">
    <w:p w14:paraId="527E46E2">
      <w:pPr>
        <w:pStyle w:val="8"/>
        <w:rPr>
          <w:rFonts w:hint="eastAsia" w:eastAsia="微软雅黑"/>
          <w:lang w:val="en-US" w:eastAsia="zh-CN"/>
        </w:rPr>
      </w:pPr>
      <w:r>
        <w:rPr>
          <w:rFonts w:hint="eastAsia"/>
          <w:lang w:val="en-US" w:eastAsia="zh-CN"/>
        </w:rPr>
        <w:t>张健豪</w:t>
      </w:r>
    </w:p>
  </w:comment>
  <w:comment w:id="21" w:author="WPS_1776698816" w:date="2026-07-19T16:02:42Z" w:initials="">
    <w:p w14:paraId="65B0DABE">
      <w:pPr>
        <w:pStyle w:val="8"/>
        <w:rPr>
          <w:rFonts w:hint="eastAsia" w:eastAsia="微软雅黑"/>
          <w:lang w:val="en-US" w:eastAsia="zh-CN"/>
        </w:rPr>
      </w:pPr>
      <w:r>
        <w:rPr>
          <w:rFonts w:hint="eastAsia"/>
          <w:lang w:val="en-US" w:eastAsia="zh-CN"/>
        </w:rPr>
        <w:t>赵元见</w:t>
      </w:r>
    </w:p>
  </w:comment>
  <w:comment w:id="22" w:author="WPS_1776698816" w:date="2026-07-19T16:02:48Z" w:initials="">
    <w:p w14:paraId="3968A441">
      <w:pPr>
        <w:pStyle w:val="8"/>
        <w:rPr>
          <w:rFonts w:hint="default" w:eastAsia="微软雅黑"/>
          <w:lang w:val="en-US" w:eastAsia="zh-CN"/>
        </w:rPr>
      </w:pPr>
      <w:r>
        <w:rPr>
          <w:rFonts w:hint="eastAsia"/>
          <w:lang w:val="en-US" w:eastAsia="zh-CN"/>
        </w:rPr>
        <w:t>张健豪</w:t>
      </w:r>
    </w:p>
  </w:comment>
  <w:comment w:id="23" w:author="WPS_1776698816" w:date="2026-07-19T16:02:29Z" w:initials="">
    <w:p w14:paraId="244FB501">
      <w:pPr>
        <w:pStyle w:val="8"/>
        <w:rPr>
          <w:rFonts w:hint="eastAsia" w:eastAsia="微软雅黑"/>
          <w:lang w:val="en-US" w:eastAsia="zh-CN"/>
        </w:rPr>
      </w:pPr>
      <w:r>
        <w:rPr>
          <w:rFonts w:hint="eastAsia"/>
          <w:lang w:val="en-US" w:eastAsia="zh-CN"/>
        </w:rPr>
        <w:t>张健豪</w:t>
      </w:r>
    </w:p>
  </w:comment>
  <w:comment w:id="24" w:author="WPS_1776698816" w:date="2026-07-19T16:02:14Z" w:initials="">
    <w:p w14:paraId="593B250F">
      <w:pPr>
        <w:pStyle w:val="8"/>
        <w:rPr>
          <w:rFonts w:hint="eastAsia" w:eastAsia="微软雅黑"/>
          <w:lang w:val="en-US" w:eastAsia="zh-CN"/>
        </w:rPr>
      </w:pPr>
      <w:r>
        <w:rPr>
          <w:rFonts w:hint="eastAsia"/>
          <w:lang w:val="en-US" w:eastAsia="zh-CN"/>
        </w:rPr>
        <w:t>张健豪</w:t>
      </w:r>
    </w:p>
  </w:comment>
  <w:comment w:id="25" w:author="WPS_1776698816" w:date="2026-07-19T15:59:43Z" w:initials="">
    <w:p w14:paraId="2A928C35">
      <w:pPr>
        <w:pStyle w:val="8"/>
        <w:rPr>
          <w:rFonts w:hint="default" w:eastAsia="微软雅黑"/>
          <w:lang w:val="en-US" w:eastAsia="zh-CN"/>
        </w:rPr>
      </w:pPr>
      <w:r>
        <w:rPr>
          <w:rFonts w:hint="eastAsia"/>
          <w:lang w:val="en-US" w:eastAsia="zh-CN"/>
        </w:rPr>
        <w:t>王远航+赵元见，同样的硬件还没做完</w:t>
      </w:r>
    </w:p>
  </w:comment>
  <w:comment w:id="26" w:author="WPS_1776698816" w:date="2026-07-19T15:57:55Z" w:initials="">
    <w:p w14:paraId="3D75A8FE">
      <w:pPr>
        <w:pStyle w:val="8"/>
        <w:rPr>
          <w:rFonts w:hint="eastAsia" w:eastAsia="微软雅黑"/>
          <w:lang w:val="en-US" w:eastAsia="zh-CN"/>
        </w:rPr>
      </w:pPr>
      <w:r>
        <w:rPr>
          <w:rFonts w:hint="eastAsia"/>
          <w:lang w:val="en-US" w:eastAsia="zh-CN"/>
        </w:rPr>
        <w:t>李隆豪</w:t>
      </w:r>
    </w:p>
  </w:comment>
  <w:comment w:id="27" w:author="WPS_1776698816" w:date="2026-07-19T15:58:10Z" w:initials="">
    <w:p w14:paraId="2F783114">
      <w:pPr>
        <w:pStyle w:val="8"/>
        <w:rPr>
          <w:rFonts w:hint="default" w:eastAsia="微软雅黑"/>
          <w:lang w:val="en-US" w:eastAsia="zh-CN"/>
        </w:rPr>
      </w:pPr>
      <w:r>
        <w:rPr>
          <w:rFonts w:hint="eastAsia"/>
          <w:lang w:val="en-US" w:eastAsia="zh-CN"/>
        </w:rPr>
        <w:t>王远航+赵元见，这个硬件上还没做完</w:t>
      </w:r>
    </w:p>
  </w:comment>
  <w:comment w:id="28" w:author="WPS_1776698816" w:date="2026-07-19T15:56:59Z" w:initials="">
    <w:p w14:paraId="4103C884">
      <w:pPr>
        <w:pStyle w:val="8"/>
        <w:rPr>
          <w:rFonts w:hint="eastAsia" w:eastAsia="微软雅黑"/>
          <w:lang w:val="en-US" w:eastAsia="zh-CN"/>
        </w:rPr>
      </w:pPr>
      <w:r>
        <w:rPr>
          <w:rFonts w:hint="eastAsia"/>
          <w:lang w:val="en-US" w:eastAsia="zh-CN"/>
        </w:rPr>
        <w:t>赵元见</w:t>
      </w:r>
    </w:p>
  </w:comment>
  <w:comment w:id="29" w:author="WPS_1776698816" w:date="2026-07-19T15:56:26Z" w:initials="">
    <w:p w14:paraId="47CDB0E8">
      <w:pPr>
        <w:pStyle w:val="8"/>
        <w:rPr>
          <w:rFonts w:hint="default" w:eastAsia="微软雅黑"/>
          <w:lang w:val="en-US" w:eastAsia="zh-CN"/>
        </w:rPr>
      </w:pPr>
      <w:r>
        <w:rPr>
          <w:rFonts w:hint="eastAsia"/>
          <w:lang w:val="en-US" w:eastAsia="zh-CN"/>
        </w:rPr>
        <w:t>李隆豪，这个easy</w:t>
      </w:r>
    </w:p>
  </w:comment>
  <w:comment w:id="30" w:author="WPS_1776698816" w:date="2026-07-19T15:55:35Z" w:initials="">
    <w:p w14:paraId="138034C5">
      <w:pPr>
        <w:pStyle w:val="8"/>
        <w:rPr>
          <w:rFonts w:hint="default" w:eastAsia="微软雅黑"/>
          <w:lang w:val="en-US" w:eastAsia="zh-CN"/>
        </w:rPr>
      </w:pPr>
      <w:r>
        <w:rPr>
          <w:rFonts w:hint="eastAsia"/>
          <w:lang w:val="en-US" w:eastAsia="zh-CN"/>
        </w:rPr>
        <w:t>这个都可以AI生成了，赵元见</w:t>
      </w:r>
    </w:p>
  </w:comment>
  <w:comment w:id="31" w:author="WPS_1776698816" w:date="2026-07-19T15:55:14Z" w:initials="">
    <w:p w14:paraId="1C575FD3">
      <w:pPr>
        <w:pStyle w:val="8"/>
        <w:rPr>
          <w:rFonts w:hint="default" w:eastAsia="微软雅黑"/>
          <w:lang w:val="en-US" w:eastAsia="zh-CN"/>
        </w:rPr>
      </w:pPr>
      <w:r>
        <w:rPr>
          <w:rFonts w:hint="eastAsia"/>
          <w:lang w:val="en-US" w:eastAsia="zh-CN"/>
        </w:rPr>
        <w:t>截屏</w:t>
      </w:r>
    </w:p>
  </w:comment>
  <w:comment w:id="32" w:author="WPS_1776698816" w:date="2026-07-19T15:55:02Z" w:initials="">
    <w:p w14:paraId="7B92389E">
      <w:pPr>
        <w:pStyle w:val="8"/>
        <w:rPr>
          <w:rFonts w:hint="default" w:eastAsia="微软雅黑"/>
          <w:lang w:val="en-US" w:eastAsia="zh-CN"/>
        </w:rPr>
      </w:pPr>
      <w:r>
        <w:rPr>
          <w:rFonts w:hint="eastAsia"/>
          <w:lang w:val="en-US" w:eastAsia="zh-CN"/>
        </w:rPr>
        <w:t>拍照</w:t>
      </w:r>
    </w:p>
  </w:comment>
  <w:comment w:id="33" w:author="WPS_1776698816" w:date="2026-07-19T15:54:44Z" w:initials="">
    <w:p w14:paraId="2838CAFF">
      <w:pPr>
        <w:pStyle w:val="8"/>
        <w:rPr>
          <w:rFonts w:hint="eastAsia" w:eastAsia="微软雅黑"/>
          <w:lang w:val="en-US" w:eastAsia="zh-CN"/>
        </w:rPr>
      </w:pPr>
      <w:r>
        <w:rPr>
          <w:rFonts w:hint="eastAsia"/>
          <w:lang w:val="en-US" w:eastAsia="zh-CN"/>
        </w:rPr>
        <w:t>拍照</w:t>
      </w:r>
    </w:p>
  </w:comment>
  <w:comment w:id="34" w:author="WPS_1776698816" w:date="2026-07-19T15:54:23Z" w:initials="">
    <w:p w14:paraId="4A43211C">
      <w:pPr>
        <w:pStyle w:val="8"/>
        <w:rPr>
          <w:rFonts w:hint="default" w:eastAsia="微软雅黑"/>
          <w:lang w:val="en-US" w:eastAsia="zh-CN"/>
        </w:rPr>
      </w:pPr>
      <w:r>
        <w:rPr>
          <w:rFonts w:hint="eastAsia"/>
          <w:lang w:val="en-US" w:eastAsia="zh-CN"/>
        </w:rPr>
        <w:t>王远航，做过fedrated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3FCC6B" w15:done="0"/>
  <w15:commentEx w15:paraId="49C7E997" w15:done="0"/>
  <w15:commentEx w15:paraId="47976929" w15:done="0"/>
  <w15:commentEx w15:paraId="2389E15B" w15:done="0"/>
  <w15:commentEx w15:paraId="7B939577" w15:done="0"/>
  <w15:commentEx w15:paraId="554C9332" w15:done="0"/>
  <w15:commentEx w15:paraId="68D8D890" w15:done="0"/>
  <w15:commentEx w15:paraId="1A632A1E" w15:done="0"/>
  <w15:commentEx w15:paraId="4A71558A" w15:done="0"/>
  <w15:commentEx w15:paraId="4036E93D" w15:done="0"/>
  <w15:commentEx w15:paraId="47B42E18" w15:done="0"/>
  <w15:commentEx w15:paraId="5833A03A" w15:done="0"/>
  <w15:commentEx w15:paraId="30837810" w15:done="0"/>
  <w15:commentEx w15:paraId="507909A2" w15:done="0"/>
  <w15:commentEx w15:paraId="3E15EB6E" w15:done="0"/>
  <w15:commentEx w15:paraId="438B24C9" w15:done="0"/>
  <w15:commentEx w15:paraId="01CDDBF7" w15:done="0"/>
  <w15:commentEx w15:paraId="16E41E24" w15:done="0"/>
  <w15:commentEx w15:paraId="23D579D1" w15:done="0"/>
  <w15:commentEx w15:paraId="66A7F2B6" w15:done="0"/>
  <w15:commentEx w15:paraId="527E46E2" w15:done="0"/>
  <w15:commentEx w15:paraId="65B0DABE" w15:done="0"/>
  <w15:commentEx w15:paraId="3968A441" w15:done="0"/>
  <w15:commentEx w15:paraId="244FB501" w15:done="0"/>
  <w15:commentEx w15:paraId="593B250F" w15:done="0"/>
  <w15:commentEx w15:paraId="2A928C35" w15:done="0"/>
  <w15:commentEx w15:paraId="3D75A8FE" w15:done="0"/>
  <w15:commentEx w15:paraId="2F783114" w15:done="0"/>
  <w15:commentEx w15:paraId="4103C884" w15:done="0"/>
  <w15:commentEx w15:paraId="47CDB0E8" w15:done="0"/>
  <w15:commentEx w15:paraId="138034C5" w15:done="0"/>
  <w15:commentEx w15:paraId="1C575FD3" w15:done="0"/>
  <w15:commentEx w15:paraId="7B92389E" w15:done="0"/>
  <w15:commentEx w15:paraId="2838CAFF" w15:done="0"/>
  <w15:commentEx w15:paraId="4A4321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2A8E1">
    <w:pPr>
      <w:jc w:val="center"/>
      <w:rPr>
        <w:rFonts w:hint="eastAsia"/>
      </w:rPr>
    </w:pPr>
    <w:r>
      <w:rPr>
        <w:rFonts w:ascii="Times New Roman" w:hAnsi="Times New Roman" w:cs="Times New Roman"/>
        <w:color w:val="666666"/>
        <w:sz w:val="18"/>
        <w:szCs w:val="18"/>
      </w:rPr>
      <w:t xml:space="preserve">— </w:t>
    </w:r>
    <w:r>
      <w:rPr>
        <w:rFonts w:ascii="Times New Roman" w:hAnsi="Times New Roman" w:cs="Times New Roman"/>
        <w:color w:val="666666"/>
        <w:sz w:val="18"/>
        <w:szCs w:val="18"/>
      </w:rPr>
      <w:fldChar w:fldCharType="begin"/>
    </w:r>
    <w:r>
      <w:rPr>
        <w:rFonts w:ascii="Times New Roman" w:hAnsi="Times New Roman" w:cs="Times New Roman"/>
        <w:color w:val="666666"/>
        <w:sz w:val="18"/>
        <w:szCs w:val="18"/>
      </w:rPr>
      <w:instrText xml:space="preserve">PAGE</w:instrText>
    </w:r>
    <w:r>
      <w:rPr>
        <w:rFonts w:ascii="Times New Roman" w:hAnsi="Times New Roman" w:cs="Times New Roman"/>
        <w:color w:val="666666"/>
        <w:sz w:val="18"/>
        <w:szCs w:val="18"/>
      </w:rPr>
      <w:fldChar w:fldCharType="separate"/>
    </w:r>
    <w:r>
      <w:rPr>
        <w:rFonts w:hint="eastAsia" w:ascii="Times New Roman" w:hAnsi="Times New Roman" w:cs="Times New Roman"/>
        <w:color w:val="666666"/>
        <w:sz w:val="18"/>
        <w:szCs w:val="18"/>
      </w:rPr>
      <w:t>1</w:t>
    </w:r>
    <w:r>
      <w:rPr>
        <w:rFonts w:ascii="Times New Roman" w:hAnsi="Times New Roman" w:cs="Times New Roman"/>
        <w:color w:val="666666"/>
        <w:sz w:val="18"/>
        <w:szCs w:val="18"/>
      </w:rPr>
      <w:fldChar w:fldCharType="end"/>
    </w:r>
    <w:r>
      <w:rPr>
        <w:rFonts w:ascii="Times New Roman" w:hAnsi="Times New Roman" w:cs="Times New Roman"/>
        <w:color w:val="666666"/>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4216">
    <w:pPr>
      <w:jc w:val="center"/>
      <w:rPr>
        <w:rFonts w:hint="eastAsia"/>
      </w:rPr>
    </w:pPr>
    <w:r>
      <w:rPr>
        <w:rFonts w:ascii="Times New Roman" w:hAnsi="Times New Roman" w:cs="Times New Roman"/>
        <w:color w:val="666666"/>
        <w:sz w:val="18"/>
        <w:szCs w:val="18"/>
      </w:rPr>
      <w:t xml:space="preserve">— </w:t>
    </w:r>
    <w:r>
      <w:rPr>
        <w:rFonts w:ascii="Times New Roman" w:hAnsi="Times New Roman" w:cs="Times New Roman"/>
        <w:color w:val="666666"/>
        <w:sz w:val="18"/>
        <w:szCs w:val="18"/>
      </w:rPr>
      <w:fldChar w:fldCharType="begin"/>
    </w:r>
    <w:r>
      <w:rPr>
        <w:rFonts w:ascii="Times New Roman" w:hAnsi="Times New Roman" w:cs="Times New Roman"/>
        <w:color w:val="666666"/>
        <w:sz w:val="18"/>
        <w:szCs w:val="18"/>
      </w:rPr>
      <w:instrText xml:space="preserve">PAGE</w:instrText>
    </w:r>
    <w:r>
      <w:rPr>
        <w:rFonts w:ascii="Times New Roman" w:hAnsi="Times New Roman" w:cs="Times New Roman"/>
        <w:color w:val="666666"/>
        <w:sz w:val="18"/>
        <w:szCs w:val="18"/>
      </w:rPr>
      <w:fldChar w:fldCharType="separate"/>
    </w:r>
    <w:r>
      <w:rPr>
        <w:rFonts w:hint="eastAsia" w:ascii="Times New Roman" w:hAnsi="Times New Roman" w:cs="Times New Roman"/>
        <w:color w:val="666666"/>
        <w:sz w:val="18"/>
        <w:szCs w:val="18"/>
      </w:rPr>
      <w:t>1</w:t>
    </w:r>
    <w:r>
      <w:rPr>
        <w:rFonts w:ascii="Times New Roman" w:hAnsi="Times New Roman" w:cs="Times New Roman"/>
        <w:color w:val="666666"/>
        <w:sz w:val="18"/>
        <w:szCs w:val="18"/>
      </w:rPr>
      <w:fldChar w:fldCharType="end"/>
    </w:r>
    <w:r>
      <w:rPr>
        <w:rFonts w:ascii="Times New Roman" w:hAnsi="Times New Roman" w:cs="Times New Roman"/>
        <w:color w:val="666666"/>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717A4">
    <w:pPr>
      <w:pBdr>
        <w:bottom w:val="single" w:color="2E75B6" w:sz="4" w:space="4"/>
      </w:pBdr>
      <w:jc w:val="center"/>
      <w:rPr>
        <w:rFonts w:hint="eastAsia"/>
      </w:rPr>
    </w:pPr>
    <w:r>
      <w:rPr>
        <w:rFonts w:ascii="Times New Roman" w:hAnsi="Times New Roman" w:cs="Times New Roman"/>
        <w:i/>
        <w:iCs/>
        <w:color w:val="666666"/>
        <w:sz w:val="18"/>
        <w:szCs w:val="18"/>
      </w:rPr>
      <w:t>智能护理病床云平台 · 设计文档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47AC3">
    <w:pPr>
      <w:pBdr>
        <w:bottom w:val="single" w:color="2E75B6" w:sz="4" w:space="4"/>
      </w:pBdr>
      <w:jc w:val="center"/>
      <w:rPr>
        <w:rFonts w:hint="eastAsia"/>
      </w:rPr>
    </w:pPr>
    <w:r>
      <w:rPr>
        <w:rFonts w:ascii="Times New Roman" w:hAnsi="Times New Roman" w:cs="Times New Roman"/>
        <w:i/>
        <w:iCs/>
        <w:color w:val="666666"/>
        <w:sz w:val="18"/>
        <w:szCs w:val="18"/>
      </w:rPr>
      <w:t>智能护理病床云平台 · 设计文档</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76698816">
    <w15:presenceInfo w15:providerId="WPS Office" w15:userId="20781968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E4"/>
    <w:rsid w:val="00002C2B"/>
    <w:rsid w:val="000D5BE4"/>
    <w:rsid w:val="001A60DD"/>
    <w:rsid w:val="001F438D"/>
    <w:rsid w:val="002042C7"/>
    <w:rsid w:val="00277FAF"/>
    <w:rsid w:val="0029680F"/>
    <w:rsid w:val="00401970"/>
    <w:rsid w:val="005014DD"/>
    <w:rsid w:val="00506FC7"/>
    <w:rsid w:val="00583A29"/>
    <w:rsid w:val="005C2041"/>
    <w:rsid w:val="0065536D"/>
    <w:rsid w:val="006A53EF"/>
    <w:rsid w:val="007013BA"/>
    <w:rsid w:val="00720B08"/>
    <w:rsid w:val="007C0FDD"/>
    <w:rsid w:val="00836266"/>
    <w:rsid w:val="008D34AA"/>
    <w:rsid w:val="00931CA9"/>
    <w:rsid w:val="00936FF4"/>
    <w:rsid w:val="00984E79"/>
    <w:rsid w:val="00991BB4"/>
    <w:rsid w:val="00A8389B"/>
    <w:rsid w:val="00A866DD"/>
    <w:rsid w:val="00B14297"/>
    <w:rsid w:val="00B66747"/>
    <w:rsid w:val="00D41870"/>
    <w:rsid w:val="00D7426C"/>
    <w:rsid w:val="00E3158D"/>
    <w:rsid w:val="00F4114C"/>
    <w:rsid w:val="00F46DCB"/>
    <w:rsid w:val="00FB1602"/>
    <w:rsid w:val="3DF63F2C"/>
    <w:rsid w:val="528F4FB6"/>
    <w:rsid w:val="6F5A2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4"/>
      <w:szCs w:val="22"/>
      <w:lang w:val="en-US" w:eastAsia="zh-CN" w:bidi="ar-SA"/>
    </w:rPr>
  </w:style>
  <w:style w:type="paragraph" w:styleId="2">
    <w:name w:val="heading 1"/>
    <w:qFormat/>
    <w:uiPriority w:val="9"/>
    <w:pPr>
      <w:keepNext/>
      <w:keepLines/>
      <w:spacing w:before="340" w:after="330" w:line="578" w:lineRule="auto"/>
      <w:outlineLvl w:val="0"/>
    </w:pPr>
    <w:rPr>
      <w:rFonts w:ascii="微软雅黑" w:hAnsi="微软雅黑" w:eastAsia="黑体" w:cs="微软雅黑"/>
      <w:b/>
      <w:bCs/>
      <w:kern w:val="44"/>
      <w:sz w:val="32"/>
      <w:szCs w:val="44"/>
      <w:lang w:val="en-US" w:eastAsia="zh-CN" w:bidi="ar-SA"/>
    </w:rPr>
  </w:style>
  <w:style w:type="paragraph" w:styleId="3">
    <w:name w:val="heading 2"/>
    <w:unhideWhenUsed/>
    <w:qFormat/>
    <w:uiPriority w:val="9"/>
    <w:pPr>
      <w:keepNext/>
      <w:keepLines/>
      <w:spacing w:before="260" w:after="260"/>
      <w:outlineLvl w:val="1"/>
    </w:pPr>
    <w:rPr>
      <w:rFonts w:ascii="黑体" w:hAnsi="黑体" w:eastAsia="黑体" w:cstheme="majorBidi"/>
      <w:b/>
      <w:bCs/>
      <w:sz w:val="22"/>
      <w:szCs w:val="28"/>
      <w:lang w:val="en-US" w:eastAsia="zh-CN" w:bidi="ar-SA"/>
    </w:rPr>
  </w:style>
  <w:style w:type="paragraph" w:styleId="4">
    <w:name w:val="heading 3"/>
    <w:unhideWhenUsed/>
    <w:qFormat/>
    <w:uiPriority w:val="9"/>
    <w:pPr>
      <w:keepNext/>
      <w:keepLines/>
      <w:spacing w:before="260" w:after="260"/>
      <w:outlineLvl w:val="2"/>
    </w:pPr>
    <w:rPr>
      <w:rFonts w:ascii="Times New Roman" w:hAnsi="Times New Roman" w:eastAsia="黑体" w:cs="微软雅黑"/>
      <w:b/>
      <w:bCs/>
      <w:sz w:val="22"/>
      <w:szCs w:val="24"/>
      <w:lang w:val="en-US" w:eastAsia="zh-CN" w:bidi="ar-SA"/>
    </w:rPr>
  </w:style>
  <w:style w:type="paragraph" w:styleId="5">
    <w:name w:val="heading 4"/>
    <w:semiHidden/>
    <w:unhideWhenUsed/>
    <w:qFormat/>
    <w:uiPriority w:val="9"/>
    <w:pPr>
      <w:outlineLvl w:val="3"/>
    </w:pPr>
    <w:rPr>
      <w:rFonts w:ascii="Times New Roman" w:hAnsi="Times New Roman" w:eastAsia="宋体" w:cs="微软雅黑"/>
      <w:i/>
      <w:iCs/>
      <w:color w:val="2E74B5"/>
      <w:sz w:val="28"/>
      <w:szCs w:val="22"/>
      <w:lang w:val="en-US" w:eastAsia="zh-CN" w:bidi="ar-SA"/>
    </w:rPr>
  </w:style>
  <w:style w:type="paragraph" w:styleId="6">
    <w:name w:val="heading 5"/>
    <w:semiHidden/>
    <w:unhideWhenUsed/>
    <w:qFormat/>
    <w:uiPriority w:val="9"/>
    <w:pPr>
      <w:outlineLvl w:val="4"/>
    </w:pPr>
    <w:rPr>
      <w:rFonts w:ascii="微软雅黑" w:hAnsi="微软雅黑" w:eastAsia="微软雅黑" w:cs="微软雅黑"/>
      <w:color w:val="2E74B5"/>
      <w:sz w:val="22"/>
      <w:szCs w:val="22"/>
      <w:lang w:val="en-US" w:eastAsia="zh-CN" w:bidi="ar-SA"/>
    </w:rPr>
  </w:style>
  <w:style w:type="paragraph" w:styleId="7">
    <w:name w:val="heading 6"/>
    <w:semiHidden/>
    <w:unhideWhenUsed/>
    <w:qFormat/>
    <w:uiPriority w:val="9"/>
    <w:pPr>
      <w:outlineLvl w:val="5"/>
    </w:pPr>
    <w:rPr>
      <w:rFonts w:ascii="微软雅黑" w:hAnsi="微软雅黑" w:eastAsia="微软雅黑" w:cs="微软雅黑"/>
      <w:color w:val="1F4D78"/>
      <w:sz w:val="22"/>
      <w:szCs w:val="22"/>
      <w:lang w:val="en-US" w:eastAsia="zh-CN" w:bidi="ar-SA"/>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semiHidden/>
    <w:unhideWhenUsed/>
    <w:uiPriority w:val="99"/>
    <w:pPr>
      <w:jc w:val="left"/>
    </w:pPr>
  </w:style>
  <w:style w:type="paragraph" w:styleId="9">
    <w:name w:val="toc 3"/>
    <w:basedOn w:val="1"/>
    <w:next w:val="1"/>
    <w:autoRedefine/>
    <w:unhideWhenUsed/>
    <w:uiPriority w:val="39"/>
    <w:pPr>
      <w:ind w:left="840" w:leftChars="400"/>
    </w:pPr>
  </w:style>
  <w:style w:type="paragraph" w:styleId="10">
    <w:name w:val="footer"/>
    <w:basedOn w:val="1"/>
    <w:link w:val="25"/>
    <w:unhideWhenUsed/>
    <w:qFormat/>
    <w:uiPriority w:val="99"/>
    <w:pPr>
      <w:tabs>
        <w:tab w:val="center" w:pos="4153"/>
        <w:tab w:val="right" w:pos="8306"/>
      </w:tabs>
      <w:snapToGrid w:val="0"/>
    </w:pPr>
    <w:rPr>
      <w:sz w:val="18"/>
      <w:szCs w:val="18"/>
    </w:rPr>
  </w:style>
  <w:style w:type="paragraph" w:styleId="11">
    <w:name w:val="header"/>
    <w:basedOn w:val="1"/>
    <w:link w:val="24"/>
    <w:unhideWhenUsed/>
    <w:uiPriority w:val="99"/>
    <w:pP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footnote text"/>
    <w:link w:val="22"/>
    <w:semiHidden/>
    <w:unhideWhenUsed/>
    <w:uiPriority w:val="99"/>
    <w:rPr>
      <w:rFonts w:ascii="微软雅黑" w:hAnsi="微软雅黑" w:eastAsia="微软雅黑" w:cs="微软雅黑"/>
      <w:sz w:val="20"/>
      <w:szCs w:val="20"/>
      <w:lang w:val="en-US" w:eastAsia="zh-CN" w:bidi="ar-SA"/>
    </w:rPr>
  </w:style>
  <w:style w:type="paragraph" w:styleId="14">
    <w:name w:val="toc 2"/>
    <w:basedOn w:val="1"/>
    <w:next w:val="1"/>
    <w:autoRedefine/>
    <w:unhideWhenUsed/>
    <w:uiPriority w:val="39"/>
    <w:pPr>
      <w:ind w:left="420" w:leftChars="200"/>
    </w:pPr>
  </w:style>
  <w:style w:type="paragraph" w:styleId="15">
    <w:name w:val="Title"/>
    <w:qFormat/>
    <w:uiPriority w:val="10"/>
    <w:pPr>
      <w:spacing w:before="240" w:after="60"/>
      <w:jc w:val="center"/>
      <w:outlineLvl w:val="0"/>
    </w:pPr>
    <w:rPr>
      <w:rFonts w:eastAsia="宋体" w:asciiTheme="majorHAnsi" w:hAnsiTheme="majorHAnsi" w:cstheme="majorBidi"/>
      <w:b/>
      <w:bCs/>
      <w:sz w:val="32"/>
      <w:szCs w:val="32"/>
      <w:lang w:val="en-US" w:eastAsia="zh-CN" w:bidi="ar-SA"/>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customStyle="1" w:styleId="20">
    <w:name w:val="要点1"/>
    <w:qFormat/>
    <w:uiPriority w:val="0"/>
    <w:rPr>
      <w:rFonts w:ascii="微软雅黑" w:hAnsi="微软雅黑" w:eastAsia="微软雅黑" w:cs="微软雅黑"/>
      <w:b/>
      <w:bCs/>
      <w:sz w:val="22"/>
      <w:szCs w:val="22"/>
      <w:lang w:val="en-US" w:eastAsia="zh-CN" w:bidi="ar-SA"/>
    </w:rPr>
  </w:style>
  <w:style w:type="paragraph" w:styleId="21">
    <w:name w:val="List Paragraph"/>
    <w:qFormat/>
    <w:uiPriority w:val="0"/>
    <w:rPr>
      <w:rFonts w:ascii="微软雅黑" w:hAnsi="微软雅黑" w:eastAsia="微软雅黑" w:cs="微软雅黑"/>
      <w:sz w:val="22"/>
      <w:szCs w:val="22"/>
      <w:lang w:val="en-US" w:eastAsia="zh-CN" w:bidi="ar-SA"/>
    </w:rPr>
  </w:style>
  <w:style w:type="character" w:customStyle="1" w:styleId="22">
    <w:name w:val="脚注文本 字符"/>
    <w:link w:val="13"/>
    <w:semiHidden/>
    <w:unhideWhenUsed/>
    <w:uiPriority w:val="99"/>
    <w:rPr>
      <w:sz w:val="20"/>
      <w:szCs w:val="20"/>
    </w:rPr>
  </w:style>
  <w:style w:type="character" w:customStyle="1" w:styleId="23">
    <w:name w:val="Unresolved Mention"/>
    <w:basedOn w:val="17"/>
    <w:semiHidden/>
    <w:unhideWhenUsed/>
    <w:uiPriority w:val="99"/>
    <w:rPr>
      <w:color w:val="605E5C"/>
      <w:shd w:val="clear" w:color="auto" w:fill="E1DFDD"/>
    </w:rPr>
  </w:style>
  <w:style w:type="character" w:customStyle="1" w:styleId="24">
    <w:name w:val="页眉 字符"/>
    <w:basedOn w:val="17"/>
    <w:link w:val="11"/>
    <w:uiPriority w:val="99"/>
    <w:rPr>
      <w:sz w:val="18"/>
      <w:szCs w:val="18"/>
    </w:rPr>
  </w:style>
  <w:style w:type="character" w:customStyle="1" w:styleId="25">
    <w:name w:val="页脚 字符"/>
    <w:basedOn w:val="17"/>
    <w:link w:val="10"/>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31</Pages>
  <Words>1047</Words>
  <Characters>1196</Characters>
  <Lines>197</Lines>
  <Paragraphs>55</Paragraphs>
  <TotalTime>0</TotalTime>
  <ScaleCrop>false</ScaleCrop>
  <LinksUpToDate>false</LinksUpToDate>
  <CharactersWithSpaces>1296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2026-03-12T02:31:00Z</dcterms:created>
  <dc:creator>Un-named</dc:creator>
  <cp:lastModifiedBy>WPS_1776698816</cp:lastModifiedBy>
  <dcterms:modified xsi:type="dcterms:W3CDTF">2026-07-19T09:39:23Z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eyJoZGlkIjoiODlmOTQxYmNjOGQ0YzEyYWRmYmJiY2VjZDJkMDFmY2MiLCJ1c2VySWQiOiIxODI0MzU1NTE0In0=</vt:lpwstr>
  </property>
  <property fmtid="{D5CDD505-2E9C-101B-9397-08002B2CF9AE}" pid="3" name="KSOProductBuildVer">
    <vt:lpwstr>2052-12.1.0.26895</vt:lpwstr>
  </property>
  <property fmtid="{D5CDD505-2E9C-101B-9397-08002B2CF9AE}" pid="4" name="ICV">
    <vt:lpwstr>14F300B840EB41ECA751186C95B3BD32_12</vt:lpwstr>
  </property>
</Properties>
</file>