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Correcciones de Seguridad — App Móvil</w:t>
      </w:r>
    </w:p>
    <w:p>
      <w:pPr>
        <w:spacing w:after="40"/>
      </w:pPr>
      <w:r>
        <w:rPr>
          <w:i/>
          <w:iCs/>
          <w:color w:val="555555"/>
          <w:sz w:val="24"/>
          <w:szCs w:val="24"/>
        </w:rPr>
        <w:t xml:space="preserve">AprendIA (com.kitsune.virtualsign)</w:t>
      </w:r>
    </w:p>
    <w:p>
      <w:pPr>
        <w:spacing w:after="300"/>
      </w:pPr>
      <w:r>
        <w:rPr>
          <w:color w:val="555555"/>
          <w:sz w:val="20"/>
          <w:szCs w:val="20"/>
        </w:rPr>
        <w:t xml:space="preserve">Basado en el análisis MobSF sobre app-release.apk + revisión manual de configuración de build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c>
          <w:tcPr>
            <w:tcW w:type="dxa" w:w="2200"/>
            <w:shd w:fill="F2F3F4" w:val="clear"/>
            <w:tcMar>
              <w:top w:type="dxa" w:w="80"/>
              <w:left w:type="dxa" w:w="100"/>
              <w:bottom w:type="dxa" w:w="80"/>
              <w:right w:type="dxa" w:w="100"/>
            </w:tcMar>
          </w:tcPr>
          <w:p>
            <w:r>
              <w:rPr>
                <w:b/>
                <w:bCs/>
              </w:rPr>
              <w:t xml:space="preserve">Para</w:t>
            </w:r>
          </w:p>
        </w:tc>
        <w:tc>
          <w:tcPr>
            <w:tcW w:type="dxa" w:w="6700"/>
            <w:tcMar>
              <w:top w:type="dxa" w:w="80"/>
              <w:left w:type="dxa" w:w="100"/>
              <w:bottom w:type="dxa" w:w="80"/>
              <w:right w:type="dxa" w:w="100"/>
            </w:tcMar>
          </w:tcPr>
          <w:p>
            <w:r>
              <w:t xml:space="preserve">Equipo de desarrollo móvil</w:t>
            </w:r>
          </w:p>
        </w:tc>
      </w:tr>
      <w:tr>
        <w:tc>
          <w:tcPr>
            <w:tcW w:type="dxa" w:w="2200"/>
            <w:shd w:fill="F2F3F4" w:val="clear"/>
            <w:tcMar>
              <w:top w:type="dxa" w:w="80"/>
              <w:left w:type="dxa" w:w="100"/>
              <w:bottom w:type="dxa" w:w="80"/>
              <w:right w:type="dxa" w:w="100"/>
            </w:tcMar>
          </w:tcPr>
          <w:p>
            <w:r>
              <w:rPr>
                <w:b/>
                <w:bCs/>
              </w:rPr>
              <w:t xml:space="preserve">De</w:t>
            </w:r>
          </w:p>
        </w:tc>
        <w:tc>
          <w:tcPr>
            <w:tcW w:type="dxa" w:w="6700"/>
            <w:tcMar>
              <w:top w:type="dxa" w:w="80"/>
              <w:left w:type="dxa" w:w="100"/>
              <w:bottom w:type="dxa" w:w="80"/>
              <w:right w:type="dxa" w:w="100"/>
            </w:tcMar>
          </w:tcPr>
          <w:p>
            <w:r>
              <w:t xml:space="preserve">Angel Gabriel Ruiz Arreola — Auditoría de Seguridad, Fase 2</w:t>
            </w:r>
          </w:p>
        </w:tc>
      </w:tr>
      <w:tr>
        <w:tc>
          <w:tcPr>
            <w:tcW w:type="dxa" w:w="2200"/>
            <w:shd w:fill="F2F3F4" w:val="clear"/>
            <w:tcMar>
              <w:top w:type="dxa" w:w="80"/>
              <w:left w:type="dxa" w:w="100"/>
              <w:bottom w:type="dxa" w:w="80"/>
              <w:right w:type="dxa" w:w="100"/>
            </w:tcMar>
          </w:tcPr>
          <w:p>
            <w:r>
              <w:rPr>
                <w:b/>
                <w:bCs/>
              </w:rPr>
              <w:t xml:space="preserve">Fecha</w:t>
            </w:r>
          </w:p>
        </w:tc>
        <w:tc>
          <w:tcPr>
            <w:tcW w:type="dxa" w:w="6700"/>
            <w:tcMar>
              <w:top w:type="dxa" w:w="80"/>
              <w:left w:type="dxa" w:w="100"/>
              <w:bottom w:type="dxa" w:w="80"/>
              <w:right w:type="dxa" w:w="100"/>
            </w:tcMar>
          </w:tcPr>
          <w:p>
            <w:r>
              <w:t xml:space="preserve">16 de julio de 2026</w:t>
            </w:r>
          </w:p>
        </w:tc>
      </w:tr>
      <w:tr>
        <w:tc>
          <w:tcPr>
            <w:tcW w:type="dxa" w:w="2200"/>
            <w:shd w:fill="F2F3F4" w:val="clear"/>
            <w:tcMar>
              <w:top w:type="dxa" w:w="80"/>
              <w:left w:type="dxa" w:w="100"/>
              <w:bottom w:type="dxa" w:w="80"/>
              <w:right w:type="dxa" w:w="100"/>
            </w:tcMar>
          </w:tcPr>
          <w:p>
            <w:r>
              <w:rPr>
                <w:b/>
                <w:bCs/>
              </w:rPr>
              <w:t xml:space="preserve">Herramienta</w:t>
            </w:r>
          </w:p>
        </w:tc>
        <w:tc>
          <w:tcPr>
            <w:tcW w:type="dxa" w:w="6700"/>
            <w:tcMar>
              <w:top w:type="dxa" w:w="80"/>
              <w:left w:type="dxa" w:w="100"/>
              <w:bottom w:type="dxa" w:w="80"/>
              <w:right w:type="dxa" w:w="100"/>
            </w:tcMar>
          </w:tcPr>
          <w:p>
            <w:r>
              <w:t xml:space="preserve">MobSF v4.5.1 — Security Score: 49/100 (Grado B, riesgo medio)</w:t>
            </w:r>
          </w:p>
        </w:tc>
      </w:tr>
      <w:tr>
        <w:tc>
          <w:tcPr>
            <w:tcW w:type="dxa" w:w="2200"/>
            <w:shd w:fill="F2F3F4" w:val="clear"/>
            <w:tcMar>
              <w:top w:type="dxa" w:w="80"/>
              <w:left w:type="dxa" w:w="100"/>
              <w:bottom w:type="dxa" w:w="80"/>
              <w:right w:type="dxa" w:w="100"/>
            </w:tcMar>
          </w:tcPr>
          <w:p>
            <w:r>
              <w:rPr>
                <w:b/>
                <w:bCs/>
              </w:rPr>
              <w:t xml:space="preserve">Objetivo</w:t>
            </w:r>
          </w:p>
        </w:tc>
        <w:tc>
          <w:tcPr>
            <w:tcW w:type="dxa" w:w="6700"/>
            <w:tcMar>
              <w:top w:type="dxa" w:w="80"/>
              <w:left w:type="dxa" w:w="100"/>
              <w:bottom w:type="dxa" w:w="80"/>
              <w:right w:type="dxa" w:w="100"/>
            </w:tcMar>
          </w:tcPr>
          <w:p>
            <w:r>
              <w:t xml:space="preserve">Corregir los hallazgos de Prioridad Alta antes del próximo release. Los de Prioridad Media, planificarlos para el siguiente sprint.</w:t>
            </w:r>
          </w:p>
        </w:tc>
      </w:tr>
    </w:tbl>
    <w:p>
      <w:pPr>
        <w:spacing w:before="400"/>
      </w:pPr>
    </w:p>
    <w:p>
      <w:pPr>
        <w:pStyle w:val="Heading1"/>
        <w:spacing w:after="160" w:before="200"/>
      </w:pPr>
      <w:r>
        <w:rPr>
          <w:color w:val="C0392B"/>
        </w:rPr>
        <w:t xml:space="preserve">Prioridad Alta — corregir antes del próximo release</w:t>
      </w:r>
    </w:p>
    <w:p>
      <w:pPr>
        <w:pStyle w:val="Heading3"/>
        <w:spacing w:after="80" w:before="280"/>
      </w:pPr>
      <w:r>
        <w:rPr>
          <w:b/>
          <w:bCs/>
        </w:rPr>
        <w:t xml:space="preserve">1. Keystore de firma y contraseña expuestos en el repositorio  </w:t>
      </w:r>
      <w:r>
        <w:rPr>
          <w:b/>
          <w:bCs/>
          <w:color w:val="C0392B"/>
        </w:rPr>
        <w:t xml:space="preserve">[PRIORIDAD ALTA]</w:t>
      </w:r>
    </w:p>
    <w:p>
      <w:pPr>
        <w:spacing w:after="60"/>
      </w:pPr>
      <w:r>
        <w:rPr>
          <w:b/>
          <w:bCs/>
          <w:color w:val="555555"/>
        </w:rPr>
        <w:t xml:space="preserve">Dónde: </w:t>
      </w:r>
      <w:r>
        <w:t xml:space="preserve">android/app/build.gradle.kts (líneas ~24-30) y el archivo virtualsign.keystore, ambos versionados en Git</w:t>
      </w:r>
    </w:p>
    <w:p>
      <w:pPr>
        <w:spacing w:after="60"/>
      </w:pPr>
      <w:r>
        <w:rPr>
          <w:b/>
          <w:bCs/>
          <w:color w:val="555555"/>
        </w:rPr>
        <w:t xml:space="preserve">Riesgo: </w:t>
      </w:r>
      <w:r>
        <w:t xml:space="preserve">El .gitignore actual no excluye ni el archivo .keystore ni un key.properties — es decir, tanto la llave de firma como su contraseña ("VirtualSign2026", en texto plano) están en el historial de Git. Cualquiera con acceso al repositorio (incluyendo un repo que en el futuro se vuelva público, o un colaborador que se vaya del equipo) puede firmar un APK malicioso que Android reconocería como una actualización legítima de la app.</w:t>
      </w:r>
    </w:p>
    <w:p>
      <w:pPr>
        <w:spacing w:after="40"/>
      </w:pPr>
      <w:r>
        <w:rPr>
          <w:b/>
          <w:bCs/>
          <w:color w:val="555555"/>
        </w:rPr>
        <w:t xml:space="preserve">Acción recomendada:</w:t>
      </w:r>
    </w:p>
    <w:p>
      <w:pPr>
        <w:pStyle w:val="ListParagraph"/>
        <w:numPr>
          <w:ilvl w:val="0"/>
          <w:numId w:val="2"/>
        </w:numPr>
        <w:spacing w:after="40"/>
      </w:pPr>
      <w:r>
        <w:t xml:space="preserve">Mover storePassword, keyPassword y keyAlias a un archivo key.properties fuera de Git (agregarlo a .gitignore) y leerlo desde build.gradle.kts en tiempo de build.</w:t>
      </w:r>
    </w:p>
    <w:p>
      <w:pPr>
        <w:pStyle w:val="ListParagraph"/>
        <w:numPr>
          <w:ilvl w:val="0"/>
          <w:numId w:val="2"/>
        </w:numPr>
        <w:spacing w:after="40"/>
      </w:pPr>
      <w:r>
        <w:t xml:space="preserve">Agregar *.keystore y key.properties al .gitignore.</w:t>
      </w:r>
    </w:p>
    <w:p>
      <w:pPr>
        <w:pStyle w:val="ListParagraph"/>
        <w:numPr>
          <w:ilvl w:val="0"/>
          <w:numId w:val="2"/>
        </w:numPr>
        <w:spacing w:after="40"/>
      </w:pPr>
      <w:r>
        <w:t xml:space="preserve">Quitar virtualsign.keystore del historial de Git (git filter-repo o BFG Repo-Cleaner) y distribuirlo al equipo por un canal seguro (gestor de secretos, no chat).</w:t>
      </w:r>
    </w:p>
    <w:p>
      <w:pPr>
        <w:pStyle w:val="ListParagraph"/>
        <w:numPr>
          <w:ilvl w:val="0"/>
          <w:numId w:val="2"/>
        </w:numPr>
        <w:spacing w:after="40"/>
      </w:pPr>
      <w:r>
        <w:t xml:space="preserve">Evaluar si, dado que la contraseña ya estuvo expuesta, conviene generar un nuevo keystore para builds futuros (rompe la cadena de firma con versiones ya publicadas, así que solo si el riesgo lo justifica).</w:t>
      </w:r>
    </w:p>
    <w:p>
      <w:pPr>
        <w:pStyle w:val="Heading3"/>
        <w:spacing w:after="80" w:before="280"/>
      </w:pPr>
      <w:r>
        <w:rPr>
          <w:b/>
          <w:bCs/>
        </w:rPr>
        <w:t xml:space="preserve">2. Cifrado CBC con padding PKCS5/PKCS7 sin autenticación  </w:t>
      </w:r>
      <w:r>
        <w:rPr>
          <w:b/>
          <w:bCs/>
          <w:color w:val="C0392B"/>
        </w:rPr>
        <w:t xml:space="preserve">[PRIORIDAD ALTA]</w:t>
      </w:r>
    </w:p>
    <w:p>
      <w:pPr>
        <w:spacing w:after="60"/>
      </w:pPr>
      <w:r>
        <w:rPr>
          <w:b/>
          <w:bCs/>
          <w:color w:val="555555"/>
        </w:rPr>
        <w:t xml:space="preserve">Dónde: </w:t>
      </w:r>
      <w:r>
        <w:t xml:space="preserve">Código nativo compilado, referenciado por MobSF como i0/C0395a.java (nombre ofuscado por R8 — hay que ubicarlo en el Dart original buscando la librería de cifrado usada para el almacén encriptado de sesión)</w:t>
      </w:r>
    </w:p>
    <w:p>
      <w:pPr>
        <w:spacing w:after="60"/>
      </w:pPr>
      <w:r>
        <w:rPr>
          <w:b/>
          <w:bCs/>
          <w:color w:val="555555"/>
        </w:rPr>
        <w:t xml:space="preserve">Riesgo: </w:t>
      </w:r>
      <w:r>
        <w:t xml:space="preserve">CBC sin un MAC (HMAC) o sin usar un modo autenticado (GCM) es vulnerable a ataques de padding oracle: un atacante que pueda distinguir entre un error de "padding inválido" y otros errores puede, con suficientes intentos, descifrar datos sin conocer la llave. La app guarda cifrados localmente el email, nombre y token FCM del usuario — datos que quedarían expuestos.</w:t>
      </w:r>
    </w:p>
    <w:p>
      <w:pPr>
        <w:spacing w:after="40"/>
      </w:pPr>
      <w:r>
        <w:rPr>
          <w:b/>
          <w:bCs/>
          <w:color w:val="555555"/>
        </w:rPr>
        <w:t xml:space="preserve">Acción recomendada:</w:t>
      </w:r>
    </w:p>
    <w:p>
      <w:pPr>
        <w:pStyle w:val="ListParagraph"/>
        <w:numPr>
          <w:ilvl w:val="0"/>
          <w:numId w:val="2"/>
        </w:numPr>
        <w:spacing w:after="40"/>
      </w:pPr>
      <w:r>
        <w:t xml:space="preserve">Ubicar qué paquete/librería de cifrado se está usando para el almacén de sesión (buscar en pubspec.yaml paquetes de encriptación local).</w:t>
      </w:r>
    </w:p>
    <w:p>
      <w:pPr>
        <w:pStyle w:val="ListParagraph"/>
        <w:numPr>
          <w:ilvl w:val="0"/>
          <w:numId w:val="2"/>
        </w:numPr>
        <w:spacing w:after="40"/>
      </w:pPr>
      <w:r>
        <w:t xml:space="preserve">Migrar de AES-CBC a AES-GCM (modo autenticado), o mejor aún, delegar el almacenamiento sensible al Keystore de Android / Keychain de iOS en vez de cifrado manual en Dart (ej. flutter_secure_storage, que ya usa el almacén seguro nativo).</w:t>
      </w:r>
    </w:p>
    <w:p>
      <w:pPr>
        <w:pStyle w:val="Heading3"/>
        <w:spacing w:after="80" w:before="280"/>
      </w:pPr>
      <w:r>
        <w:rPr>
          <w:b/>
          <w:bCs/>
        </w:rPr>
        <w:t xml:space="preserve">3. Tráfico en texto claro (HTTP) permitido a nivel de sistema  </w:t>
      </w:r>
      <w:r>
        <w:rPr>
          <w:b/>
          <w:bCs/>
          <w:color w:val="C0392B"/>
        </w:rPr>
        <w:t xml:space="preserve">[PRIORIDAD ALTA]</w:t>
      </w:r>
    </w:p>
    <w:p>
      <w:pPr>
        <w:spacing w:after="60"/>
      </w:pPr>
      <w:r>
        <w:rPr>
          <w:b/>
          <w:bCs/>
          <w:color w:val="555555"/>
        </w:rPr>
        <w:t xml:space="preserve">Dónde: </w:t>
      </w:r>
      <w:r>
        <w:t xml:space="preserve">AndroidManifest.xml — android:usesCleartextTraffic=true (valor por defecto, no hay Network Security Config que lo restrinja)</w:t>
      </w:r>
    </w:p>
    <w:p>
      <w:pPr>
        <w:spacing w:after="60"/>
      </w:pPr>
      <w:r>
        <w:rPr>
          <w:b/>
          <w:bCs/>
          <w:color w:val="555555"/>
        </w:rPr>
        <w:t xml:space="preserve">Riesgo: </w:t>
      </w:r>
      <w:r>
        <w:t xml:space="preserve">aunque apiBaseUrl en producción ya usa HTTPS, el sistema operativo permite HTTP hacia cualquier dominio. Si algún flujo de código cae por error al fallback de desarrollo (http://192.168.1.75:8080) en un build de producción, Android no lo bloquea — permitiendo a un atacante en la misma red interceptar esas peticiones.</w:t>
      </w:r>
    </w:p>
    <w:p>
      <w:pPr>
        <w:spacing w:after="40"/>
      </w:pPr>
      <w:r>
        <w:rPr>
          <w:b/>
          <w:bCs/>
          <w:color w:val="555555"/>
        </w:rPr>
        <w:t xml:space="preserve">Acción recomendada:</w:t>
      </w:r>
    </w:p>
    <w:p>
      <w:pPr>
        <w:pStyle w:val="ListParagraph"/>
        <w:numPr>
          <w:ilvl w:val="0"/>
          <w:numId w:val="2"/>
        </w:numPr>
        <w:spacing w:after="40"/>
      </w:pPr>
      <w:r>
        <w:t xml:space="preserve">Crear res/xml/network_security_config.xml con cleartextTrafficPermitted="false" como base-config.</w:t>
      </w:r>
    </w:p>
    <w:p>
      <w:pPr>
        <w:pStyle w:val="ListParagraph"/>
        <w:numPr>
          <w:ilvl w:val="0"/>
          <w:numId w:val="2"/>
        </w:numPr>
        <w:spacing w:after="40"/>
      </w:pPr>
      <w:r>
        <w:t xml:space="preserve">Si se necesita HTTP solo para desarrollo, agregar una excepción de dominio (domain-config) únicamente en el build variant de debug, nunca en release.</w:t>
      </w:r>
    </w:p>
    <w:p>
      <w:pPr>
        <w:pStyle w:val="Heading3"/>
        <w:spacing w:after="80" w:before="280"/>
      </w:pPr>
      <w:r>
        <w:rPr>
          <w:b/>
          <w:bCs/>
        </w:rPr>
        <w:t xml:space="preserve">4. minSdk 24 (Android 7.0) — dispositivos sin soporte de seguridad  </w:t>
      </w:r>
      <w:r>
        <w:rPr>
          <w:b/>
          <w:bCs/>
          <w:color w:val="C0392B"/>
        </w:rPr>
        <w:t xml:space="preserve">[PRIORIDAD ALTA]</w:t>
      </w:r>
    </w:p>
    <w:p>
      <w:pPr>
        <w:spacing w:after="60"/>
      </w:pPr>
      <w:r>
        <w:rPr>
          <w:b/>
          <w:bCs/>
          <w:color w:val="555555"/>
        </w:rPr>
        <w:t xml:space="preserve">Dónde: </w:t>
      </w:r>
      <w:r>
        <w:t xml:space="preserve">android/app/build.gradle.kts — minSdk = flutter.minSdkVersion, fijado en 24 (comentario en el código indica que es requisito de Firebase)</w:t>
      </w:r>
    </w:p>
    <w:p>
      <w:pPr>
        <w:spacing w:after="60"/>
      </w:pPr>
      <w:r>
        <w:rPr>
          <w:b/>
          <w:bCs/>
          <w:color w:val="555555"/>
        </w:rPr>
        <w:t xml:space="preserve">Riesgo: </w:t>
      </w:r>
      <w:r>
        <w:t xml:space="preserve">Los dispositivos con Android 7-9 ya no reciben parches de seguridad de Google, y quedan expuestos a vulnerabilidades conocidas del sistema operativo que la app no puede mitigar por sí sola.</w:t>
      </w:r>
    </w:p>
    <w:p>
      <w:pPr>
        <w:spacing w:after="40"/>
      </w:pPr>
      <w:r>
        <w:rPr>
          <w:b/>
          <w:bCs/>
          <w:color w:val="555555"/>
        </w:rPr>
        <w:t xml:space="preserve">Acción recomendada:</w:t>
      </w:r>
    </w:p>
    <w:p>
      <w:pPr>
        <w:pStyle w:val="ListParagraph"/>
        <w:numPr>
          <w:ilvl w:val="0"/>
          <w:numId w:val="2"/>
        </w:numPr>
        <w:spacing w:after="40"/>
      </w:pPr>
      <w:r>
        <w:t xml:space="preserve">Si el negocio lo permite, subir minSdk a 29+ (Android 10) para forzar TLS moderno y reducir la superficie de dispositivos sin parches.</w:t>
      </w:r>
    </w:p>
    <w:p>
      <w:pPr>
        <w:pStyle w:val="ListParagraph"/>
        <w:numPr>
          <w:ilvl w:val="0"/>
          <w:numId w:val="2"/>
        </w:numPr>
        <w:spacing w:after="40"/>
      </w:pPr>
      <w:r>
        <w:t xml:space="preserve">Si no es viable (por alcance de usuarios en dispositivos antiguos), documentar la decisión formalmente — esto es válido como respuesta en el reporte de auditoría, siempre que quede constatado por escrito.</w:t>
      </w:r>
    </w:p>
    <w:p>
      <w:pPr>
        <w:pStyle w:val="Heading1"/>
        <w:spacing w:after="160" w:before="400"/>
      </w:pPr>
      <w:r>
        <w:rPr>
          <w:color w:val="B9770E"/>
        </w:rPr>
        <w:t xml:space="preserve">Prioridad Media — planificar para el siguiente sprint</w:t>
      </w:r>
    </w:p>
    <w:p>
      <w:pPr>
        <w:pStyle w:val="Heading3"/>
        <w:spacing w:after="80" w:before="280"/>
      </w:pPr>
      <w:r>
        <w:rPr>
          <w:b/>
          <w:bCs/>
        </w:rPr>
        <w:t xml:space="preserve">5. allowBackup no está deshabilitado  </w:t>
      </w:r>
      <w:r>
        <w:rPr>
          <w:b/>
          <w:bCs/>
          <w:color w:val="B9770E"/>
        </w:rPr>
        <w:t xml:space="preserve">[PRIORIDAD MEDIA]</w:t>
      </w:r>
    </w:p>
    <w:p>
      <w:pPr>
        <w:spacing w:after="60"/>
      </w:pPr>
      <w:r>
        <w:rPr>
          <w:b/>
          <w:bCs/>
          <w:color w:val="555555"/>
        </w:rPr>
        <w:t xml:space="preserve">Dónde: </w:t>
      </w:r>
      <w:r>
        <w:t xml:space="preserve">AndroidManifest.xml — falta android:allowBackup="false"</w:t>
      </w:r>
    </w:p>
    <w:p>
      <w:pPr>
        <w:spacing w:after="60"/>
      </w:pPr>
      <w:r>
        <w:rPr>
          <w:b/>
          <w:bCs/>
          <w:color w:val="555555"/>
        </w:rPr>
        <w:t xml:space="preserve">Riesgo: </w:t>
      </w:r>
      <w:r>
        <w:t xml:space="preserve">con USB debugging habilitado, alguien con acceso físico al dispositivo puede extraer los datos de la app vía adb backup.</w:t>
      </w:r>
    </w:p>
    <w:p>
      <w:pPr>
        <w:spacing w:after="40"/>
      </w:pPr>
      <w:r>
        <w:rPr>
          <w:b/>
          <w:bCs/>
          <w:color w:val="555555"/>
        </w:rPr>
        <w:t xml:space="preserve">Acción recomendada:</w:t>
      </w:r>
    </w:p>
    <w:p>
      <w:pPr>
        <w:pStyle w:val="ListParagraph"/>
        <w:numPr>
          <w:ilvl w:val="0"/>
          <w:numId w:val="2"/>
        </w:numPr>
        <w:spacing w:after="40"/>
      </w:pPr>
      <w:r>
        <w:t xml:space="preserve">Agregar android:allowBackup="false" en el &lt;application&gt; del manifest, o configurar dataExtractionRules (API 31+) para excluir explícitamente las claves sensibles de storageKeySensitive*.</w:t>
      </w:r>
    </w:p>
    <w:p>
      <w:pPr>
        <w:pStyle w:val="Heading3"/>
        <w:spacing w:after="80" w:before="280"/>
      </w:pPr>
      <w:r>
        <w:rPr>
          <w:b/>
          <w:bCs/>
        </w:rPr>
        <w:t xml:space="preserve">6. Uso de SQL crudo (raw query) — riesgo de inyección SQL  </w:t>
      </w:r>
      <w:r>
        <w:rPr>
          <w:b/>
          <w:bCs/>
          <w:color w:val="B9770E"/>
        </w:rPr>
        <w:t xml:space="preserve">[PRIORIDAD MEDIA]</w:t>
      </w:r>
    </w:p>
    <w:p>
      <w:pPr>
        <w:spacing w:after="60"/>
      </w:pPr>
      <w:r>
        <w:rPr>
          <w:b/>
          <w:bCs/>
          <w:color w:val="555555"/>
        </w:rPr>
        <w:t xml:space="preserve">Dónde: </w:t>
      </w:r>
      <w:r>
        <w:t xml:space="preserve">Varios archivos ofuscados detectados por MobSF (no se puede mapear al Dart original sin el código fuente)</w:t>
      </w:r>
    </w:p>
    <w:p>
      <w:pPr>
        <w:spacing w:after="60"/>
      </w:pPr>
      <w:r>
        <w:rPr>
          <w:b/>
          <w:bCs/>
          <w:color w:val="555555"/>
        </w:rPr>
        <w:t xml:space="preserve">Riesgo: </w:t>
      </w:r>
      <w:r>
        <w:t xml:space="preserve">si alguna de esas queries concatena input del usuario directamente en el string SQL, es vulnerable a inyección SQL local.</w:t>
      </w:r>
    </w:p>
    <w:p>
      <w:pPr>
        <w:spacing w:after="40"/>
      </w:pPr>
      <w:r>
        <w:rPr>
          <w:b/>
          <w:bCs/>
          <w:color w:val="555555"/>
        </w:rPr>
        <w:t xml:space="preserve">Acción recomendada:</w:t>
      </w:r>
    </w:p>
    <w:p>
      <w:pPr>
        <w:pStyle w:val="ListParagraph"/>
        <w:numPr>
          <w:ilvl w:val="0"/>
          <w:numId w:val="2"/>
        </w:numPr>
        <w:spacing w:after="40"/>
      </w:pPr>
      <w:r>
        <w:t xml:space="preserve">Revisar manualmente cualquier uso de rawQuery / execute en el código Dart (sqflite u otro paquete de SQLite local) y confirmar que siempre se usan placeholders (?) y no interpolación de strings.</w:t>
      </w:r>
    </w:p>
    <w:p>
      <w:pPr>
        <w:pStyle w:val="Heading3"/>
        <w:spacing w:after="80" w:before="280"/>
      </w:pPr>
      <w:r>
        <w:rPr>
          <w:b/>
          <w:bCs/>
        </w:rPr>
        <w:t xml:space="preserve">7. Generador de números aleatorios no criptográfico  </w:t>
      </w:r>
      <w:r>
        <w:rPr>
          <w:b/>
          <w:bCs/>
          <w:color w:val="B9770E"/>
        </w:rPr>
        <w:t xml:space="preserve">[PRIORIDAD MEDIA]</w:t>
      </w:r>
    </w:p>
    <w:p>
      <w:pPr>
        <w:spacing w:after="60"/>
      </w:pPr>
      <w:r>
        <w:rPr>
          <w:b/>
          <w:bCs/>
          <w:color w:val="555555"/>
        </w:rPr>
        <w:t xml:space="preserve">Riesgo: </w:t>
      </w:r>
      <w:r>
        <w:t xml:space="preserve">Random() de Dart no es seguro para generar tokens, nonces o cualquier valor con propósito de seguridad — es predecible.</w:t>
      </w:r>
    </w:p>
    <w:p>
      <w:pPr>
        <w:spacing w:after="40"/>
      </w:pPr>
      <w:r>
        <w:rPr>
          <w:b/>
          <w:bCs/>
          <w:color w:val="555555"/>
        </w:rPr>
        <w:t xml:space="preserve">Acción recomendada:</w:t>
      </w:r>
    </w:p>
    <w:p>
      <w:pPr>
        <w:pStyle w:val="ListParagraph"/>
        <w:numPr>
          <w:ilvl w:val="0"/>
          <w:numId w:val="2"/>
        </w:numPr>
        <w:spacing w:after="40"/>
      </w:pPr>
      <w:r>
        <w:t xml:space="preserve">Reemplazar por Random.secure() en cualquier punto donde el valor generado tenga un propósito de seguridad (no es necesario si solo se usa para UI/animaciones).</w:t>
      </w:r>
    </w:p>
    <w:p>
      <w:pPr>
        <w:pStyle w:val="Heading3"/>
        <w:spacing w:after="80" w:before="280"/>
      </w:pPr>
      <w:r>
        <w:rPr>
          <w:b/>
          <w:bCs/>
        </w:rPr>
        <w:t xml:space="preserve">8. Uso de MD5 como función hash  </w:t>
      </w:r>
      <w:r>
        <w:rPr>
          <w:b/>
          <w:bCs/>
          <w:color w:val="B9770E"/>
        </w:rPr>
        <w:t xml:space="preserve">[PRIORIDAD MEDIA]</w:t>
      </w:r>
    </w:p>
    <w:p>
      <w:pPr>
        <w:spacing w:after="60"/>
      </w:pPr>
      <w:r>
        <w:rPr>
          <w:b/>
          <w:bCs/>
          <w:color w:val="555555"/>
        </w:rPr>
        <w:t xml:space="preserve">Riesgo: </w:t>
      </w:r>
      <w:r>
        <w:t xml:space="preserve">MD5 es criptográficamente débil (colisiones conocidas). Solo es un problema real si se usa para contraseñas, tokens o verificación de integridad de seguridad.</w:t>
      </w:r>
    </w:p>
    <w:p>
      <w:pPr>
        <w:spacing w:after="40"/>
      </w:pPr>
      <w:r>
        <w:rPr>
          <w:b/>
          <w:bCs/>
          <w:color w:val="555555"/>
        </w:rPr>
        <w:t xml:space="preserve">Acción recomendada:</w:t>
      </w:r>
    </w:p>
    <w:p>
      <w:pPr>
        <w:pStyle w:val="ListParagraph"/>
        <w:numPr>
          <w:ilvl w:val="0"/>
          <w:numId w:val="2"/>
        </w:numPr>
        <w:spacing w:after="40"/>
      </w:pPr>
      <w:r>
        <w:t xml:space="preserve">Si es para propósito de seguridad, migrar a SHA-256. Si es solo un checksum trivial (ej. nombre de archivo en caché), dejarlo y documentarlo como aceptado.</w:t>
      </w:r>
    </w:p>
    <w:p>
      <w:pPr>
        <w:pStyle w:val="Heading3"/>
        <w:spacing w:after="80" w:before="280"/>
      </w:pPr>
      <w:r>
        <w:rPr>
          <w:b/>
          <w:bCs/>
        </w:rPr>
        <w:t xml:space="preserve">9. IP interna de desarrollo filtrada en el build de producción  </w:t>
      </w:r>
      <w:r>
        <w:rPr>
          <w:b/>
          <w:bCs/>
          <w:color w:val="B9770E"/>
        </w:rPr>
        <w:t xml:space="preserve">[PRIORIDAD MEDIA]</w:t>
      </w:r>
    </w:p>
    <w:p>
      <w:pPr>
        <w:spacing w:after="60"/>
      </w:pPr>
      <w:r>
        <w:rPr>
          <w:b/>
          <w:bCs/>
          <w:color w:val="555555"/>
        </w:rPr>
        <w:t xml:space="preserve">Dónde: </w:t>
      </w:r>
      <w:r>
        <w:t xml:space="preserve">lib/core/constants/app_constants.dart — apiBaseUrl hardcodeada, con IPs de desarrollo (192.168.1.75, 10.0.2.2) en el mismo archivo que la URL de producción</w:t>
      </w:r>
    </w:p>
    <w:p>
      <w:pPr>
        <w:spacing w:after="60"/>
      </w:pPr>
      <w:r>
        <w:rPr>
          <w:b/>
          <w:bCs/>
          <w:color w:val="555555"/>
        </w:rPr>
        <w:t xml:space="preserve">Riesgo: </w:t>
      </w:r>
      <w:r>
        <w:t xml:space="preserve">bajo (son IPs privadas, no explotables desde fuera de esa red), pero es mala higiene: el binario que se publica en Play Store no debería contener nada del entorno de desarrollo.</w:t>
      </w:r>
    </w:p>
    <w:p>
      <w:pPr>
        <w:spacing w:after="40"/>
      </w:pPr>
      <w:r>
        <w:rPr>
          <w:b/>
          <w:bCs/>
          <w:color w:val="555555"/>
        </w:rPr>
        <w:t xml:space="preserve">Acción recomendada:</w:t>
      </w:r>
    </w:p>
    <w:p>
      <w:pPr>
        <w:pStyle w:val="ListParagraph"/>
        <w:numPr>
          <w:ilvl w:val="0"/>
          <w:numId w:val="2"/>
        </w:numPr>
        <w:spacing w:after="40"/>
      </w:pPr>
      <w:r>
        <w:t xml:space="preserve">Mover las URLs por entorno a variables de compilación (--dart-define=API_BASE_URL=...) o a flavors de Flutter, para que el build de release solo contenga la URL de producción.</w:t>
      </w:r>
    </w:p>
    <w:p>
      <w:pPr>
        <w:pStyle w:val="Heading1"/>
        <w:spacing w:after="160" w:before="400"/>
      </w:pPr>
      <w:r>
        <w:rPr>
          <w:color w:val="1F618D"/>
        </w:rPr>
        <w:t xml:space="preserve">Aclaraciones — no requieren corrección</w:t>
      </w:r>
    </w:p>
    <w:p>
      <w:pPr>
        <w:spacing w:after="120"/>
      </w:pPr>
      <w:r>
        <w:t xml:space="preserve">MobSF marcó estos puntos, pero no son vulnerabilidades reales. Se documentan aquí para que no se les dedique tiempo de desarrollo y puedan justificarse directamente en el reporte de auditoría:</w:t>
      </w:r>
    </w:p>
    <w:p>
      <w:pPr>
        <w:pStyle w:val="ListParagraph"/>
        <w:numPr>
          <w:ilvl w:val="0"/>
          <w:numId w:val="2"/>
        </w:numPr>
        <w:spacing w:after="40"/>
      </w:pPr>
      <w:r>
        <w:t xml:space="preserve">"Hardcoded secret": google_api_key — es la Firebase API Key, diseñada por Google para ir embebida en el cliente. No es secreta; la protección real depende de las reglas de seguridad de Firestore/Realtime Database, no de ocultar esta clave.</w:t>
      </w:r>
    </w:p>
    <w:p>
      <w:pPr>
        <w:pStyle w:val="ListParagraph"/>
        <w:numPr>
          <w:ilvl w:val="0"/>
          <w:numId w:val="2"/>
        </w:numPr>
        <w:spacing w:after="40"/>
      </w:pPr>
      <w:r>
        <w:t xml:space="preserve">0 de 432 trackers detectados y 0 dominios maliciosos en el chequeo de reputación — todos los dominios contactados son SDKs legítimos (Firebase, Flutter, GitHub, Apple, W3C).</w:t>
      </w:r>
    </w:p>
    <w:p>
      <w:pPr>
        <w:pStyle w:val="ListParagraph"/>
        <w:numPr>
          <w:ilvl w:val="0"/>
          <w:numId w:val="2"/>
        </w:numPr>
        <w:spacing w:after="40"/>
      </w:pPr>
      <w:r>
        <w:t xml:space="preserve">Firebase Remote Config: marcado como "secure" — MobSF confirmó que no está expuesto sin autenticación.</w:t>
      </w:r>
    </w:p>
    <w:p>
      <w:pPr>
        <w:pStyle w:val="Heading1"/>
        <w:spacing w:after="160" w:before="400"/>
      </w:pPr>
      <w:r>
        <w:t xml:space="preserve">Checklist de seguimiento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400"/>
        <w:gridCol w:w="1400"/>
      </w:tblGrid>
      <w:tr>
        <w:tc>
          <w:tcPr>
            <w:tcW w:type="dxa" w:w="500"/>
            <w:shd w:fill="34495E" w:val="clear"/>
            <w:tcMar>
              <w:top w:type="dxa" w:w="80"/>
              <w:left w:type="dxa" w:w="100"/>
              <w:bottom w:type="dxa" w:w="80"/>
              <w:right w:type="dxa" w:w="100"/>
            </w:tcMar>
          </w:tcPr>
          <w:p>
            <w:r>
              <w:rPr>
                <w:b/>
                <w:bCs/>
                <w:color w:val="FFFFFF"/>
              </w:rPr>
              <w:t xml:space="preserve">#</w:t>
            </w:r>
          </w:p>
        </w:tc>
        <w:tc>
          <w:tcPr>
            <w:tcW w:type="dxa" w:w="5600"/>
            <w:shd w:fill="34495E" w:val="clear"/>
            <w:tcMar>
              <w:top w:type="dxa" w:w="80"/>
              <w:left w:type="dxa" w:w="100"/>
              <w:bottom w:type="dxa" w:w="80"/>
              <w:right w:type="dxa" w:w="100"/>
            </w:tcMar>
          </w:tcPr>
          <w:p>
            <w:r>
              <w:rPr>
                <w:b/>
                <w:bCs/>
                <w:color w:val="FFFFFF"/>
              </w:rPr>
              <w:t xml:space="preserve">Hallazgo</w:t>
            </w:r>
          </w:p>
        </w:tc>
        <w:tc>
          <w:tcPr>
            <w:tcW w:type="dxa" w:w="1400"/>
            <w:shd w:fill="34495E" w:val="clear"/>
            <w:tcMar>
              <w:top w:type="dxa" w:w="80"/>
              <w:left w:type="dxa" w:w="100"/>
              <w:bottom w:type="dxa" w:w="80"/>
              <w:right w:type="dxa" w:w="100"/>
            </w:tcMar>
          </w:tcPr>
          <w:p>
            <w:r>
              <w:rPr>
                <w:b/>
                <w:bCs/>
                <w:color w:val="FFFFFF"/>
              </w:rPr>
              <w:t xml:space="preserve">Prioridad</w:t>
            </w:r>
          </w:p>
        </w:tc>
        <w:tc>
          <w:tcPr>
            <w:tcW w:type="dxa" w:w="1400"/>
            <w:shd w:fill="34495E" w:val="clear"/>
            <w:tcMar>
              <w:top w:type="dxa" w:w="80"/>
              <w:left w:type="dxa" w:w="100"/>
              <w:bottom w:type="dxa" w:w="80"/>
              <w:right w:type="dxa" w:w="100"/>
            </w:tcMar>
          </w:tcPr>
          <w:p>
            <w:r>
              <w:rPr>
                <w:b/>
                <w:bCs/>
                <w:color w:val="FFFFFF"/>
              </w:rPr>
              <w:t xml:space="preserve">Hecho</w:t>
            </w:r>
          </w:p>
        </w:tc>
      </w:tr>
      <w:tr>
        <w:tc>
          <w:tcPr>
            <w:tcW w:type="dxa" w:w="500"/>
            <w:shd w:fill="FFFFFF" w:val="clear"/>
            <w:tcMar>
              <w:top w:type="dxa" w:w="80"/>
              <w:left w:type="dxa" w:w="100"/>
              <w:bottom w:type="dxa" w:w="80"/>
              <w:right w:type="dxa" w:w="100"/>
            </w:tcMar>
          </w:tcPr>
          <w:p>
            <w:r>
              <w:rPr>
                <w:b w:val="false"/>
                <w:bCs w:val="false"/>
              </w:rPr>
              <w:t xml:space="preserve">1</w:t>
            </w:r>
          </w:p>
        </w:tc>
        <w:tc>
          <w:tcPr>
            <w:tcW w:type="dxa" w:w="5600"/>
            <w:shd w:fill="FFFFFF" w:val="clear"/>
            <w:tcMar>
              <w:top w:type="dxa" w:w="80"/>
              <w:left w:type="dxa" w:w="100"/>
              <w:bottom w:type="dxa" w:w="80"/>
              <w:right w:type="dxa" w:w="100"/>
            </w:tcMar>
          </w:tcPr>
          <w:p>
            <w:r>
              <w:rPr>
                <w:b w:val="false"/>
                <w:bCs w:val="false"/>
              </w:rPr>
              <w:t xml:space="preserve">Keystore y contraseña de firma expuestos en el repo</w:t>
            </w:r>
          </w:p>
        </w:tc>
        <w:tc>
          <w:tcPr>
            <w:tcW w:type="dxa" w:w="1400"/>
            <w:shd w:fill="FADBD8" w:val="clear"/>
            <w:tcMar>
              <w:top w:type="dxa" w:w="80"/>
              <w:left w:type="dxa" w:w="100"/>
              <w:bottom w:type="dxa" w:w="80"/>
              <w:right w:type="dxa" w:w="100"/>
            </w:tcMar>
          </w:tcPr>
          <w:p>
            <w:r>
              <w:rPr>
                <w:b/>
                <w:bCs/>
                <w:color w:val="C0392B"/>
              </w:rPr>
              <w:t xml:space="preserve">Alta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2</w:t>
            </w:r>
          </w:p>
        </w:tc>
        <w:tc>
          <w:tcPr>
            <w:tcW w:type="dxa" w:w="5600"/>
            <w:shd w:fill="FFFFFF" w:val="clear"/>
            <w:tcMar>
              <w:top w:type="dxa" w:w="80"/>
              <w:left w:type="dxa" w:w="100"/>
              <w:bottom w:type="dxa" w:w="80"/>
              <w:right w:type="dxa" w:w="100"/>
            </w:tcMar>
          </w:tcPr>
          <w:p>
            <w:r>
              <w:rPr>
                <w:b w:val="false"/>
                <w:bCs w:val="false"/>
              </w:rPr>
              <w:t xml:space="preserve">Cifrado CBC sin autenticación (posible padding oracle)</w:t>
            </w:r>
          </w:p>
        </w:tc>
        <w:tc>
          <w:tcPr>
            <w:tcW w:type="dxa" w:w="1400"/>
            <w:shd w:fill="FADBD8" w:val="clear"/>
            <w:tcMar>
              <w:top w:type="dxa" w:w="80"/>
              <w:left w:type="dxa" w:w="100"/>
              <w:bottom w:type="dxa" w:w="80"/>
              <w:right w:type="dxa" w:w="100"/>
            </w:tcMar>
          </w:tcPr>
          <w:p>
            <w:r>
              <w:rPr>
                <w:b/>
                <w:bCs/>
                <w:color w:val="C0392B"/>
              </w:rPr>
              <w:t xml:space="preserve">Alta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3</w:t>
            </w:r>
          </w:p>
        </w:tc>
        <w:tc>
          <w:tcPr>
            <w:tcW w:type="dxa" w:w="5600"/>
            <w:shd w:fill="FFFFFF" w:val="clear"/>
            <w:tcMar>
              <w:top w:type="dxa" w:w="80"/>
              <w:left w:type="dxa" w:w="100"/>
              <w:bottom w:type="dxa" w:w="80"/>
              <w:right w:type="dxa" w:w="100"/>
            </w:tcMar>
          </w:tcPr>
          <w:p>
            <w:r>
              <w:rPr>
                <w:b w:val="false"/>
                <w:bCs w:val="false"/>
              </w:rPr>
              <w:t xml:space="preserve">Tráfico en texto claro (cleartext) permitido en el manifest</w:t>
            </w:r>
          </w:p>
        </w:tc>
        <w:tc>
          <w:tcPr>
            <w:tcW w:type="dxa" w:w="1400"/>
            <w:shd w:fill="FADBD8" w:val="clear"/>
            <w:tcMar>
              <w:top w:type="dxa" w:w="80"/>
              <w:left w:type="dxa" w:w="100"/>
              <w:bottom w:type="dxa" w:w="80"/>
              <w:right w:type="dxa" w:w="100"/>
            </w:tcMar>
          </w:tcPr>
          <w:p>
            <w:r>
              <w:rPr>
                <w:b/>
                <w:bCs/>
                <w:color w:val="C0392B"/>
              </w:rPr>
              <w:t xml:space="preserve">Alta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4</w:t>
            </w:r>
          </w:p>
        </w:tc>
        <w:tc>
          <w:tcPr>
            <w:tcW w:type="dxa" w:w="5600"/>
            <w:shd w:fill="FFFFFF" w:val="clear"/>
            <w:tcMar>
              <w:top w:type="dxa" w:w="80"/>
              <w:left w:type="dxa" w:w="100"/>
              <w:bottom w:type="dxa" w:w="80"/>
              <w:right w:type="dxa" w:w="100"/>
            </w:tcMar>
          </w:tcPr>
          <w:p>
            <w:r>
              <w:rPr>
                <w:b w:val="false"/>
                <w:bCs w:val="false"/>
              </w:rPr>
              <w:t xml:space="preserve">minSdk 24 — dispositivos sin soporte de seguridad</w:t>
            </w:r>
          </w:p>
        </w:tc>
        <w:tc>
          <w:tcPr>
            <w:tcW w:type="dxa" w:w="1400"/>
            <w:shd w:fill="FADBD8" w:val="clear"/>
            <w:tcMar>
              <w:top w:type="dxa" w:w="80"/>
              <w:left w:type="dxa" w:w="100"/>
              <w:bottom w:type="dxa" w:w="80"/>
              <w:right w:type="dxa" w:w="100"/>
            </w:tcMar>
          </w:tcPr>
          <w:p>
            <w:r>
              <w:rPr>
                <w:b/>
                <w:bCs/>
                <w:color w:val="C0392B"/>
              </w:rPr>
              <w:t xml:space="preserve">Alta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5</w:t>
            </w:r>
          </w:p>
        </w:tc>
        <w:tc>
          <w:tcPr>
            <w:tcW w:type="dxa" w:w="5600"/>
            <w:shd w:fill="FFFFFF" w:val="clear"/>
            <w:tcMar>
              <w:top w:type="dxa" w:w="80"/>
              <w:left w:type="dxa" w:w="100"/>
              <w:bottom w:type="dxa" w:w="80"/>
              <w:right w:type="dxa" w:w="100"/>
            </w:tcMar>
          </w:tcPr>
          <w:p>
            <w:r>
              <w:rPr>
                <w:b w:val="false"/>
                <w:bCs w:val="false"/>
              </w:rPr>
              <w:t xml:space="preserve">allowBackup no deshabilitado</w:t>
            </w:r>
          </w:p>
        </w:tc>
        <w:tc>
          <w:tcPr>
            <w:tcW w:type="dxa" w:w="1400"/>
            <w:shd w:fill="FDEBD0" w:val="clear"/>
            <w:tcMar>
              <w:top w:type="dxa" w:w="80"/>
              <w:left w:type="dxa" w:w="100"/>
              <w:bottom w:type="dxa" w:w="80"/>
              <w:right w:type="dxa" w:w="100"/>
            </w:tcMar>
          </w:tcPr>
          <w:p>
            <w:r>
              <w:rPr>
                <w:b/>
                <w:bCs/>
                <w:color w:val="B9770E"/>
              </w:rPr>
              <w:t xml:space="preserve">Media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6</w:t>
            </w:r>
          </w:p>
        </w:tc>
        <w:tc>
          <w:tcPr>
            <w:tcW w:type="dxa" w:w="5600"/>
            <w:shd w:fill="FFFFFF" w:val="clear"/>
            <w:tcMar>
              <w:top w:type="dxa" w:w="80"/>
              <w:left w:type="dxa" w:w="100"/>
              <w:bottom w:type="dxa" w:w="80"/>
              <w:right w:type="dxa" w:w="100"/>
            </w:tcMar>
          </w:tcPr>
          <w:p>
            <w:r>
              <w:rPr>
                <w:b w:val="false"/>
                <w:bCs w:val="false"/>
              </w:rPr>
              <w:t xml:space="preserve">SQL crudo — riesgo de inyección</w:t>
            </w:r>
          </w:p>
        </w:tc>
        <w:tc>
          <w:tcPr>
            <w:tcW w:type="dxa" w:w="1400"/>
            <w:shd w:fill="FDEBD0" w:val="clear"/>
            <w:tcMar>
              <w:top w:type="dxa" w:w="80"/>
              <w:left w:type="dxa" w:w="100"/>
              <w:bottom w:type="dxa" w:w="80"/>
              <w:right w:type="dxa" w:w="100"/>
            </w:tcMar>
          </w:tcPr>
          <w:p>
            <w:r>
              <w:rPr>
                <w:b/>
                <w:bCs/>
                <w:color w:val="B9770E"/>
              </w:rPr>
              <w:t xml:space="preserve">Media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7</w:t>
            </w:r>
          </w:p>
        </w:tc>
        <w:tc>
          <w:tcPr>
            <w:tcW w:type="dxa" w:w="5600"/>
            <w:shd w:fill="FFFFFF" w:val="clear"/>
            <w:tcMar>
              <w:top w:type="dxa" w:w="80"/>
              <w:left w:type="dxa" w:w="100"/>
              <w:bottom w:type="dxa" w:w="80"/>
              <w:right w:type="dxa" w:w="100"/>
            </w:tcMar>
          </w:tcPr>
          <w:p>
            <w:r>
              <w:rPr>
                <w:b w:val="false"/>
                <w:bCs w:val="false"/>
              </w:rPr>
              <w:t xml:space="preserve">Random() no criptográfico</w:t>
            </w:r>
          </w:p>
        </w:tc>
        <w:tc>
          <w:tcPr>
            <w:tcW w:type="dxa" w:w="1400"/>
            <w:shd w:fill="FDEBD0" w:val="clear"/>
            <w:tcMar>
              <w:top w:type="dxa" w:w="80"/>
              <w:left w:type="dxa" w:w="100"/>
              <w:bottom w:type="dxa" w:w="80"/>
              <w:right w:type="dxa" w:w="100"/>
            </w:tcMar>
          </w:tcPr>
          <w:p>
            <w:r>
              <w:rPr>
                <w:b/>
                <w:bCs/>
                <w:color w:val="B9770E"/>
              </w:rPr>
              <w:t xml:space="preserve">Media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8</w:t>
            </w:r>
          </w:p>
        </w:tc>
        <w:tc>
          <w:tcPr>
            <w:tcW w:type="dxa" w:w="5600"/>
            <w:shd w:fill="FFFFFF" w:val="clear"/>
            <w:tcMar>
              <w:top w:type="dxa" w:w="80"/>
              <w:left w:type="dxa" w:w="100"/>
              <w:bottom w:type="dxa" w:w="80"/>
              <w:right w:type="dxa" w:w="100"/>
            </w:tcMar>
          </w:tcPr>
          <w:p>
            <w:r>
              <w:rPr>
                <w:b w:val="false"/>
                <w:bCs w:val="false"/>
              </w:rPr>
              <w:t xml:space="preserve">MD5 usado como hash</w:t>
            </w:r>
          </w:p>
        </w:tc>
        <w:tc>
          <w:tcPr>
            <w:tcW w:type="dxa" w:w="1400"/>
            <w:shd w:fill="FDEBD0" w:val="clear"/>
            <w:tcMar>
              <w:top w:type="dxa" w:w="80"/>
              <w:left w:type="dxa" w:w="100"/>
              <w:bottom w:type="dxa" w:w="80"/>
              <w:right w:type="dxa" w:w="100"/>
            </w:tcMar>
          </w:tcPr>
          <w:p>
            <w:r>
              <w:rPr>
                <w:b/>
                <w:bCs/>
                <w:color w:val="B9770E"/>
              </w:rPr>
              <w:t xml:space="preserve">Media</w:t>
            </w:r>
          </w:p>
        </w:tc>
        <w:tc>
          <w:tcPr>
            <w:tcW w:type="dxa" w:w="1400"/>
            <w:shd w:fill="FFFFFF" w:val="clear"/>
            <w:tcMar>
              <w:top w:type="dxa" w:w="80"/>
              <w:left w:type="dxa" w:w="100"/>
              <w:bottom w:type="dxa" w:w="80"/>
              <w:right w:type="dxa" w:w="100"/>
            </w:tcMar>
          </w:tcPr>
          <w:p>
            <w:r>
              <w:rPr>
                <w:b w:val="false"/>
                <w:bCs w:val="false"/>
              </w:rPr>
              <w:t xml:space="preserve">☐</w:t>
            </w:r>
          </w:p>
        </w:tc>
      </w:tr>
      <w:tr>
        <w:tc>
          <w:tcPr>
            <w:tcW w:type="dxa" w:w="500"/>
            <w:shd w:fill="FFFFFF" w:val="clear"/>
            <w:tcMar>
              <w:top w:type="dxa" w:w="80"/>
              <w:left w:type="dxa" w:w="100"/>
              <w:bottom w:type="dxa" w:w="80"/>
              <w:right w:type="dxa" w:w="100"/>
            </w:tcMar>
          </w:tcPr>
          <w:p>
            <w:r>
              <w:rPr>
                <w:b w:val="false"/>
                <w:bCs w:val="false"/>
              </w:rPr>
              <w:t xml:space="preserve">9</w:t>
            </w:r>
          </w:p>
        </w:tc>
        <w:tc>
          <w:tcPr>
            <w:tcW w:type="dxa" w:w="5600"/>
            <w:shd w:fill="FFFFFF" w:val="clear"/>
            <w:tcMar>
              <w:top w:type="dxa" w:w="80"/>
              <w:left w:type="dxa" w:w="100"/>
              <w:bottom w:type="dxa" w:w="80"/>
              <w:right w:type="dxa" w:w="100"/>
            </w:tcMar>
          </w:tcPr>
          <w:p>
            <w:r>
              <w:rPr>
                <w:b w:val="false"/>
                <w:bCs w:val="false"/>
              </w:rPr>
              <w:t xml:space="preserve">IP de desarrollo filtrada en build de producción</w:t>
            </w:r>
          </w:p>
        </w:tc>
        <w:tc>
          <w:tcPr>
            <w:tcW w:type="dxa" w:w="1400"/>
            <w:shd w:fill="FDEBD0" w:val="clear"/>
            <w:tcMar>
              <w:top w:type="dxa" w:w="80"/>
              <w:left w:type="dxa" w:w="100"/>
              <w:bottom w:type="dxa" w:w="80"/>
              <w:right w:type="dxa" w:w="100"/>
            </w:tcMar>
          </w:tcPr>
          <w:p>
            <w:r>
              <w:rPr>
                <w:b/>
                <w:bCs/>
                <w:color w:val="B9770E"/>
              </w:rPr>
              <w:t xml:space="preserve">Media</w:t>
            </w:r>
          </w:p>
        </w:tc>
        <w:tc>
          <w:tcPr>
            <w:tcW w:type="dxa" w:w="1400"/>
            <w:shd w:fill="FFFFFF" w:val="clear"/>
            <w:tcMar>
              <w:top w:type="dxa" w:w="80"/>
              <w:left w:type="dxa" w:w="100"/>
              <w:bottom w:type="dxa" w:w="80"/>
              <w:right w:type="dxa" w:w="100"/>
            </w:tcMar>
          </w:tcPr>
          <w:p>
            <w:r>
              <w:rPr>
                <w:b w:val="false"/>
                <w:bCs w:val="false"/>
              </w:rPr>
              <w:t xml:space="preserve">☐</w:t>
            </w:r>
          </w:p>
        </w:tc>
      </w:tr>
    </w:tbl>
    <w:p>
      <w:pPr>
        <w:spacing w:before="300"/>
      </w:pPr>
      <w:r>
        <w:rPr>
          <w:i/>
          <w:iCs/>
          <w:color w:val="555555"/>
          <w:sz w:val="18"/>
          <w:szCs w:val="18"/>
        </w:rPr>
        <w:t xml:space="preserve">Nota: este documento cubre únicamente la superficie de la app móvil (MobSF). El backend (Bearer) y la API en ejecución (ZAP/Nuclei) se auditan por separado y se consolidan en el reporte final de Fase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2026-07-16T21:39:17.527Z</dcterms:created>
  <dcterms:modified xsi:type="dcterms:W3CDTF">2026-07-16T21:39:17.527Z</dcterms:modified>
</cp:coreProperties>
</file>

<file path=docProps/custom.xml><?xml version="1.0" encoding="utf-8"?>
<Properties xmlns="http://schemas.openxmlformats.org/officeDocument/2006/custom-properties" xmlns:vt="http://schemas.openxmlformats.org/officeDocument/2006/docPropsVTypes"/>
</file>