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/>
          <w:color w:val="64748B"/>
          <w:sz w:val="18"/>
        </w:rPr>
        <w:t>Signal · Thirdbase · Shareable export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Signal — Requirements Coverage Matrix</w:t>
      </w:r>
    </w:p>
    <w:p>
      <w:r>
        <w:rPr>
          <w:rFonts w:ascii="Calibri" w:hAnsi="Calibri"/>
          <w:b w:val="0"/>
          <w:i w:val="0"/>
          <w:sz w:val="21"/>
        </w:rPr>
        <w:t>Maps the Thirdbase Deal Sourcing &amp; Discovery brief to what Signal ships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Where it lives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scoring (60/40, Tier-1, 40%+ YoY, runway, TAM, moat, valuation, exit)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`config/thesis_policy.yaml`, `src/scoring/`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Relative rank within theme × stage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`apply_relative_ranks`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Articulate why (founder / market / investors / traction / valuation)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`build_why_now`, company briefs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Sector of Tomorrow (+ contrarian)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 (seed + live evidence enrich)**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seed `sector_calls`, `/sectors`, chat filters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News Worth Reading (3–5 + Thirdbase why)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digest + Excel + `/library?tab=news` + live RSS curation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Investor / operator commentary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 (seed; live X/Reddit/Blind = Phase 2)**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seed commentary + `/library?tab=commentary`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Continuous sourcing + dedupe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**MVP live**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EDGAR / HN / RSS / arXiv + `discovery.py` auto-add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Paid deal DBs (PitchBook, CB, Harmonic, Dealroom)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**Stubbed connectors**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`StubConnector` — plug API keys when licensed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Hiring (Coresignal / LinkedIn)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**Stubbed**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connector placeholder; headcount fields scored when present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Peer set + heatmap + thesis shifts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`src/intelligence/peers.py`, `/peers`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Company IC briefs Pass/Watch/Deep Dive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`/company/[id]`, `/search`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Self-maintaining pipeline (add/update/stale 90d, no auto-delete)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refresh + `mark_stale`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Excel workbook (all brief tabs + Golden Insights)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`src/excel/`, `data/output/Thirdbase_Deal_Pipeline.xlsx`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M/W/F email digest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`src/digest/`, `scripts/scheduler.py` (SMTP for delivery)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Immediate alerts (2+ T1, off-thesis, watched founder)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`evaluate_alerts`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Conversational partner interface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`/chat`, ⌘K, Streamlit `app.py`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GP watchlist (brief people list)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`config/watchlists.yaml` (73 handles)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VC peer firms (brief firm list)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`config/watchlists.yaml` + `web/src/lib/peerFirms.ts`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Themes / topics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**Done**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12 themes + subsectors in thesis policy</w:t>
            </w:r>
          </w:p>
        </w:tc>
      </w:tr>
    </w:tbl>
    <w:p>
      <w:pPr>
        <w:pStyle w:val="Heading2"/>
      </w:pPr>
      <w:r>
        <w:rPr>
          <w:rFonts w:ascii="Calibri" w:hAnsi="Calibri"/>
          <w:b/>
          <w:i w:val="0"/>
          <w:sz w:val="28"/>
        </w:rPr>
        <w:t>Honest boundary</w:t>
      </w:r>
    </w:p>
    <w:p>
      <w:r>
        <w:rPr>
          <w:rFonts w:ascii="Calibri" w:hAnsi="Calibri"/>
          <w:b w:val="0"/>
          <w:i w:val="0"/>
          <w:sz w:val="21"/>
        </w:rPr>
        <w:t xml:space="preserve">Signal’s </w:t>
      </w:r>
      <w:r>
        <w:rPr>
          <w:rFonts w:ascii="Calibri" w:hAnsi="Calibri"/>
          <w:b/>
          <w:i w:val="0"/>
          <w:sz w:val="21"/>
        </w:rPr>
        <w:t>judgment OS</w:t>
      </w:r>
      <w:r>
        <w:rPr>
          <w:rFonts w:ascii="Calibri" w:hAnsi="Calibri"/>
          <w:b w:val="0"/>
          <w:i w:val="0"/>
          <w:sz w:val="21"/>
        </w:rPr>
        <w:t xml:space="preserve"> (score, rank, Excel ritual, digest selectivity, peer drift, grounded chat) is production-shaped.</w:t>
      </w:r>
    </w:p>
    <w:p>
      <w:r>
        <w:rPr>
          <w:rFonts w:ascii="Calibri" w:hAnsi="Calibri"/>
          <w:b/>
          <w:i w:val="0"/>
          <w:sz w:val="21"/>
        </w:rPr>
        <w:t>Coverage connectors</w:t>
      </w:r>
      <w:r>
        <w:rPr>
          <w:rFonts w:ascii="Calibri" w:hAnsi="Calibri"/>
          <w:b w:val="0"/>
          <w:i w:val="0"/>
          <w:sz w:val="21"/>
        </w:rPr>
        <w:t xml:space="preserve"> (paid databases, authenticated social, continuous hiring graphs) are stubs or thin public adapters by design — purchase orders, not product gaps in the attention layer.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Interview line</w:t>
      </w:r>
    </w:p>
    <w:p>
      <w:pPr>
        <w:ind w:left="288"/>
      </w:pPr>
      <w:r>
        <w:rPr>
          <w:rFonts w:ascii="Calibri" w:hAnsi="Calibri"/>
          <w:b w:val="0"/>
          <w:i/>
          <w:color w:val="0C4A6E"/>
          <w:sz w:val="20"/>
        </w:rPr>
        <w:t>We built the judgment layer and partner workflow first. Databases plug in as connectors.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