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47418" w14:textId="353E3C42" w:rsidR="00815646" w:rsidRDefault="00C9099C" w:rsidP="006D2DBE">
      <w:pPr>
        <w:pStyle w:val="Ttulo1"/>
        <w:spacing w:line="240" w:lineRule="auto"/>
      </w:pPr>
      <w:bookmarkStart w:id="0" w:name="_Hlk122891096"/>
      <w:bookmarkEnd w:id="0"/>
      <w:r w:rsidRPr="00CF2E51">
        <w:t>“Bajo la influencia</w:t>
      </w:r>
      <w:r w:rsidR="00A05B5B">
        <w:t>.</w:t>
      </w:r>
      <w:r w:rsidRPr="00CF2E51">
        <w:t>..”</w:t>
      </w:r>
      <w:r w:rsidR="00A05B5B">
        <w:t xml:space="preserve"> ¿de qué?,</w:t>
      </w:r>
      <w:r w:rsidRPr="00CF2E51">
        <w:t xml:space="preserve"> desentrañando </w:t>
      </w:r>
      <w:r w:rsidR="00A05B5B">
        <w:t xml:space="preserve">cómo se enmarca el </w:t>
      </w:r>
      <w:r w:rsidRPr="00CF2E51">
        <w:t xml:space="preserve">problema y objetivos </w:t>
      </w:r>
      <w:r w:rsidR="00A05B5B">
        <w:t xml:space="preserve">para responder a él </w:t>
      </w:r>
      <w:r w:rsidRPr="00CF2E51">
        <w:t xml:space="preserve">del reglamento de test de drogas a </w:t>
      </w:r>
      <w:commentRangeStart w:id="1"/>
      <w:commentRangeStart w:id="2"/>
      <w:commentRangeStart w:id="3"/>
      <w:r w:rsidRPr="00CF2E51">
        <w:t>parlamentarios</w:t>
      </w:r>
      <w:commentRangeEnd w:id="1"/>
      <w:r w:rsidR="008253E9">
        <w:rPr>
          <w:rStyle w:val="Refdecomentario"/>
          <w:rFonts w:eastAsiaTheme="minorHAnsi" w:cstheme="minorBidi"/>
          <w:color w:val="auto"/>
        </w:rPr>
        <w:commentReference w:id="1"/>
      </w:r>
      <w:commentRangeEnd w:id="2"/>
      <w:r w:rsidR="00150702">
        <w:rPr>
          <w:rStyle w:val="Refdecomentario"/>
          <w:rFonts w:eastAsiaTheme="minorHAnsi" w:cstheme="minorBidi"/>
          <w:color w:val="auto"/>
        </w:rPr>
        <w:commentReference w:id="2"/>
      </w:r>
      <w:commentRangeEnd w:id="3"/>
      <w:r w:rsidR="00D55CA1">
        <w:rPr>
          <w:rStyle w:val="Refdecomentario"/>
          <w:rFonts w:eastAsiaTheme="minorHAnsi" w:cstheme="minorBidi"/>
          <w:color w:val="auto"/>
        </w:rPr>
        <w:commentReference w:id="3"/>
      </w:r>
    </w:p>
    <w:p w14:paraId="668C9878" w14:textId="4DC0F145" w:rsidR="00736798" w:rsidRDefault="00081FC4" w:rsidP="006D2DBE">
      <w:pPr>
        <w:spacing w:line="240" w:lineRule="auto"/>
      </w:pPr>
      <w:r>
        <w:t>Autor: Andrés González Santa Cruz</w:t>
      </w:r>
    </w:p>
    <w:p w14:paraId="416C85DF" w14:textId="69B6E092" w:rsidR="00D05666" w:rsidRPr="00CF2E51" w:rsidRDefault="00D05666" w:rsidP="00D05666">
      <w:pPr>
        <w:pStyle w:val="Ttulo2"/>
        <w:spacing w:line="240" w:lineRule="auto"/>
      </w:pPr>
      <w:proofErr w:type="spellStart"/>
      <w:r>
        <w:t>Abstract</w:t>
      </w:r>
      <w:proofErr w:type="spellEnd"/>
    </w:p>
    <w:p w14:paraId="309A2CA1" w14:textId="5147DF1A" w:rsidR="00D05666" w:rsidRPr="00736798" w:rsidRDefault="00D05666" w:rsidP="006D2DBE">
      <w:pPr>
        <w:spacing w:line="240" w:lineRule="auto"/>
      </w:pPr>
      <w:r>
        <w:t>XXXX</w:t>
      </w:r>
    </w:p>
    <w:p w14:paraId="38967BBC" w14:textId="77777777" w:rsidR="00C9099C" w:rsidRPr="00CF2E51" w:rsidRDefault="00C9099C" w:rsidP="006D2DBE">
      <w:pPr>
        <w:pStyle w:val="Ttulo2"/>
        <w:spacing w:line="240" w:lineRule="auto"/>
      </w:pPr>
      <w:commentRangeStart w:id="4"/>
      <w:r w:rsidRPr="00CF2E51">
        <w:t>Introducción</w:t>
      </w:r>
      <w:commentRangeEnd w:id="4"/>
      <w:r w:rsidR="00A05B5B">
        <w:rPr>
          <w:rStyle w:val="Refdecomentario"/>
          <w:rFonts w:eastAsiaTheme="minorHAnsi" w:cstheme="minorBidi"/>
          <w:color w:val="auto"/>
        </w:rPr>
        <w:commentReference w:id="4"/>
      </w:r>
    </w:p>
    <w:p w14:paraId="3D968D9E" w14:textId="09155935" w:rsidR="00CA0B81" w:rsidRDefault="007B3256" w:rsidP="006D2DBE">
      <w:pPr>
        <w:spacing w:line="240" w:lineRule="auto"/>
        <w:rPr>
          <w:rFonts w:cs="Times New Roman"/>
          <w:szCs w:val="24"/>
        </w:rPr>
      </w:pPr>
      <w:r w:rsidRPr="00CF2E51">
        <w:rPr>
          <w:rFonts w:cs="Times New Roman"/>
          <w:szCs w:val="24"/>
        </w:rPr>
        <w:t>Los procesos de identificación y definición de problemas, formulación e implementación son parte de una serie de transformaciones socialmente construidas y negociadas</w:t>
      </w:r>
      <w:r w:rsidR="008F7A73" w:rsidRPr="00CF2E51">
        <w:rPr>
          <w:rFonts w:cs="Times New Roman"/>
          <w:szCs w:val="24"/>
        </w:rPr>
        <w:t xml:space="preserve"> </w:t>
      </w:r>
      <w:r w:rsidRPr="00CF2E51">
        <w:rPr>
          <w:rFonts w:cs="Times New Roman"/>
          <w:szCs w:val="24"/>
        </w:rPr>
        <w:fldChar w:fldCharType="begin" w:fldLock="1"/>
      </w:r>
      <w:r w:rsidR="00CF2E51">
        <w:rPr>
          <w:rFonts w:cs="Times New Roman"/>
          <w:szCs w:val="24"/>
        </w:rPr>
        <w:instrText>ADDIN CSL_CITATION {"citationItems":[{"id":"ITEM-1","itemData":{"author":[{"dropping-particle":"","family":"Long","given":"Norman","non-dropping-particle":"","parse-names":false,"suffix":""}],"id":"ITEM-1","issued":{"date-parts":[["2003"]]},"publisher":"Routledge","title":"Development sociology: actor perspectives","type":"book"},"uris":["http://www.mendeley.com/documents/?uuid=a208f9b2-769e-487c-8bcb-ee58986a9dcd"]}],"mendeley":{"formattedCitation":"(Long 2003)","plainTextFormattedCitation":"(Long 2003)","previouslyFormattedCitation":"(Long 2003)"},"properties":{"noteIndex":0},"schema":"https://github.com/citation-style-language/schema/raw/master/csl-citation.json"}</w:instrText>
      </w:r>
      <w:r w:rsidRPr="00CF2E51">
        <w:rPr>
          <w:rFonts w:cs="Times New Roman"/>
          <w:szCs w:val="24"/>
        </w:rPr>
        <w:fldChar w:fldCharType="separate"/>
      </w:r>
      <w:r w:rsidR="00CF2E51" w:rsidRPr="00CF2E51">
        <w:rPr>
          <w:rFonts w:cs="Times New Roman"/>
          <w:noProof/>
          <w:szCs w:val="24"/>
        </w:rPr>
        <w:t>(Long 2003)</w:t>
      </w:r>
      <w:r w:rsidRPr="00CF2E51">
        <w:rPr>
          <w:rFonts w:cs="Times New Roman"/>
          <w:szCs w:val="24"/>
        </w:rPr>
        <w:fldChar w:fldCharType="end"/>
      </w:r>
      <w:r w:rsidRPr="00CF2E51">
        <w:rPr>
          <w:rFonts w:cs="Times New Roman"/>
          <w:szCs w:val="24"/>
        </w:rPr>
        <w:t>.</w:t>
      </w:r>
      <w:r w:rsidR="003827C5">
        <w:rPr>
          <w:rFonts w:cs="Times New Roman"/>
          <w:szCs w:val="24"/>
        </w:rPr>
        <w:t xml:space="preserve"> </w:t>
      </w:r>
      <w:r w:rsidR="00A511F2" w:rsidRPr="00CF2E51">
        <w:rPr>
          <w:rFonts w:cs="Times New Roman"/>
          <w:szCs w:val="24"/>
        </w:rPr>
        <w:t>Una condición de este tipo es particularmente cierta tratando “problemas retorcidos” (</w:t>
      </w:r>
      <w:proofErr w:type="spellStart"/>
      <w:r w:rsidR="00A511F2" w:rsidRPr="00CF2E51">
        <w:rPr>
          <w:rFonts w:cs="Times New Roman"/>
          <w:i/>
          <w:iCs/>
          <w:szCs w:val="24"/>
        </w:rPr>
        <w:t>wicked</w:t>
      </w:r>
      <w:proofErr w:type="spellEnd"/>
      <w:r w:rsidR="00A511F2" w:rsidRPr="00CF2E51">
        <w:rPr>
          <w:rFonts w:cs="Times New Roman"/>
          <w:i/>
          <w:iCs/>
          <w:szCs w:val="24"/>
        </w:rPr>
        <w:t xml:space="preserve"> </w:t>
      </w:r>
      <w:proofErr w:type="spellStart"/>
      <w:r w:rsidR="00A511F2" w:rsidRPr="00CF2E51">
        <w:rPr>
          <w:rFonts w:cs="Times New Roman"/>
          <w:i/>
          <w:iCs/>
          <w:szCs w:val="24"/>
        </w:rPr>
        <w:t>problems</w:t>
      </w:r>
      <w:proofErr w:type="spellEnd"/>
      <w:r w:rsidR="00A511F2" w:rsidRPr="00CF2E51">
        <w:rPr>
          <w:rFonts w:cs="Times New Roman"/>
          <w:szCs w:val="24"/>
        </w:rPr>
        <w:t>), compuesto por temas complejos, abiertos, impredecibles, y que muchas veces son de difícil definición (</w:t>
      </w:r>
      <w:proofErr w:type="spellStart"/>
      <w:r w:rsidR="00A511F2" w:rsidRPr="00CF2E51">
        <w:rPr>
          <w:rFonts w:cs="Times New Roman"/>
          <w:i/>
          <w:iCs/>
          <w:szCs w:val="24"/>
        </w:rPr>
        <w:t>ill-defined</w:t>
      </w:r>
      <w:proofErr w:type="spellEnd"/>
      <w:r w:rsidR="00A511F2" w:rsidRPr="00CF2E51">
        <w:rPr>
          <w:rFonts w:cs="Times New Roman"/>
          <w:szCs w:val="24"/>
        </w:rPr>
        <w:t>), fluidos, y resisten</w:t>
      </w:r>
      <w:r w:rsidR="003827C5">
        <w:rPr>
          <w:rFonts w:cs="Times New Roman"/>
          <w:szCs w:val="24"/>
        </w:rPr>
        <w:t>tes</w:t>
      </w:r>
      <w:r w:rsidR="00A511F2" w:rsidRPr="00CF2E51">
        <w:rPr>
          <w:rFonts w:cs="Times New Roman"/>
          <w:szCs w:val="24"/>
        </w:rPr>
        <w:t xml:space="preserve"> a una solución acordada</w:t>
      </w:r>
      <w:r w:rsidR="003827C5">
        <w:rPr>
          <w:rFonts w:cs="Times New Roman"/>
          <w:szCs w:val="24"/>
        </w:rPr>
        <w:t xml:space="preserve"> como “verdadera” o “cierta”</w:t>
      </w:r>
      <w:r w:rsidR="00A511F2">
        <w:rPr>
          <w:rFonts w:cs="Times New Roman"/>
          <w:szCs w:val="24"/>
        </w:rPr>
        <w:t xml:space="preserve">. Esta </w:t>
      </w:r>
      <w:r w:rsidR="003827C5">
        <w:rPr>
          <w:rFonts w:cs="Times New Roman"/>
          <w:szCs w:val="24"/>
        </w:rPr>
        <w:t>temática</w:t>
      </w:r>
      <w:r w:rsidR="00A511F2">
        <w:rPr>
          <w:rFonts w:cs="Times New Roman"/>
          <w:szCs w:val="24"/>
        </w:rPr>
        <w:t xml:space="preserve"> se torna </w:t>
      </w:r>
      <w:r w:rsidR="00A05B5B">
        <w:rPr>
          <w:rFonts w:cs="Times New Roman"/>
          <w:szCs w:val="24"/>
        </w:rPr>
        <w:t>compleja</w:t>
      </w:r>
      <w:r w:rsidR="00A511F2">
        <w:rPr>
          <w:rFonts w:cs="Times New Roman"/>
          <w:szCs w:val="24"/>
        </w:rPr>
        <w:t xml:space="preserve"> cuando un problema no puede ser percibido sino como </w:t>
      </w:r>
      <w:r w:rsidR="00CA0B81">
        <w:rPr>
          <w:rFonts w:cs="Times New Roman"/>
          <w:szCs w:val="24"/>
        </w:rPr>
        <w:t>una amalgama desordenada</w:t>
      </w:r>
      <w:r w:rsidR="00A511F2">
        <w:rPr>
          <w:rFonts w:cs="Times New Roman"/>
          <w:szCs w:val="24"/>
        </w:rPr>
        <w:t xml:space="preserve"> de complejidades que hace imposible vislumbrar una alineación y soluciones legítimas </w:t>
      </w:r>
      <w:r w:rsidR="003827C5">
        <w:rPr>
          <w:rFonts w:cs="Times New Roman"/>
          <w:szCs w:val="24"/>
        </w:rPr>
        <w:t>a un</w:t>
      </w:r>
      <w:r w:rsidR="00A511F2">
        <w:rPr>
          <w:rFonts w:cs="Times New Roman"/>
          <w:szCs w:val="24"/>
        </w:rPr>
        <w:t xml:space="preserve"> problema</w:t>
      </w:r>
      <w:r w:rsidR="00A511F2" w:rsidRPr="00CF2E51">
        <w:rPr>
          <w:rFonts w:cs="Times New Roman"/>
          <w:szCs w:val="24"/>
        </w:rPr>
        <w:t xml:space="preserve"> </w:t>
      </w:r>
      <w:r w:rsidR="003827C5">
        <w:rPr>
          <w:rFonts w:cs="Times New Roman"/>
          <w:szCs w:val="24"/>
        </w:rPr>
        <w:t xml:space="preserve">que surge de la temática </w:t>
      </w:r>
      <w:r w:rsidR="00A511F2" w:rsidRPr="00CF2E51">
        <w:rPr>
          <w:rFonts w:cs="Times New Roman"/>
          <w:szCs w:val="24"/>
        </w:rPr>
        <w:fldChar w:fldCharType="begin" w:fldLock="1"/>
      </w:r>
      <w:r w:rsidR="00D82AC3">
        <w:rPr>
          <w:rFonts w:cs="Times New Roman"/>
          <w:szCs w:val="24"/>
        </w:rPr>
        <w:instrText>ADDIN CSL_CITATION {"citationItems":[{"id":"ITEM-1","itemData":{"DOI":"10.1080/14494035.2017.1361634","ISSN":"1449-4035","author":[{"dropping-particle":"","family":"Alford","given":"John","non-dropping-particle":"","parse-names":false,"suffix":""},{"dropping-particle":"","family":"Head","given":"Brian W","non-dropping-particle":"","parse-names":false,"suffix":""}],"container-title":"Policy and Society","id":"ITEM-1","issue":"3","issued":{"date-parts":[["2017","7","3"]]},"note":"doi: 10.1080/14494035.2017.1361634","page":"397-413","publisher":"Routledge","title":"Wicked and less wicked problems: a typology and a contingency framework","type":"article-journal","volume":"36"},"uris":["http://www.mendeley.com/documents/?uuid=4defedc1-e070-40ec-8988-16379c04bb15"]}],"mendeley":{"formattedCitation":"(Alford y Head 2017)","plainTextFormattedCitation":"(Alford y Head 2017)","previouslyFormattedCitation":"(Alford y Head 2017)"},"properties":{"noteIndex":0},"schema":"https://github.com/citation-style-language/schema/raw/master/csl-citation.json"}</w:instrText>
      </w:r>
      <w:r w:rsidR="00A511F2" w:rsidRPr="00CF2E51">
        <w:rPr>
          <w:rFonts w:cs="Times New Roman"/>
          <w:szCs w:val="24"/>
        </w:rPr>
        <w:fldChar w:fldCharType="separate"/>
      </w:r>
      <w:r w:rsidR="00727E52" w:rsidRPr="00727E52">
        <w:rPr>
          <w:rFonts w:cs="Times New Roman"/>
          <w:noProof/>
          <w:szCs w:val="24"/>
        </w:rPr>
        <w:t>(Alford y Head 2017)</w:t>
      </w:r>
      <w:r w:rsidR="00A511F2" w:rsidRPr="00CF2E51">
        <w:rPr>
          <w:rFonts w:cs="Times New Roman"/>
          <w:szCs w:val="24"/>
        </w:rPr>
        <w:fldChar w:fldCharType="end"/>
      </w:r>
      <w:r w:rsidR="00A511F2">
        <w:rPr>
          <w:rFonts w:cs="Times New Roman"/>
          <w:szCs w:val="24"/>
        </w:rPr>
        <w:t>.</w:t>
      </w:r>
      <w:r w:rsidR="00CA0B81">
        <w:rPr>
          <w:rFonts w:cs="Times New Roman"/>
          <w:szCs w:val="24"/>
        </w:rPr>
        <w:t xml:space="preserve"> </w:t>
      </w:r>
    </w:p>
    <w:p w14:paraId="59BAEAEE" w14:textId="3A0F194D" w:rsidR="00CA0B81" w:rsidRDefault="00CA0B81" w:rsidP="006D2DBE">
      <w:pPr>
        <w:spacing w:line="240" w:lineRule="auto"/>
        <w:rPr>
          <w:rFonts w:cs="Times New Roman"/>
          <w:szCs w:val="24"/>
        </w:rPr>
      </w:pPr>
      <w:r>
        <w:rPr>
          <w:rFonts w:cs="Times New Roman"/>
          <w:szCs w:val="24"/>
        </w:rPr>
        <w:t xml:space="preserve">Las temáticas de drogas se enmarcan en esta definición. </w:t>
      </w:r>
      <w:r w:rsidRPr="00CA0B81">
        <w:rPr>
          <w:rFonts w:cs="Times New Roman"/>
          <w:szCs w:val="24"/>
        </w:rPr>
        <w:t>Una droga es toda sustancia natural o sintética que ingerida produce cambios físicos y psicológicos más o menos permanentes o estables</w:t>
      </w:r>
      <w:r w:rsidR="00736798">
        <w:rPr>
          <w:rFonts w:cs="Times New Roman"/>
          <w:szCs w:val="24"/>
        </w:rPr>
        <w:t xml:space="preserve">. </w:t>
      </w:r>
      <w:r>
        <w:rPr>
          <w:rFonts w:cs="Times New Roman"/>
          <w:szCs w:val="24"/>
        </w:rPr>
        <w:fldChar w:fldCharType="begin" w:fldLock="1"/>
      </w:r>
      <w:r w:rsidR="00736798">
        <w:rPr>
          <w:rFonts w:cs="Times New Roman"/>
          <w:szCs w:val="24"/>
        </w:rPr>
        <w:instrText>ADDIN CSL_CITATION {"citationItems":[{"id":"ITEM-1","itemData":{"ISBN":"84-8150-240-5","author":[{"dropping-particle":"","family":"Becoña","given":"E.","non-dropping-particle":"","parse-names":false,"suffix":""}],"id":"ITEM-1","issued":{"date-parts":[["2002"]]},"publisher":"Delegación del Gobierno para el Plan Nacional sobre Drogas. Ministerio del Interior de España.","publisher-place":"Madrid, España","title":"Bases científicas de la prevención de las drogodependencias","type":"book"},"uris":["http://www.mendeley.com/documents/?uuid=8b9aac60-a271-43f8-9758-afd69d865310"]}],"mendeley":{"formattedCitation":"(Becoña 2002)","plainTextFormattedCitation":"(Becoña 2002)","previouslyFormattedCitation":"(Becoña 2002)"},"properties":{"noteIndex":0},"schema":"https://github.com/citation-style-language/schema/raw/master/csl-citation.json"}</w:instrText>
      </w:r>
      <w:r>
        <w:rPr>
          <w:rFonts w:cs="Times New Roman"/>
          <w:szCs w:val="24"/>
        </w:rPr>
        <w:fldChar w:fldCharType="separate"/>
      </w:r>
      <w:r w:rsidR="00736798" w:rsidRPr="00736798">
        <w:rPr>
          <w:rFonts w:cs="Times New Roman"/>
          <w:noProof/>
          <w:szCs w:val="24"/>
        </w:rPr>
        <w:t>(Becoña 2002)</w:t>
      </w:r>
      <w:r>
        <w:rPr>
          <w:rFonts w:cs="Times New Roman"/>
          <w:szCs w:val="24"/>
        </w:rPr>
        <w:fldChar w:fldCharType="end"/>
      </w:r>
      <w:r w:rsidRPr="00CA0B81">
        <w:rPr>
          <w:rFonts w:cs="Times New Roman"/>
          <w:szCs w:val="24"/>
        </w:rPr>
        <w:t xml:space="preserve">. </w:t>
      </w:r>
      <w:r w:rsidR="00736798">
        <w:rPr>
          <w:rFonts w:cs="Times New Roman"/>
          <w:szCs w:val="24"/>
        </w:rPr>
        <w:t xml:space="preserve">Más allá del trasfondo biomédico de su definición, las consecuencias del uso y abuso de sustancias se extienden a problemáticas como salud y seguridad pública, a menudo de manera interrelacionada </w:t>
      </w:r>
      <w:r w:rsidR="00736798">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736798">
        <w:rPr>
          <w:rFonts w:cs="Times New Roman"/>
          <w:szCs w:val="24"/>
        </w:rPr>
        <w:fldChar w:fldCharType="separate"/>
      </w:r>
      <w:r w:rsidR="00016421" w:rsidRPr="00016421">
        <w:rPr>
          <w:rFonts w:cs="Times New Roman"/>
          <w:noProof/>
          <w:szCs w:val="24"/>
        </w:rPr>
        <w:t>(Inter-American Drug Abuse Control Commission [CICAD] 2019)</w:t>
      </w:r>
      <w:r w:rsidR="00736798">
        <w:rPr>
          <w:rFonts w:cs="Times New Roman"/>
          <w:szCs w:val="24"/>
        </w:rPr>
        <w:fldChar w:fldCharType="end"/>
      </w:r>
      <w:r w:rsidR="00736798">
        <w:rPr>
          <w:rFonts w:cs="Times New Roman"/>
          <w:szCs w:val="24"/>
        </w:rPr>
        <w:t xml:space="preserve">. </w:t>
      </w:r>
      <w:r w:rsidR="004953AA">
        <w:rPr>
          <w:rFonts w:cs="Times New Roman"/>
          <w:szCs w:val="24"/>
        </w:rPr>
        <w:t>Si bien esta inter</w:t>
      </w:r>
      <w:r w:rsidR="00A05B5B">
        <w:rPr>
          <w:rFonts w:cs="Times New Roman"/>
          <w:szCs w:val="24"/>
        </w:rPr>
        <w:t>relación</w:t>
      </w:r>
      <w:r w:rsidR="004953AA">
        <w:rPr>
          <w:rFonts w:cs="Times New Roman"/>
          <w:szCs w:val="24"/>
        </w:rPr>
        <w:t xml:space="preserve"> entre tiende a ser bastante problematizada por distintos autores, </w:t>
      </w:r>
      <w:r w:rsidR="003D1161">
        <w:rPr>
          <w:rFonts w:cs="Times New Roman"/>
          <w:szCs w:val="24"/>
        </w:rPr>
        <w:t xml:space="preserve">ambas tienden a convivir </w:t>
      </w:r>
      <w:r w:rsidR="00DD694E">
        <w:rPr>
          <w:rFonts w:cs="Times New Roman"/>
          <w:szCs w:val="24"/>
        </w:rPr>
        <w:fldChar w:fldCharType="begin" w:fldLock="1"/>
      </w:r>
      <w:r w:rsidR="003D1161">
        <w:rPr>
          <w:rFonts w:cs="Times New Roman"/>
          <w:szCs w:val="24"/>
        </w:rPr>
        <w:instrText>ADDIN CSL_CITATION {"citationItems":[{"id":"ITEM-1","itemData":{"author":[{"dropping-particle":"","family":"Valenzuela","given":"E.","non-dropping-particle":"","parse-names":false,"suffix":""}],"container-title":"Temas de la agenda política","id":"ITEM-1","issue":"1","issued":{"date-parts":[["2010"]]},"page":"1-15","title":"Política de drogas: en búsqueda de un equilibrio","type":"article-journal","volume":"37"},"uris":["http://www.mendeley.com/documents/?uuid=f0f9e064-03c5-442e-844e-6f4120296a48"]}],"mendeley":{"formattedCitation":"(Valenzuela 2010)","plainTextFormattedCitation":"(Valenzuela 2010)","previouslyFormattedCitation":"(Valenzuela 2010)"},"properties":{"noteIndex":0},"schema":"https://github.com/citation-style-language/schema/raw/master/csl-citation.json"}</w:instrText>
      </w:r>
      <w:r w:rsidR="00DD694E">
        <w:rPr>
          <w:rFonts w:cs="Times New Roman"/>
          <w:szCs w:val="24"/>
        </w:rPr>
        <w:fldChar w:fldCharType="separate"/>
      </w:r>
      <w:r w:rsidR="00DD694E" w:rsidRPr="00DD694E">
        <w:rPr>
          <w:rFonts w:cs="Times New Roman"/>
          <w:noProof/>
          <w:szCs w:val="24"/>
        </w:rPr>
        <w:t>(Valenzuela 2010)</w:t>
      </w:r>
      <w:r w:rsidR="00DD694E">
        <w:rPr>
          <w:rFonts w:cs="Times New Roman"/>
          <w:szCs w:val="24"/>
        </w:rPr>
        <w:fldChar w:fldCharType="end"/>
      </w:r>
      <w:r w:rsidR="004953AA">
        <w:rPr>
          <w:rFonts w:cs="Times New Roman"/>
          <w:szCs w:val="24"/>
        </w:rPr>
        <w:t>.</w:t>
      </w:r>
      <w:r w:rsidR="003452D9">
        <w:rPr>
          <w:rFonts w:cs="Times New Roman"/>
          <w:szCs w:val="24"/>
        </w:rPr>
        <w:t xml:space="preserve"> De tal manera que es razonable pensar cualquier política que involucre al consumo de sustancias en última instancia constituye una respuesta social organizada a una temática de salud y por tanto atañe al campo de la salud pública a la discusión de sus implicancias o efectos.</w:t>
      </w:r>
    </w:p>
    <w:p w14:paraId="02BEB757" w14:textId="6F92F4CB" w:rsidR="00A05B5B" w:rsidRDefault="00A05B5B" w:rsidP="00A05B5B">
      <w:pPr>
        <w:spacing w:line="240" w:lineRule="auto"/>
        <w:rPr>
          <w:rFonts w:cs="Times New Roman"/>
          <w:szCs w:val="24"/>
        </w:rPr>
      </w:pPr>
      <w:r>
        <w:rPr>
          <w:rFonts w:cs="Times New Roman"/>
          <w:szCs w:val="24"/>
        </w:rPr>
        <w:t>El presente artículo se abocará a estudiar el reglamento de consumo de sustancias en diputados en Chile</w:t>
      </w:r>
      <w:r w:rsidR="002B5E2C">
        <w:rPr>
          <w:rFonts w:cs="Times New Roman"/>
          <w:szCs w:val="24"/>
        </w:rPr>
        <w:t xml:space="preserve"> aprobado el </w:t>
      </w:r>
      <w:r w:rsidR="002B5E2C" w:rsidRPr="002B5E2C">
        <w:rPr>
          <w:rFonts w:cs="Times New Roman"/>
          <w:szCs w:val="24"/>
        </w:rPr>
        <w:t>25 de julio de 2022</w:t>
      </w:r>
      <w:r w:rsidR="002B5E2C">
        <w:rPr>
          <w:rFonts w:cs="Times New Roman"/>
          <w:szCs w:val="24"/>
        </w:rPr>
        <w:t xml:space="preserve"> (en adelante, se homologará indistintamente a “test de drogas a parlamentarios”)</w:t>
      </w:r>
      <w:r>
        <w:rPr>
          <w:rFonts w:cs="Times New Roman"/>
          <w:szCs w:val="24"/>
        </w:rPr>
        <w:t xml:space="preserve">. Al respecto, existen varias iniciativas internacionales que han apuntado a generar controles sobre el consumo de sustancias en parlamentarios, personal o candidatos a funciones legislativas. Se han esgrimido argumentos de salud pública, seguridad, moralidad, transparencia, entre otros. Algunas de las razones para indicar que es un problema de salud pública, es que su control puede </w:t>
      </w:r>
      <w:r w:rsidRPr="003D1161">
        <w:rPr>
          <w:rFonts w:cs="Times New Roman"/>
          <w:szCs w:val="24"/>
        </w:rPr>
        <w:t>contribuir a prevenir y controlar el consumo de drogas en este grupo de población y proteger la salud y el bienestar de la comunidad</w:t>
      </w:r>
      <w:r>
        <w:rPr>
          <w:rFonts w:cs="Times New Roman"/>
          <w:szCs w:val="24"/>
        </w:rPr>
        <w:t xml:space="preserve">, además de contribuir a evitar que los parlamentarios tomen decisiones públicas alterados por una sustancia que afecte negativamente su capacidad de tomar decisiones adecuadas y justas. No obstante, a menudo estas experiencias se han mostrado justamente controversiales porque las problemáticas a la base y sus objetivos no son del todo claros </w:t>
      </w:r>
      <w:r>
        <w:rPr>
          <w:rFonts w:cs="Times New Roman"/>
          <w:szCs w:val="24"/>
        </w:rPr>
        <w:fldChar w:fldCharType="begin" w:fldLock="1"/>
      </w:r>
      <w:r>
        <w:rPr>
          <w:rFonts w:cs="Times New Roman"/>
          <w:szCs w:val="24"/>
        </w:rPr>
        <w:instrText>ADDIN CSL_CITATION {"citationItems":[{"id":"ITEM-1","itemData":{"author":[{"dropping-particle":"","family":"Pacific Island Times News Staff","given":"","non-dropping-particle":"","parse-names":false,"suffix":""}],"container-title":"Pacific Island Times","id":"ITEM-1","issued":{"date-parts":[["2021","2","5"]]},"publisher-place":"Guam","title":"Bill proposes to mandate drug testing for political candidates","type":"article-newspaper"},"uris":["http://www.mendeley.com/documents/?uuid=5cb80f37-e0ef-484e-8cff-e87960aed47f"]},{"id":"ITEM-2","itemData":{"author":[{"dropping-particle":"","family":"Haydee","given":"E.","non-dropping-particle":"","parse-names":false,"suffix":""}],"container-title":"Saipan Tribune","id":"ITEM-2","issued":{"date-parts":[["2014","2","14"]]},"publisher-place":"Commonwealth of Northern Mariana Islands","title":"Drug test for political bets, elected officials inches forward","type":"article-newspaper"},"uris":["http://www.mendeley.com/documents/?uuid=e3ce8c1e-3ec5-4bc0-bc8c-e083f0b98e6c"]},{"id":"ITEM-3","itemData":{"author":[{"dropping-particle":"","family":"Bossinakis","given":"Charisa","non-dropping-particle":"","parse-names":false,"suffix":""}],"container-title":"LAD Bible,","id":"ITEM-3","issued":{"date-parts":[["2022","8","22"]]},"publisher-place":"Manchester","title":"People urge UK Prime Minister candidate to drug test politicians after saying ‘drugs are horrific’","type":"article-newspaper"},"uris":["http://www.mendeley.com/documents/?uuid=65c18b19-259a-4799-8d5e-a9c48188a840"]},{"id":"ITEM-4","itemData":{"author":[{"dropping-particle":"","family":"Watkins","given":"M.","non-dropping-particle":"","parse-names":false,"suffix":""}],"id":"ITEM-4","issued":{"date-parts":[["2015","4","28"]]},"publisher-place":"Texas","title":"Running for Office? Urine for a Surprise","type":"article-newspaper"},"uris":["http://www.mendeley.com/documents/?uuid=f8daa901-7629-48df-9a53-6700b7fe102e"]}],"mendeley":{"formattedCitation":"(Bossinakis 2022; Haydee 2014; Pacific Island Times News Staff 2021; Watkins 2015)","plainTextFormattedCitation":"(Bossinakis 2022; Haydee 2014; Pacific Island Times News Staff 2021; Watkins 2015)","previouslyFormattedCitation":"(Bossinakis 2022; Haydee 2014; Pacific Island Times News Staff 2021; Watkins 2015)"},"properties":{"noteIndex":0},"schema":"https://github.com/citation-style-language/schema/raw/master/csl-citation.json"}</w:instrText>
      </w:r>
      <w:r>
        <w:rPr>
          <w:rFonts w:cs="Times New Roman"/>
          <w:szCs w:val="24"/>
        </w:rPr>
        <w:fldChar w:fldCharType="separate"/>
      </w:r>
      <w:r w:rsidRPr="005A2DA4">
        <w:rPr>
          <w:rFonts w:cs="Times New Roman"/>
          <w:noProof/>
          <w:szCs w:val="24"/>
        </w:rPr>
        <w:t>(Bossinakis 2022; Haydee 2014; Pacific Island Times News Staff 2021; Watkins 2015)</w:t>
      </w:r>
      <w:r>
        <w:rPr>
          <w:rFonts w:cs="Times New Roman"/>
          <w:szCs w:val="24"/>
        </w:rPr>
        <w:fldChar w:fldCharType="end"/>
      </w:r>
      <w:r>
        <w:rPr>
          <w:rFonts w:cs="Times New Roman"/>
          <w:szCs w:val="24"/>
        </w:rPr>
        <w:t>.</w:t>
      </w:r>
    </w:p>
    <w:p w14:paraId="6339B423" w14:textId="1A760C01" w:rsidR="00C94120" w:rsidRDefault="00C94120" w:rsidP="006D2DBE">
      <w:pPr>
        <w:pStyle w:val="Ttulo3"/>
        <w:spacing w:line="240" w:lineRule="auto"/>
      </w:pPr>
      <w:r w:rsidRPr="00CF2E51">
        <w:lastRenderedPageBreak/>
        <w:t>Panorama drogas en Chile</w:t>
      </w:r>
    </w:p>
    <w:p w14:paraId="39AA5E7E" w14:textId="67170511" w:rsidR="006D24D7" w:rsidRPr="00957FFE" w:rsidRDefault="00957FFE" w:rsidP="006D2DBE">
      <w:pPr>
        <w:spacing w:line="240" w:lineRule="auto"/>
        <w:rPr>
          <w:rFonts w:cs="Times New Roman"/>
          <w:szCs w:val="24"/>
        </w:rPr>
      </w:pPr>
      <w:r>
        <w:rPr>
          <w:rFonts w:cs="Times New Roman"/>
          <w:szCs w:val="24"/>
        </w:rPr>
        <w:t>En el último decenio, se ha constatado un incremento importante en el uso y abuso de sustancia y junto con ello, en el aparataje comercial y organizacional ligado a la circulación de sustancias</w:t>
      </w:r>
      <w:r w:rsidR="00452B4A">
        <w:rPr>
          <w:rFonts w:cs="Times New Roman"/>
          <w:szCs w:val="24"/>
        </w:rPr>
        <w:t xml:space="preserve"> fenómeno que comparte Latinoamérica </w:t>
      </w:r>
      <w:r w:rsidR="00452B4A">
        <w:fldChar w:fldCharType="begin" w:fldLock="1"/>
      </w:r>
      <w:r w:rsidR="00D82AC3">
        <w:instrText>ADDIN CSL_CITATION {"citationItems":[{"id":"ITEM-1","itemData":{"DOI":"10.1146/annurev-soc-030420-124931","ISSN":"0360-0572","abstract":"Across Latin America, societies are confronting the rise of novel orders in which state officials and political authorities share power with criminal organizations. Criminal governance (i.e., the creation of rules regulating behavior by criminal entities often with the collaboration of state actors), as these arrangements have come to be known, poses significant challenges for democracy and the rule of law and often threatens peoples' enjoyment of fundamental rights. This article reviews the literature on state-criminal relations in Latin America by critically discussing conceptual and methodological issues. In so doing, it looks at three extant literatures that have contributed to enhancing our grasp of alternative forms of governance: studies on violence, works on stateness and the rule of law, and the literature on criminal governance. This article posits that those literatures have done a commendable job in describing and conceptualizing emerging forms of governance that deviate from traditional views. However, we also argue that these bodies of work operate in silos with little integration and display methodological biases and theoretical blind spots that weaken their overall analytical power. We also point out that much more work is needed to assess these new orders' consequences for existing political regimes and state institutions. In the conclusion, we propose concrete steps to strengthen research and foster a more integrated agenda and suggest future investigative avenues.","author":[{"dropping-particle":"","family":"Feldmann","given":"Andreas E","non-dropping-particle":"","parse-names":false,"suffix":""},{"dropping-particle":"","family":"Luna","given":"Juan Pablo","non-dropping-particle":"","parse-names":false,"suffix":""}],"container-title":"Annual Review of Sociology","id":"ITEM-1","issue":"1","issued":{"date-parts":[["2022","7","29"]]},"note":"doi: 10.1146/annurev-soc-030420-124931","page":"441-461","publisher":"Annual Reviews","title":"Criminal Governance and the Crisis of Contemporary Latin American States","type":"article-journal","volume":"48"},"uris":["http://www.mendeley.com/documents/?uuid=cae0d3d4-7a17-4ac9-8d04-ef3f9d72e0e5"]}],"mendeley":{"formattedCitation":"(Feldmann y Luna 2022)","plainTextFormattedCitation":"(Feldmann y Luna 2022)","previouslyFormattedCitation":"(Feldmann y Luna 2022)"},"properties":{"noteIndex":0},"schema":"https://github.com/citation-style-language/schema/raw/master/csl-citation.json"}</w:instrText>
      </w:r>
      <w:r w:rsidR="00452B4A">
        <w:fldChar w:fldCharType="separate"/>
      </w:r>
      <w:r w:rsidR="00452B4A" w:rsidRPr="00727E52">
        <w:rPr>
          <w:noProof/>
        </w:rPr>
        <w:t>(Feldmann y Luna 2022)</w:t>
      </w:r>
      <w:r w:rsidR="00452B4A">
        <w:fldChar w:fldCharType="end"/>
      </w:r>
      <w:r w:rsidR="00452B4A">
        <w:t>.</w:t>
      </w:r>
      <w:r>
        <w:rPr>
          <w:rFonts w:cs="Times New Roman"/>
          <w:szCs w:val="24"/>
        </w:rPr>
        <w:t xml:space="preserve"> </w:t>
      </w:r>
      <w:r w:rsidR="006D24D7" w:rsidRPr="00957FFE">
        <w:rPr>
          <w:rFonts w:cs="Times New Roman"/>
          <w:szCs w:val="24"/>
        </w:rPr>
        <w:t>La prevalencia</w:t>
      </w:r>
      <w:r w:rsidR="002B5E2C">
        <w:rPr>
          <w:rFonts w:cs="Times New Roman"/>
          <w:szCs w:val="24"/>
        </w:rPr>
        <w:t>-vida de cocaína</w:t>
      </w:r>
      <w:r w:rsidR="00E8794F">
        <w:rPr>
          <w:rFonts w:cs="Times New Roman"/>
          <w:szCs w:val="24"/>
        </w:rPr>
        <w:t xml:space="preserve"> y</w:t>
      </w:r>
      <w:r w:rsidR="002B5E2C">
        <w:rPr>
          <w:rFonts w:cs="Times New Roman"/>
          <w:szCs w:val="24"/>
        </w:rPr>
        <w:t xml:space="preserve"> pasta base</w:t>
      </w:r>
      <w:r w:rsidR="002B5E2C">
        <w:rPr>
          <w:rFonts w:cs="Times New Roman"/>
          <w:szCs w:val="24"/>
        </w:rPr>
        <w:t xml:space="preserve"> </w:t>
      </w:r>
      <w:r>
        <w:rPr>
          <w:rFonts w:cs="Times New Roman"/>
          <w:szCs w:val="24"/>
        </w:rPr>
        <w:t xml:space="preserve">ha incrementado en la última década, </w:t>
      </w:r>
      <w:r w:rsidR="002B5E2C">
        <w:rPr>
          <w:rFonts w:cs="Times New Roman"/>
          <w:szCs w:val="24"/>
        </w:rPr>
        <w:t>pasando de un 3,7%</w:t>
      </w:r>
      <w:r w:rsidR="00E8794F">
        <w:rPr>
          <w:rFonts w:cs="Times New Roman"/>
          <w:szCs w:val="24"/>
        </w:rPr>
        <w:t xml:space="preserve"> y</w:t>
      </w:r>
      <w:r w:rsidR="002B5E2C">
        <w:rPr>
          <w:rFonts w:cs="Times New Roman"/>
          <w:szCs w:val="24"/>
        </w:rPr>
        <w:t xml:space="preserve"> 2,1% el 2010, a un 6,6%</w:t>
      </w:r>
      <w:r w:rsidR="00E8794F">
        <w:rPr>
          <w:rFonts w:cs="Times New Roman"/>
          <w:szCs w:val="24"/>
        </w:rPr>
        <w:t xml:space="preserve"> y</w:t>
      </w:r>
      <w:r w:rsidR="002B5E2C">
        <w:rPr>
          <w:rFonts w:cs="Times New Roman"/>
          <w:szCs w:val="24"/>
        </w:rPr>
        <w:t xml:space="preserve"> 2,6%</w:t>
      </w:r>
      <w:r>
        <w:rPr>
          <w:rFonts w:cs="Times New Roman"/>
          <w:szCs w:val="24"/>
        </w:rPr>
        <w:t xml:space="preserve">, </w:t>
      </w:r>
      <w:r w:rsidR="002B5E2C">
        <w:rPr>
          <w:rFonts w:cs="Times New Roman"/>
          <w:szCs w:val="24"/>
        </w:rPr>
        <w:t xml:space="preserve">respectivamente, </w:t>
      </w:r>
      <w:r w:rsidR="006D24D7" w:rsidRPr="00957FFE">
        <w:rPr>
          <w:rFonts w:cs="Times New Roman"/>
          <w:szCs w:val="24"/>
        </w:rPr>
        <w:t>al año 2020</w:t>
      </w:r>
      <w:r>
        <w:rPr>
          <w:rFonts w:cs="Times New Roman"/>
          <w:szCs w:val="24"/>
        </w:rPr>
        <w:t xml:space="preserve"> </w:t>
      </w:r>
      <w:r>
        <w:rPr>
          <w:rFonts w:cs="Times New Roman"/>
          <w:szCs w:val="24"/>
        </w:rPr>
        <w:fldChar w:fldCharType="begin" w:fldLock="1"/>
      </w:r>
      <w:r w:rsidR="00CA0B81">
        <w:rPr>
          <w:rFonts w:cs="Times New Roman"/>
          <w:szCs w:val="24"/>
        </w:rPr>
        <w:instrText>ADDIN CSL_CITATION {"citationItems":[{"id":"ITEM-1","itemData":{"author":[{"dropping-particle":"","family":"Servicio Nacional de Prevención y Rehabilitación de Drogas y Alcohol[SENDA]","given":"","non-dropping-particle":"","parse-names":false,"suffix":""}],"id":"ITEM-1","issued":{"date-parts":[["2022"]]},"publisher-place":"Santiago, Chile","title":"Décimo Cuarto Estudio Nacional de Drogas en Población General de Chile, 2020","type":"report"},"uris":["http://www.mendeley.com/documents/?uuid=2fb22272-3197-40b3-b282-d1ee355335a0"]}],"mendeley":{"formattedCitation":"(Servicio Nacional de Prevención y Rehabilitación de Drogas y Alcohol[SENDA] 2022)","plainTextFormattedCitation":"(Servicio Nacional de Prevención y Rehabilitación de Drogas y Alcohol[SENDA] 2022)","previouslyFormattedCitation":"(Servicio Nacional de Prevención y Rehabilitación de Drogas y Alcohol[SENDA] 2022)"},"properties":{"noteIndex":0},"schema":"https://github.com/citation-style-language/schema/raw/master/csl-citation.json"}</w:instrText>
      </w:r>
      <w:r>
        <w:rPr>
          <w:rFonts w:cs="Times New Roman"/>
          <w:szCs w:val="24"/>
        </w:rPr>
        <w:fldChar w:fldCharType="separate"/>
      </w:r>
      <w:r w:rsidRPr="00957FFE">
        <w:rPr>
          <w:rFonts w:cs="Times New Roman"/>
          <w:noProof/>
          <w:szCs w:val="24"/>
        </w:rPr>
        <w:t>(Servicio Nacional de Prevención y Rehabilitación de Drogas y Alcohol[SENDA] 2022)</w:t>
      </w:r>
      <w:r>
        <w:rPr>
          <w:rFonts w:cs="Times New Roman"/>
          <w:szCs w:val="24"/>
        </w:rPr>
        <w:fldChar w:fldCharType="end"/>
      </w:r>
      <w:r w:rsidR="006D24D7" w:rsidRPr="00957FFE">
        <w:rPr>
          <w:rFonts w:cs="Times New Roman"/>
          <w:szCs w:val="24"/>
        </w:rPr>
        <w:t>.</w:t>
      </w:r>
      <w:r w:rsidR="00016421">
        <w:rPr>
          <w:rFonts w:cs="Times New Roman"/>
          <w:szCs w:val="24"/>
        </w:rPr>
        <w:t xml:space="preserve"> A lo anterior, se suma que hasta el año 2016, Chile mostraba la más alta prevalencia de consumo de cocaína, pasta base y marihuana en escolares de las Américas </w:t>
      </w:r>
      <w:r w:rsidR="00016421">
        <w:rPr>
          <w:rFonts w:cs="Times New Roman"/>
          <w:szCs w:val="24"/>
        </w:rPr>
        <w:fldChar w:fldCharType="begin" w:fldLock="1"/>
      </w:r>
      <w:r w:rsidR="00727E52">
        <w:rPr>
          <w:rFonts w:cs="Times New Roman"/>
          <w:szCs w:val="24"/>
        </w:rPr>
        <w:instrText>ADDIN CSL_CITATION {"citationItems":[{"id":"ITEM-1","itemData":{"author":[{"dropping-particle":"","family":"Inter-American Drug Abuse Control Commission [CICAD]","given":"","non-dropping-particle":"","parse-names":false,"suffix":""}],"id":"ITEM-1","issued":{"date-parts":[["2019"]]},"publisher-place":"Washington, DC","title":"Informe Sobre el Consumo de Drogas en Américas 2019 Resumen Ejecutivo","type":"report"},"uris":["http://www.mendeley.com/documents/?uuid=a88cddd9-b3b2-48d2-aed5-3eb501e83f91"]}],"mendeley":{"formattedCitation":"(Inter-American Drug Abuse Control Commission [CICAD] 2019)","plainTextFormattedCitation":"(Inter-American Drug Abuse Control Commission [CICAD] 2019)","previouslyFormattedCitation":"(Inter-American Drug Abuse Control Commission [CICAD] 2019)"},"properties":{"noteIndex":0},"schema":"https://github.com/citation-style-language/schema/raw/master/csl-citation.json"}</w:instrText>
      </w:r>
      <w:r w:rsidR="00016421">
        <w:rPr>
          <w:rFonts w:cs="Times New Roman"/>
          <w:szCs w:val="24"/>
        </w:rPr>
        <w:fldChar w:fldCharType="separate"/>
      </w:r>
      <w:r w:rsidR="00016421" w:rsidRPr="00016421">
        <w:rPr>
          <w:rFonts w:cs="Times New Roman"/>
          <w:noProof/>
          <w:szCs w:val="24"/>
        </w:rPr>
        <w:t>(Inter-American Drug Abuse Control Commission [CICAD] 2019)</w:t>
      </w:r>
      <w:r w:rsidR="00016421">
        <w:rPr>
          <w:rFonts w:cs="Times New Roman"/>
          <w:szCs w:val="24"/>
        </w:rPr>
        <w:fldChar w:fldCharType="end"/>
      </w:r>
      <w:r w:rsidR="00016421">
        <w:rPr>
          <w:rFonts w:cs="Times New Roman"/>
          <w:szCs w:val="24"/>
        </w:rPr>
        <w:t>.</w:t>
      </w:r>
    </w:p>
    <w:p w14:paraId="0AEB6253" w14:textId="47DC28EB" w:rsidR="006D24D7" w:rsidRPr="00957FFE" w:rsidRDefault="00957FFE" w:rsidP="006D2DBE">
      <w:pPr>
        <w:spacing w:line="240" w:lineRule="auto"/>
        <w:rPr>
          <w:rFonts w:cs="Times New Roman"/>
          <w:szCs w:val="24"/>
        </w:rPr>
      </w:pPr>
      <w:r>
        <w:rPr>
          <w:rFonts w:cs="Times New Roman"/>
          <w:szCs w:val="24"/>
        </w:rPr>
        <w:t>De igual manera, a nivel de seguridad pública, s</w:t>
      </w:r>
      <w:r w:rsidR="00BB7BB5" w:rsidRPr="00957FFE">
        <w:rPr>
          <w:rFonts w:cs="Times New Roman"/>
          <w:szCs w:val="24"/>
        </w:rPr>
        <w:t xml:space="preserve">egún el último informe anual del Observatorio del Narcotráfico (VII) publicado en Diciembre de este año, la cantidad de kilogramos incautados (sobre cannabis, el clorhidrato de cocaína y la cocaína base) al 2021 asciende a </w:t>
      </w:r>
      <w:r w:rsidR="006D24D7" w:rsidRPr="00957FFE">
        <w:rPr>
          <w:rFonts w:cs="Times New Roman"/>
          <w:szCs w:val="24"/>
        </w:rPr>
        <w:t xml:space="preserve">39.755.305,29 vs. </w:t>
      </w:r>
      <w:r w:rsidR="00BB7BB5" w:rsidRPr="00957FFE">
        <w:rPr>
          <w:rFonts w:cs="Times New Roman"/>
          <w:szCs w:val="24"/>
        </w:rPr>
        <w:t xml:space="preserve">un </w:t>
      </w:r>
      <w:r w:rsidR="006D24D7" w:rsidRPr="00957FFE">
        <w:rPr>
          <w:rFonts w:cs="Times New Roman"/>
          <w:szCs w:val="24"/>
        </w:rPr>
        <w:t>21.330.505,09 del 2019</w:t>
      </w:r>
      <w:r w:rsidR="00BB7BB5" w:rsidRPr="00957FFE">
        <w:rPr>
          <w:rFonts w:cs="Times New Roman"/>
          <w:szCs w:val="24"/>
        </w:rPr>
        <w:t xml:space="preserve"> </w:t>
      </w:r>
      <w:r w:rsidR="00BB7BB5" w:rsidRPr="00957FFE">
        <w:rPr>
          <w:rFonts w:cs="Times New Roman"/>
          <w:szCs w:val="24"/>
        </w:rPr>
        <w:fldChar w:fldCharType="begin" w:fldLock="1"/>
      </w:r>
      <w:r>
        <w:rPr>
          <w:rFonts w:cs="Times New Roman"/>
          <w:szCs w:val="24"/>
        </w:rPr>
        <w:instrText>ADDIN CSL_CITATION {"citationItems":[{"id":"ITEM-1","itemData":{"author":[{"dropping-particle":"","family":"Unidad Especializada en Tráfico Ilícito de Estupefacientes y Sustancias Sicotrópicas","given":"","non-dropping-particle":"","parse-names":false,"suffix":""}],"id":"ITEM-1","issued":{"date-parts":[["2022"]]},"publisher-place":"Santiago, Chile","title":"VII INFORME ANUAL OBSERVATORIO DEL NARCOTRÁFICO","type":"report"},"uris":["http://www.mendeley.com/documents/?uuid=705a40e8-c58d-4941-a035-5e90686fbaba"]}],"mendeley":{"formattedCitation":"(Unidad Especializada en Tráfico Ilícito de Estupefacientes y Sustancias Sicotrópicas 2022)","plainTextFormattedCitation":"(Unidad Especializada en Tráfico Ilícito de Estupefacientes y Sustancias Sicotrópicas 2022)","previouslyFormattedCitation":"(Unidad Especializada en Tráfico Ilícito de Estupefacientes y Sustancias Sicotrópicas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(Unidad Especializada en Tráfico Ilícito de Estupefacientes y Sustancias Sicotrópicas 2022)</w:t>
      </w:r>
      <w:r w:rsidR="00BB7BB5" w:rsidRPr="00957FFE">
        <w:rPr>
          <w:rFonts w:cs="Times New Roman"/>
          <w:szCs w:val="24"/>
        </w:rPr>
        <w:fldChar w:fldCharType="end"/>
      </w:r>
      <w:r w:rsidR="006D24D7" w:rsidRPr="00957FFE">
        <w:rPr>
          <w:rFonts w:cs="Times New Roman"/>
          <w:szCs w:val="24"/>
        </w:rPr>
        <w:t>.</w:t>
      </w:r>
    </w:p>
    <w:p w14:paraId="3722B44F" w14:textId="03DA8EC8" w:rsidR="00C94120" w:rsidRPr="00CF2E51" w:rsidRDefault="00957FFE" w:rsidP="006D2DBE">
      <w:pPr>
        <w:spacing w:line="240" w:lineRule="auto"/>
        <w:rPr>
          <w:rFonts w:cs="Times New Roman"/>
        </w:rPr>
      </w:pPr>
      <w:r>
        <w:rPr>
          <w:rFonts w:cs="Times New Roman"/>
          <w:szCs w:val="24"/>
        </w:rPr>
        <w:t xml:space="preserve">Dichas brechas en seguridad y alta prevalencia también han impactado en la opinión pública. </w:t>
      </w:r>
      <w:r w:rsidR="00BB7BB5" w:rsidRPr="00957FFE">
        <w:rPr>
          <w:rFonts w:cs="Times New Roman"/>
          <w:szCs w:val="24"/>
        </w:rPr>
        <w:t xml:space="preserve">De acuerdo a la última encuesta Pulso Ciudadano correspondiente a la primera quincena de Junio del presente año, la delincuencia (47,6%) y el narcotráfico (20,3%) se encuentran entre los principales problemas percibidos por la ciudadanía, junto con otros como la Inflación (34,3%) y la Inmigración (19,1%) </w:t>
      </w:r>
      <w:r w:rsidR="00BB7BB5" w:rsidRPr="00957FFE">
        <w:rPr>
          <w:rFonts w:cs="Times New Roman"/>
          <w:szCs w:val="24"/>
        </w:rPr>
        <w:fldChar w:fldCharType="begin" w:fldLock="1"/>
      </w:r>
      <w:r>
        <w:rPr>
          <w:rFonts w:cs="Times New Roman"/>
          <w:szCs w:val="24"/>
        </w:rPr>
        <w:instrText>ADDIN CSL_CITATION {"citationItems":[{"id":"ITEM-1","itemData":{"author":[{"dropping-particle":"","family":"Activa Research","given":"","non-dropping-particle":"","parse-names":false,"suffix":""}],"id":"ITEM-1","issued":{"date-parts":[["2022"]]},"publisher-place":"Santiago, Chile","title":"PULSO CIUDADANO. Percepción Contexto Económico / Evaluación de Gobierno / Evaluación Convención Constitucional / Conocimiento y evaluación Gabinete / Plebiscito de salida / Covid-19","type":"report"},"uris":["http://www.mendeley.com/documents/?uuid=25cd6b90-ae6f-418b-a0d4-6a20f83c2033"]}],"mendeley":{"formattedCitation":"(Activa Research 2022)","plainTextFormattedCitation":"(Activa Research 2022)","previouslyFormattedCitation":"(Activa Research 2022)"},"properties":{"noteIndex":0},"schema":"https://github.com/citation-style-language/schema/raw/master/csl-citation.json"}</w:instrText>
      </w:r>
      <w:r w:rsidR="00BB7BB5" w:rsidRPr="00957FFE">
        <w:rPr>
          <w:rFonts w:cs="Times New Roman"/>
          <w:szCs w:val="24"/>
        </w:rPr>
        <w:fldChar w:fldCharType="separate"/>
      </w:r>
      <w:r w:rsidR="00BB7BB5" w:rsidRPr="00957FFE">
        <w:rPr>
          <w:rFonts w:cs="Times New Roman"/>
          <w:noProof/>
          <w:szCs w:val="24"/>
        </w:rPr>
        <w:t>(Activa Research 2022)</w:t>
      </w:r>
      <w:r w:rsidR="00BB7BB5" w:rsidRPr="00957FFE">
        <w:rPr>
          <w:rFonts w:cs="Times New Roman"/>
          <w:szCs w:val="24"/>
        </w:rPr>
        <w:fldChar w:fldCharType="end"/>
      </w:r>
      <w:r>
        <w:rPr>
          <w:rFonts w:cs="Times New Roman"/>
          <w:szCs w:val="24"/>
        </w:rPr>
        <w:t>.</w:t>
      </w:r>
    </w:p>
    <w:p w14:paraId="525249A1" w14:textId="562DD10D" w:rsidR="00C9099C" w:rsidRPr="00CF2E51" w:rsidRDefault="00C9099C" w:rsidP="006D2DBE">
      <w:pPr>
        <w:pStyle w:val="Ttulo3"/>
        <w:spacing w:line="240" w:lineRule="auto"/>
      </w:pPr>
      <w:r w:rsidRPr="00CF2E51">
        <w:t xml:space="preserve">De qué trata </w:t>
      </w:r>
      <w:r w:rsidR="008445A3">
        <w:t xml:space="preserve">el </w:t>
      </w:r>
      <w:r w:rsidR="008445A3" w:rsidRPr="008445A3">
        <w:t>reglamento de test de drogas a parlamentarios</w:t>
      </w:r>
    </w:p>
    <w:p w14:paraId="1ED6A9DA" w14:textId="3522FE18" w:rsidR="00736798" w:rsidRDefault="008445A3" w:rsidP="006D2DBE">
      <w:pPr>
        <w:spacing w:after="0" w:line="240" w:lineRule="auto"/>
        <w:rPr>
          <w:rFonts w:eastAsia="Times New Roman" w:cs="Times New Roman"/>
          <w:szCs w:val="24"/>
          <w:lang w:eastAsia="es-CL"/>
        </w:rPr>
      </w:pPr>
      <w:r>
        <w:t>Recientes casos de corrupción y el avance del narcotráfico en el aparato estatal chileno parecen fundamentar la regulación del consumo de drogas a parlamentarios</w:t>
      </w:r>
      <w:r w:rsidR="00A3367D">
        <w:t>, pero fácilmente pueden rastrearse otros hechos que le dan fundamento</w:t>
      </w:r>
      <w:r>
        <w:t xml:space="preserve">. </w:t>
      </w:r>
      <w:r w:rsidR="00727E52">
        <w:rPr>
          <w:rFonts w:eastAsia="Times New Roman" w:cs="Times New Roman"/>
          <w:szCs w:val="24"/>
          <w:lang w:eastAsia="es-CL"/>
        </w:rPr>
        <w:t xml:space="preserve">El </w:t>
      </w:r>
      <w:r>
        <w:rPr>
          <w:rFonts w:eastAsia="Times New Roman" w:cs="Times New Roman"/>
          <w:szCs w:val="24"/>
          <w:lang w:eastAsia="es-CL"/>
        </w:rPr>
        <w:t xml:space="preserve">reglamento </w:t>
      </w:r>
      <w:r w:rsidR="006D2DBE">
        <w:rPr>
          <w:rFonts w:eastAsia="Times New Roman" w:cs="Times New Roman"/>
          <w:szCs w:val="24"/>
          <w:lang w:eastAsia="es-CL"/>
        </w:rPr>
        <w:t xml:space="preserve">tiene su origen en </w:t>
      </w:r>
      <w:r w:rsidR="00440BBB">
        <w:rPr>
          <w:rFonts w:eastAsia="Times New Roman" w:cs="Times New Roman"/>
          <w:szCs w:val="24"/>
          <w:lang w:eastAsia="es-CL"/>
        </w:rPr>
        <w:t xml:space="preserve">una denuncia hecha por parte de un ex ministro del </w:t>
      </w:r>
      <w:r>
        <w:rPr>
          <w:rFonts w:eastAsia="Times New Roman" w:cs="Times New Roman"/>
          <w:szCs w:val="24"/>
          <w:lang w:eastAsia="es-CL"/>
        </w:rPr>
        <w:t>régimen de</w:t>
      </w:r>
      <w:r w:rsidR="00440BBB">
        <w:rPr>
          <w:rFonts w:eastAsia="Times New Roman" w:cs="Times New Roman"/>
          <w:szCs w:val="24"/>
          <w:lang w:eastAsia="es-CL"/>
        </w:rPr>
        <w:t xml:space="preserve"> Augusto Pinochet a mediados de los ’90, respecto a los comportamientos de los parlamentarios “jóvenes” de centro derecha por el que fue querellado por injurias y calumnias</w:t>
      </w:r>
      <w:r w:rsidR="00787421">
        <w:rPr>
          <w:rFonts w:eastAsia="Times New Roman" w:cs="Times New Roman"/>
          <w:szCs w:val="24"/>
          <w:lang w:eastAsia="es-CL"/>
        </w:rPr>
        <w:t xml:space="preserve"> </w:t>
      </w:r>
      <w:r w:rsidR="00787421">
        <w:rPr>
          <w:rFonts w:eastAsia="Times New Roman" w:cs="Times New Roman"/>
          <w:szCs w:val="24"/>
          <w:lang w:eastAsia="es-CL"/>
        </w:rPr>
        <w:fldChar w:fldCharType="begin" w:fldLock="1"/>
      </w:r>
      <w:r w:rsidR="000614E3">
        <w:rPr>
          <w:rFonts w:eastAsia="Times New Roman" w:cs="Times New Roman"/>
          <w:szCs w:val="24"/>
          <w:lang w:eastAsia="es-CL"/>
        </w:rPr>
        <w:instrText>ADDIN CSL_CITATION {"citationItems":[{"id":"ITEM-1","itemData":{"ISBN":"9789562580755","author":[{"dropping-particle":"","family":"Cavallo","given":"A","non-dropping-particle":"","parse-names":false,"suffix":""}],"collection-title":"Hojas nuevas","id":"ITEM-1","issued":{"date-parts":[["1998"]]},"publisher":"Grijalbo","title":"La historia oculta de la transición: Chile 1990-1998","type":"book"},"uris":["http://www.mendeley.com/documents/?uuid=bcf045a1-5f28-4052-a047-8cbf4f06ef2f"]}],"mendeley":{"formattedCitation":"(Cavallo 1998)","plainTextFormattedCitation":"(Cavallo 1998)","previouslyFormattedCitation":"(Cavallo 1998)"},"properties":{"noteIndex":0},"schema":"https://github.com/citation-style-language/schema/raw/master/csl-citation.json"}</w:instrText>
      </w:r>
      <w:r w:rsidR="00787421">
        <w:rPr>
          <w:rFonts w:eastAsia="Times New Roman" w:cs="Times New Roman"/>
          <w:szCs w:val="24"/>
          <w:lang w:eastAsia="es-CL"/>
        </w:rPr>
        <w:fldChar w:fldCharType="separate"/>
      </w:r>
      <w:r w:rsidR="00787421" w:rsidRPr="00787421">
        <w:rPr>
          <w:rFonts w:eastAsia="Times New Roman" w:cs="Times New Roman"/>
          <w:noProof/>
          <w:szCs w:val="24"/>
          <w:lang w:eastAsia="es-CL"/>
        </w:rPr>
        <w:t>(Cavallo 1998)</w:t>
      </w:r>
      <w:r w:rsidR="00787421">
        <w:rPr>
          <w:rFonts w:eastAsia="Times New Roman" w:cs="Times New Roman"/>
          <w:szCs w:val="24"/>
          <w:lang w:eastAsia="es-CL"/>
        </w:rPr>
        <w:fldChar w:fldCharType="end"/>
      </w:r>
      <w:r w:rsidR="00440BBB">
        <w:rPr>
          <w:rFonts w:eastAsia="Times New Roman" w:cs="Times New Roman"/>
          <w:szCs w:val="24"/>
          <w:lang w:eastAsia="es-CL"/>
        </w:rPr>
        <w:t xml:space="preserve">. </w:t>
      </w:r>
      <w:r w:rsidR="00787421">
        <w:rPr>
          <w:rFonts w:eastAsia="Times New Roman" w:cs="Times New Roman"/>
          <w:szCs w:val="24"/>
          <w:lang w:eastAsia="es-CL"/>
        </w:rPr>
        <w:t>Un evento de particular interés merece el caso San Ramón, en el que se investigó al alcalde de San Ramón, Miguel Aguiler</w:t>
      </w:r>
      <w:r w:rsidR="000614E3">
        <w:rPr>
          <w:rFonts w:eastAsia="Times New Roman" w:cs="Times New Roman"/>
          <w:szCs w:val="24"/>
          <w:lang w:eastAsia="es-CL"/>
        </w:rPr>
        <w:t>a</w:t>
      </w:r>
      <w:r w:rsidR="00787421">
        <w:rPr>
          <w:rFonts w:eastAsia="Times New Roman" w:cs="Times New Roman"/>
          <w:szCs w:val="24"/>
          <w:lang w:eastAsia="es-CL"/>
        </w:rPr>
        <w:t>,</w:t>
      </w:r>
      <w:r w:rsidR="000614E3">
        <w:rPr>
          <w:rFonts w:eastAsia="Times New Roman" w:cs="Times New Roman"/>
          <w:szCs w:val="24"/>
          <w:lang w:eastAsia="es-CL"/>
        </w:rPr>
        <w:t xml:space="preserve"> lo cual fue publicado a través de un programa de investigación periodista en el canal de televisión nacional</w:t>
      </w:r>
      <w:r w:rsidR="00787421">
        <w:rPr>
          <w:rFonts w:eastAsia="Times New Roman" w:cs="Times New Roman"/>
          <w:szCs w:val="24"/>
          <w:lang w:eastAsia="es-CL"/>
        </w:rPr>
        <w:t xml:space="preserve"> y que se acreditó </w:t>
      </w:r>
      <w:r w:rsidR="000614E3">
        <w:rPr>
          <w:rFonts w:eastAsia="Times New Roman" w:cs="Times New Roman"/>
          <w:szCs w:val="24"/>
          <w:lang w:eastAsia="es-CL"/>
        </w:rPr>
        <w:t xml:space="preserve">y se condenó al Sr. Aguilera por </w:t>
      </w:r>
      <w:r w:rsidR="00787421">
        <w:rPr>
          <w:rFonts w:eastAsia="Times New Roman" w:cs="Times New Roman"/>
          <w:szCs w:val="24"/>
          <w:lang w:eastAsia="es-CL"/>
        </w:rPr>
        <w:t>sus vínculos con el narcotráfico</w:t>
      </w:r>
      <w:r w:rsidR="000614E3">
        <w:rPr>
          <w:rFonts w:eastAsia="Times New Roman" w:cs="Times New Roman"/>
          <w:szCs w:val="24"/>
          <w:lang w:eastAsia="es-CL"/>
        </w:rPr>
        <w:t xml:space="preserve"> a la postre en el año 2021 </w:t>
      </w:r>
      <w:r w:rsidR="000614E3">
        <w:rPr>
          <w:rFonts w:eastAsia="Times New Roman" w:cs="Times New Roman"/>
          <w:szCs w:val="24"/>
          <w:lang w:eastAsia="es-CL"/>
        </w:rPr>
        <w:fldChar w:fldCharType="begin" w:fldLock="1"/>
      </w:r>
      <w:r w:rsidR="00C35796">
        <w:rPr>
          <w:rFonts w:eastAsia="Times New Roman" w:cs="Times New Roman"/>
          <w:szCs w:val="24"/>
          <w:lang w:eastAsia="es-CL"/>
        </w:rPr>
        <w:instrText>ADDIN CSL_CITATION {"citationItems":[{"id":"ITEM-1","itemData":{"author":[{"dropping-particle":"","family":"González","given":"V.","non-dropping-particle":"","parse-names":false,"suffix":""}],"id":"ITEM-1","issued":{"date-parts":[["2017"]]},"publisher":"Bío-Bío Chile","publisher-place":"Santiago, Chile","title":"San Ramón: Tribunal Supremo del PS oficializa expulsión del alcalde Miguel Ángel Aguilera","type":"article"},"uris":["http://www.mendeley.com/documents/?uuid=4ac3350e-ba8f-4e62-b10e-ae72e60a5275"]},{"id":"ITEM-2","itemData":{"author":[{"dropping-particle":"","family":"Sepúlveda","given":"N.","non-dropping-particle":"","parse-names":false,"suffix":""}],"id":"ITEM-2","issued":{"date-parts":[["2021"]]},"publisher":"Ciper Chile","publisher-place":"Santiago, Chile","title":"Ex colaboradores de alcalde Aguilera declaran que su campaña recibió aportes de narco y que municipio pagaba a trabajadores falsos","type":"article"},"uris":["http://www.mendeley.com/documents/?uuid=f09e59f4-5724-4b2b-a177-d94ea832f351"]}],"mendeley":{"formattedCitation":"(González 2017; Sepúlveda 2021)","plainTextFormattedCitation":"(González 2017; Sepúlveda 2021)","previouslyFormattedCitation":"(González 2017; Sepúlveda 2021)"},"properties":{"noteIndex":0},"schema":"https://github.com/citation-style-language/schema/raw/master/csl-citation.json"}</w:instrText>
      </w:r>
      <w:r w:rsidR="000614E3">
        <w:rPr>
          <w:rFonts w:eastAsia="Times New Roman" w:cs="Times New Roman"/>
          <w:szCs w:val="24"/>
          <w:lang w:eastAsia="es-CL"/>
        </w:rPr>
        <w:fldChar w:fldCharType="separate"/>
      </w:r>
      <w:r w:rsidR="000614E3" w:rsidRPr="000614E3">
        <w:rPr>
          <w:rFonts w:eastAsia="Times New Roman" w:cs="Times New Roman"/>
          <w:noProof/>
          <w:szCs w:val="24"/>
          <w:lang w:eastAsia="es-CL"/>
        </w:rPr>
        <w:t>(González 2017; Sepúlveda 2021)</w:t>
      </w:r>
      <w:r w:rsidR="000614E3">
        <w:rPr>
          <w:rFonts w:eastAsia="Times New Roman" w:cs="Times New Roman"/>
          <w:szCs w:val="24"/>
          <w:lang w:eastAsia="es-CL"/>
        </w:rPr>
        <w:fldChar w:fldCharType="end"/>
      </w:r>
      <w:r w:rsidR="00787421">
        <w:rPr>
          <w:rFonts w:eastAsia="Times New Roman" w:cs="Times New Roman"/>
          <w:szCs w:val="24"/>
          <w:lang w:eastAsia="es-CL"/>
        </w:rPr>
        <w:t xml:space="preserve">. </w:t>
      </w:r>
      <w:r w:rsidR="000614E3">
        <w:rPr>
          <w:rFonts w:eastAsia="Times New Roman" w:cs="Times New Roman"/>
          <w:szCs w:val="24"/>
          <w:lang w:eastAsia="es-CL"/>
        </w:rPr>
        <w:t>Por otra parte</w:t>
      </w:r>
      <w:r w:rsidR="00440BBB">
        <w:rPr>
          <w:rFonts w:eastAsia="Times New Roman" w:cs="Times New Roman"/>
          <w:szCs w:val="24"/>
          <w:lang w:eastAsia="es-CL"/>
        </w:rPr>
        <w:t xml:space="preserve">, la exsenadora Lily </w:t>
      </w:r>
      <w:r w:rsidR="00A3367D">
        <w:rPr>
          <w:rFonts w:eastAsia="Times New Roman" w:cs="Times New Roman"/>
          <w:szCs w:val="24"/>
          <w:lang w:eastAsia="es-CL"/>
        </w:rPr>
        <w:t>Pérez</w:t>
      </w:r>
      <w:r w:rsidR="00440BBB">
        <w:rPr>
          <w:rFonts w:eastAsia="Times New Roman" w:cs="Times New Roman"/>
          <w:szCs w:val="24"/>
          <w:lang w:eastAsia="es-CL"/>
        </w:rPr>
        <w:t xml:space="preserve"> en 2016, la</w:t>
      </w:r>
      <w:r w:rsidR="00787421">
        <w:rPr>
          <w:rFonts w:eastAsia="Times New Roman" w:cs="Times New Roman"/>
          <w:szCs w:val="24"/>
          <w:lang w:eastAsia="es-CL"/>
        </w:rPr>
        <w:t>s</w:t>
      </w:r>
      <w:r w:rsidR="00440BBB">
        <w:rPr>
          <w:rFonts w:eastAsia="Times New Roman" w:cs="Times New Roman"/>
          <w:szCs w:val="24"/>
          <w:lang w:eastAsia="es-CL"/>
        </w:rPr>
        <w:t xml:space="preserve"> diputada</w:t>
      </w:r>
      <w:r w:rsidR="00787421">
        <w:rPr>
          <w:rFonts w:eastAsia="Times New Roman" w:cs="Times New Roman"/>
          <w:szCs w:val="24"/>
          <w:lang w:eastAsia="es-CL"/>
        </w:rPr>
        <w:t>s Camila Flores y</w:t>
      </w:r>
      <w:r w:rsidR="00440BBB">
        <w:rPr>
          <w:rFonts w:eastAsia="Times New Roman" w:cs="Times New Roman"/>
          <w:szCs w:val="24"/>
          <w:lang w:eastAsia="es-CL"/>
        </w:rPr>
        <w:t xml:space="preserve"> Maite </w:t>
      </w:r>
      <w:proofErr w:type="spellStart"/>
      <w:r w:rsidR="00440BBB">
        <w:rPr>
          <w:rFonts w:eastAsia="Times New Roman" w:cs="Times New Roman"/>
          <w:szCs w:val="24"/>
          <w:lang w:eastAsia="es-CL"/>
        </w:rPr>
        <w:t>Orsini</w:t>
      </w:r>
      <w:proofErr w:type="spellEnd"/>
      <w:r w:rsidR="00440BBB">
        <w:rPr>
          <w:rFonts w:eastAsia="Times New Roman" w:cs="Times New Roman"/>
          <w:szCs w:val="24"/>
          <w:lang w:eastAsia="es-CL"/>
        </w:rPr>
        <w:t xml:space="preserve"> el 2019</w:t>
      </w:r>
      <w:r w:rsidR="000614E3">
        <w:rPr>
          <w:rFonts w:eastAsia="Times New Roman" w:cs="Times New Roman"/>
          <w:szCs w:val="24"/>
          <w:lang w:eastAsia="es-CL"/>
        </w:rPr>
        <w:t xml:space="preserve"> también emitieron declaraciones polémicas respecto al consumo de sustancias por parte de parlamentarios</w:t>
      </w:r>
      <w:r w:rsidR="00440BBB">
        <w:rPr>
          <w:rFonts w:eastAsia="Times New Roman" w:cs="Times New Roman"/>
          <w:szCs w:val="24"/>
          <w:lang w:eastAsia="es-CL"/>
        </w:rPr>
        <w:t xml:space="preserve"> </w:t>
      </w:r>
      <w:r w:rsidR="00440BBB">
        <w:rPr>
          <w:rFonts w:eastAsia="Times New Roman" w:cs="Times New Roman"/>
          <w:szCs w:val="24"/>
          <w:lang w:eastAsia="es-CL"/>
        </w:rPr>
        <w:fldChar w:fldCharType="begin" w:fldLock="1"/>
      </w:r>
      <w:r w:rsidR="00787421">
        <w:rPr>
          <w:rFonts w:eastAsia="Times New Roman" w:cs="Times New Roman"/>
          <w:szCs w:val="24"/>
          <w:lang w:eastAsia="es-CL"/>
        </w:rPr>
        <w:instrText>ADDIN CSL_CITATION {"citationItems":[{"id":"ITEM-1","itemData":{"author":[{"dropping-particle":"","family":"Jara","given":"A.","non-dropping-particle":"","parse-names":false,"suffix":""}],"id":"ITEM-1","issued":{"date-parts":[["2019"]]},"publisher":"La Tercera","publisher-place":"Santiago, Chile","title":"Los otros políticos que han vinculado a parlamentarios con el consumo de drogas","type":"article"},"uris":["http://www.mendeley.com/documents/?uuid=da869bbc-a91f-400f-b5b5-deb821034401"]}],"mendeley":{"formattedCitation":"(Jara 2019)","plainTextFormattedCitation":"(Jara 2019)","previouslyFormattedCitation":"(Jara 2019)"},"properties":{"noteIndex":0},"schema":"https://github.com/citation-style-language/schema/raw/master/csl-citation.json"}</w:instrText>
      </w:r>
      <w:r w:rsidR="00440BBB">
        <w:rPr>
          <w:rFonts w:eastAsia="Times New Roman" w:cs="Times New Roman"/>
          <w:szCs w:val="24"/>
          <w:lang w:eastAsia="es-CL"/>
        </w:rPr>
        <w:fldChar w:fldCharType="separate"/>
      </w:r>
      <w:r w:rsidR="00440BBB" w:rsidRPr="00440BBB">
        <w:rPr>
          <w:rFonts w:eastAsia="Times New Roman" w:cs="Times New Roman"/>
          <w:noProof/>
          <w:szCs w:val="24"/>
          <w:lang w:eastAsia="es-CL"/>
        </w:rPr>
        <w:t>(Jara 2019)</w:t>
      </w:r>
      <w:r w:rsidR="00440BBB">
        <w:rPr>
          <w:rFonts w:eastAsia="Times New Roman" w:cs="Times New Roman"/>
          <w:szCs w:val="24"/>
          <w:lang w:eastAsia="es-CL"/>
        </w:rPr>
        <w:fldChar w:fldCharType="end"/>
      </w:r>
      <w:r w:rsidR="00440BBB">
        <w:rPr>
          <w:rFonts w:eastAsia="Times New Roman" w:cs="Times New Roman"/>
          <w:szCs w:val="24"/>
          <w:lang w:eastAsia="es-CL"/>
        </w:rPr>
        <w:t>.</w:t>
      </w:r>
    </w:p>
    <w:p w14:paraId="1EE01423" w14:textId="4A3695F3" w:rsidR="004F710F" w:rsidRDefault="004F710F" w:rsidP="006D2DBE">
      <w:pPr>
        <w:spacing w:after="0" w:line="240" w:lineRule="auto"/>
        <w:rPr>
          <w:rFonts w:eastAsia="Times New Roman" w:cs="Times New Roman"/>
          <w:szCs w:val="24"/>
          <w:lang w:eastAsia="es-CL"/>
        </w:rPr>
      </w:pPr>
      <w:r>
        <w:rPr>
          <w:rFonts w:eastAsia="Times New Roman" w:cs="Times New Roman"/>
          <w:szCs w:val="24"/>
          <w:lang w:eastAsia="es-CL"/>
        </w:rPr>
        <w:br/>
        <w:t xml:space="preserve">Cabe señalar que el decreto 1215 del 23 de </w:t>
      </w:r>
      <w:r w:rsidR="00C35796">
        <w:rPr>
          <w:rFonts w:eastAsia="Times New Roman" w:cs="Times New Roman"/>
          <w:szCs w:val="24"/>
          <w:lang w:eastAsia="es-CL"/>
        </w:rPr>
        <w:t>junio</w:t>
      </w:r>
      <w:r>
        <w:rPr>
          <w:rFonts w:eastAsia="Times New Roman" w:cs="Times New Roman"/>
          <w:szCs w:val="24"/>
          <w:lang w:eastAsia="es-CL"/>
        </w:rPr>
        <w:t xml:space="preserve"> de 2007 del Ministerio del Interior,</w:t>
      </w:r>
      <w:r w:rsidR="00A3367D" w:rsidRPr="00A3367D">
        <w:t xml:space="preserve"> </w:t>
      </w:r>
      <w:r w:rsidR="00A3367D">
        <w:rPr>
          <w:rFonts w:eastAsia="Times New Roman" w:cs="Times New Roman"/>
          <w:szCs w:val="24"/>
          <w:lang w:eastAsia="es-CL"/>
        </w:rPr>
        <w:t xml:space="preserve">en el marco de la ley </w:t>
      </w:r>
      <w:r w:rsidR="00A3367D" w:rsidRPr="00A3367D">
        <w:rPr>
          <w:rFonts w:eastAsia="Times New Roman" w:cs="Times New Roman"/>
          <w:szCs w:val="24"/>
          <w:lang w:eastAsia="es-CL"/>
        </w:rPr>
        <w:t>Nº18.575</w:t>
      </w:r>
      <w:r w:rsidR="00A3367D">
        <w:rPr>
          <w:rFonts w:eastAsia="Times New Roman" w:cs="Times New Roman"/>
          <w:szCs w:val="24"/>
          <w:lang w:eastAsia="es-CL"/>
        </w:rPr>
        <w:t>,</w:t>
      </w:r>
      <w:r>
        <w:rPr>
          <w:rFonts w:eastAsia="Times New Roman" w:cs="Times New Roman"/>
          <w:szCs w:val="24"/>
          <w:lang w:eastAsia="es-CL"/>
        </w:rPr>
        <w:t xml:space="preserve"> establece que ministros de estado, jefes de división, de servicio ni directivos superiores de organismos de la Administración del Estado deben presentar una declaración jurada en que acreditan no tener algún tipo de dependencia de sustancia o consumo injustificado. También define que cada organismo definirá su forma de control y pruebas aleatorias, junto con políticas de prevención</w:t>
      </w:r>
      <w:r w:rsidR="00C35796">
        <w:rPr>
          <w:rFonts w:eastAsia="Times New Roman" w:cs="Times New Roman"/>
          <w:szCs w:val="24"/>
          <w:lang w:eastAsia="es-CL"/>
        </w:rPr>
        <w:t xml:space="preserve"> </w:t>
      </w:r>
      <w:r w:rsidR="00C35796">
        <w:rPr>
          <w:rFonts w:eastAsia="Times New Roman" w:cs="Times New Roman"/>
          <w:szCs w:val="24"/>
          <w:lang w:eastAsia="es-CL"/>
        </w:rPr>
        <w:fldChar w:fldCharType="begin" w:fldLock="1"/>
      </w:r>
      <w:r w:rsidR="009706F8">
        <w:rPr>
          <w:rFonts w:eastAsia="Times New Roman" w:cs="Times New Roman"/>
          <w:szCs w:val="24"/>
          <w:lang w:eastAsia="es-CL"/>
        </w:rPr>
        <w:instrText>ADDIN CSL_CITATION {"citationItems":[{"id":"ITEM-1","itemData":{"author":[{"dropping-particle":"","family":"Minsterio del Interior","given":"","non-dropping-particle":"","parse-names":false,"suffix":""}],"id":"ITEM-1","issued":{"date-parts":[["2006"]]},"publisher":"Biblioteca del Congreso Nacional de Chile","title":"Decreto-1215 23-JUN-2007 ESTABLECE NORMAS QUE REGULAN LAS MEDIDAS DE PREVENCION DEL CONSUMO DE DROGAS EN LOS ORGANOS DE LA ADMINISTRACION DEL ESTADO, ASI COMO EL PROCEDIMIENTO DE CONTROL DE CONSUMO APLICABLE A LAS PERSONAS QUE INDICA, CONFORME A LO ESTABL","type":"article"},"uris":["http://www.mendeley.com/documents/?uuid=f35b3353-39b3-48b7-a56d-3680dcb71481"]}],"mendeley":{"formattedCitation":"(Minsterio del Interior 2006)","plainTextFormattedCitation":"(Minsterio del Interior 2006)","previouslyFormattedCitation":"(Minsterio del Interior 2006)"},"properties":{"noteIndex":0},"schema":"https://github.com/citation-style-language/schema/raw/master/csl-citation.json"}</w:instrText>
      </w:r>
      <w:r w:rsidR="00C35796">
        <w:rPr>
          <w:rFonts w:eastAsia="Times New Roman" w:cs="Times New Roman"/>
          <w:szCs w:val="24"/>
          <w:lang w:eastAsia="es-CL"/>
        </w:rPr>
        <w:fldChar w:fldCharType="separate"/>
      </w:r>
      <w:r w:rsidR="00C35796" w:rsidRPr="00C35796">
        <w:rPr>
          <w:rFonts w:eastAsia="Times New Roman" w:cs="Times New Roman"/>
          <w:noProof/>
          <w:szCs w:val="24"/>
          <w:lang w:eastAsia="es-CL"/>
        </w:rPr>
        <w:t>(Minsterio del Interior 2006)</w:t>
      </w:r>
      <w:r w:rsidR="00C35796">
        <w:rPr>
          <w:rFonts w:eastAsia="Times New Roman" w:cs="Times New Roman"/>
          <w:szCs w:val="24"/>
          <w:lang w:eastAsia="es-CL"/>
        </w:rPr>
        <w:fldChar w:fldCharType="end"/>
      </w:r>
      <w:r>
        <w:rPr>
          <w:rFonts w:eastAsia="Times New Roman" w:cs="Times New Roman"/>
          <w:szCs w:val="24"/>
          <w:lang w:eastAsia="es-CL"/>
        </w:rPr>
        <w:t>.</w:t>
      </w:r>
    </w:p>
    <w:p w14:paraId="29A62EDB" w14:textId="3DB66DC5" w:rsidR="004A2158" w:rsidRDefault="004A2158" w:rsidP="006D2DBE">
      <w:pPr>
        <w:spacing w:after="0" w:line="240" w:lineRule="auto"/>
        <w:rPr>
          <w:rFonts w:eastAsia="Times New Roman" w:cs="Times New Roman"/>
          <w:szCs w:val="24"/>
          <w:lang w:eastAsia="es-CL"/>
        </w:rPr>
      </w:pPr>
    </w:p>
    <w:p w14:paraId="74CB5242" w14:textId="66A57611" w:rsidR="003452D9" w:rsidRDefault="004A2158" w:rsidP="008871E4">
      <w:pPr>
        <w:spacing w:after="0" w:line="240" w:lineRule="auto"/>
        <w:textAlignment w:val="baseline"/>
        <w:rPr>
          <w:rFonts w:eastAsia="Times New Roman" w:cs="Times New Roman"/>
          <w:szCs w:val="24"/>
          <w:lang w:eastAsia="es-CL"/>
        </w:rPr>
      </w:pPr>
      <w:r w:rsidRPr="006620DF">
        <w:rPr>
          <w:rFonts w:eastAsia="Times New Roman" w:cs="Times New Roman"/>
          <w:szCs w:val="24"/>
          <w:lang w:eastAsia="es-CL"/>
        </w:rPr>
        <w:t>La modificación al reglamento se acuerda en la sesión 38 del 29-06-2022 y 46° 13-07-2022, y se aprueba el 25 de Julio del presente año</w:t>
      </w:r>
      <w:r w:rsidR="00882446">
        <w:rPr>
          <w:rFonts w:eastAsia="Times New Roman" w:cs="Times New Roman"/>
          <w:szCs w:val="24"/>
          <w:lang w:eastAsia="es-CL"/>
        </w:rPr>
        <w:t xml:space="preserve">, aunque se </w:t>
      </w:r>
      <w:r w:rsidR="00BC1D64">
        <w:rPr>
          <w:rFonts w:eastAsia="Times New Roman" w:cs="Times New Roman"/>
          <w:szCs w:val="24"/>
          <w:lang w:eastAsia="es-CL"/>
        </w:rPr>
        <w:t xml:space="preserve">había transformado en norma legal al quedar dentro de la ley de presupuestos del año 2022, aunque requería de un </w:t>
      </w:r>
      <w:r w:rsidR="00BC1D64">
        <w:rPr>
          <w:rFonts w:eastAsia="Times New Roman" w:cs="Times New Roman"/>
          <w:szCs w:val="24"/>
          <w:lang w:eastAsia="es-CL"/>
        </w:rPr>
        <w:lastRenderedPageBreak/>
        <w:t xml:space="preserve">reglamento para su </w:t>
      </w:r>
      <w:commentRangeStart w:id="5"/>
      <w:r w:rsidR="00BC1D64">
        <w:rPr>
          <w:rFonts w:eastAsia="Times New Roman" w:cs="Times New Roman"/>
          <w:szCs w:val="24"/>
          <w:lang w:eastAsia="es-CL"/>
        </w:rPr>
        <w:t>implementación</w:t>
      </w:r>
      <w:commentRangeEnd w:id="5"/>
      <w:r w:rsidR="00BC1D64">
        <w:rPr>
          <w:rStyle w:val="Refdecomentario"/>
        </w:rPr>
        <w:commentReference w:id="5"/>
      </w:r>
      <w:r w:rsidRPr="006620DF">
        <w:rPr>
          <w:rFonts w:eastAsia="Times New Roman" w:cs="Times New Roman"/>
          <w:szCs w:val="24"/>
          <w:lang w:eastAsia="es-CL"/>
        </w:rPr>
        <w:t>.</w:t>
      </w:r>
      <w:r w:rsidR="00323345" w:rsidRPr="006620DF">
        <w:rPr>
          <w:rFonts w:eastAsia="Times New Roman" w:cs="Times New Roman"/>
          <w:szCs w:val="24"/>
          <w:lang w:eastAsia="es-CL"/>
        </w:rPr>
        <w:t xml:space="preserve"> El objetivo del reglamento es “regular la prevención del consumo indebido de sustancias”, estableciendo controles periódicos, aumentar la transparente, evitar la comisión de delitos de narcotráfico o relacionados, cualquier vínculo entre la cámara y las “redes” de narcotráfico</w:t>
      </w:r>
      <w:r w:rsidR="00287992" w:rsidRPr="006620DF">
        <w:rPr>
          <w:rFonts w:eastAsia="Times New Roman" w:cs="Times New Roman"/>
          <w:szCs w:val="24"/>
          <w:lang w:eastAsia="es-CL"/>
        </w:rPr>
        <w:t xml:space="preserve">. Para ello deberán someterse a un examen aleatorio cuyos resultados serán públicos, pero resguardando la dignidad de los parlamentarios, asegurando la imparcialidad del control y la confiabilidad de los resultados. Adicionalmente, establecerá una política de prevención y </w:t>
      </w:r>
      <w:r w:rsidR="006620DF" w:rsidRPr="006620DF">
        <w:rPr>
          <w:rFonts w:eastAsia="Times New Roman" w:cs="Times New Roman"/>
          <w:szCs w:val="24"/>
          <w:lang w:eastAsia="es-CL"/>
        </w:rPr>
        <w:t>actividades, pudiendo</w:t>
      </w:r>
      <w:r w:rsidR="00287992" w:rsidRPr="006620DF">
        <w:rPr>
          <w:rFonts w:eastAsia="Times New Roman" w:cs="Times New Roman"/>
          <w:szCs w:val="24"/>
          <w:lang w:eastAsia="es-CL"/>
        </w:rPr>
        <w:t xml:space="preserve"> solicitar asesoría </w:t>
      </w:r>
      <w:r w:rsidR="00287992">
        <w:t>del Servicio Nacional para la Prevención y Rehabilitación del Consumo de Drogas y Alcohol (</w:t>
      </w:r>
      <w:r w:rsidR="00287992" w:rsidRPr="006620DF">
        <w:rPr>
          <w:rFonts w:eastAsia="Times New Roman" w:cs="Times New Roman"/>
          <w:szCs w:val="24"/>
          <w:lang w:eastAsia="es-CL"/>
        </w:rPr>
        <w:t>SENDA).</w:t>
      </w:r>
      <w:r w:rsidR="00BB1B3B" w:rsidRPr="006620DF">
        <w:rPr>
          <w:rFonts w:eastAsia="Times New Roman" w:cs="Times New Roman"/>
          <w:szCs w:val="24"/>
          <w:lang w:eastAsia="es-CL"/>
        </w:rPr>
        <w:t xml:space="preserve"> De igual manera, deberán someterse semestralmente a este procedimiento, mediante un sorteo que asegure al menos 2 controles en el curso de su ejercicio, siendo el primero antes del 30 de junio, y el segundo, antes del 31 de diciembre. El examen corresponde a un examen de pelo en un laboratorio autorizado. De resultar positivo el examen, deberán someterse nuevamente al mismo. Se dispondrá de un funcionario público profesional encargado de la aleatorización y contacto con un laboratorio, </w:t>
      </w:r>
      <w:r w:rsidR="00CD7A3E">
        <w:rPr>
          <w:rFonts w:eastAsia="Times New Roman" w:cs="Times New Roman"/>
          <w:szCs w:val="24"/>
          <w:lang w:eastAsia="es-CL"/>
        </w:rPr>
        <w:t xml:space="preserve">quien </w:t>
      </w:r>
      <w:r w:rsidR="00BB1B3B" w:rsidRPr="006620DF">
        <w:rPr>
          <w:rFonts w:eastAsia="Times New Roman" w:cs="Times New Roman"/>
          <w:szCs w:val="24"/>
          <w:lang w:eastAsia="es-CL"/>
        </w:rPr>
        <w:t>pedirá declaraciones médicas antes de citar, participará en la toma de muestras y asegurará su integridad.</w:t>
      </w:r>
      <w:r w:rsidR="000D41D9" w:rsidRPr="006620DF">
        <w:rPr>
          <w:rFonts w:eastAsia="Times New Roman" w:cs="Times New Roman"/>
          <w:szCs w:val="24"/>
          <w:lang w:eastAsia="es-CL"/>
        </w:rPr>
        <w:t xml:space="preserve"> Adicionalmente, quienes presenten resultados positivos </w:t>
      </w:r>
      <w:r w:rsidR="00DB1B51">
        <w:rPr>
          <w:rFonts w:eastAsia="Times New Roman" w:cs="Times New Roman"/>
          <w:szCs w:val="24"/>
          <w:lang w:eastAsia="es-CL"/>
        </w:rPr>
        <w:t xml:space="preserve">-mientras no sean producto de fármacos con prescripción médica (quienes se acogen a privacidad producto de la Ley de Deberes y Derechos del Paciente-, </w:t>
      </w:r>
      <w:r w:rsidR="000D41D9" w:rsidRPr="006620DF">
        <w:rPr>
          <w:rFonts w:eastAsia="Times New Roman" w:cs="Times New Roman"/>
          <w:szCs w:val="24"/>
          <w:lang w:eastAsia="es-CL"/>
        </w:rPr>
        <w:t>tendrán 10 días una vez conocidos los resultados para remitir una autorización anticipada de levantamiento de secreto bancario e en que permiten levantar secreto bancario por un año, levantarán información de cartolas en los últimos 6 meses, declararán movimientos mayores a 800UFs (27,8 millones aprox</w:t>
      </w:r>
      <w:r w:rsidR="001755FA" w:rsidRPr="006620DF">
        <w:rPr>
          <w:rFonts w:eastAsia="Times New Roman" w:cs="Times New Roman"/>
          <w:szCs w:val="24"/>
          <w:lang w:eastAsia="es-CL"/>
        </w:rPr>
        <w:t>imadamente</w:t>
      </w:r>
      <w:r w:rsidR="000D41D9" w:rsidRPr="006620DF">
        <w:rPr>
          <w:rFonts w:eastAsia="Times New Roman" w:cs="Times New Roman"/>
          <w:szCs w:val="24"/>
          <w:lang w:eastAsia="es-CL"/>
        </w:rPr>
        <w:t xml:space="preserve">) y de existir se derivarán antecedentes a Comisión de ética y transparencia para justificar dicho movimiento. De negarse a remitir la autorización, </w:t>
      </w:r>
      <w:r w:rsidR="000D41D9">
        <w:t>será sancionado con el artículo 347 (llamado al orden, amonestación o censura) y 348 (</w:t>
      </w:r>
      <w:r w:rsidR="001755FA">
        <w:t xml:space="preserve">multa que significa una </w:t>
      </w:r>
      <w:r w:rsidR="000D41D9">
        <w:t>reducción de porcentaje de la dieta mensual) de la Comisión de Ética y transparencia de la Cámara de Diputados.</w:t>
      </w:r>
      <w:r w:rsidR="006620DF">
        <w:t xml:space="preserve"> Los l</w:t>
      </w:r>
      <w:r w:rsidR="006620DF" w:rsidRPr="00736798">
        <w:rPr>
          <w:rFonts w:eastAsia="Times New Roman" w:cs="Times New Roman"/>
          <w:color w:val="000000"/>
          <w:szCs w:val="24"/>
          <w:lang w:eastAsia="es-CL"/>
        </w:rPr>
        <w:t>aboratorio</w:t>
      </w:r>
      <w:r w:rsidR="006620DF" w:rsidRPr="006620DF">
        <w:rPr>
          <w:rFonts w:eastAsia="Times New Roman" w:cs="Times New Roman"/>
          <w:color w:val="000000"/>
          <w:szCs w:val="24"/>
          <w:lang w:eastAsia="es-CL"/>
        </w:rPr>
        <w:t>s</w:t>
      </w:r>
      <w:r w:rsidR="006620DF" w:rsidRPr="00736798">
        <w:rPr>
          <w:rFonts w:eastAsia="Times New Roman" w:cs="Times New Roman"/>
          <w:color w:val="000000"/>
          <w:szCs w:val="24"/>
          <w:lang w:eastAsia="es-CL"/>
        </w:rPr>
        <w:t xml:space="preserve"> </w:t>
      </w:r>
      <w:r w:rsidR="006620DF" w:rsidRPr="006620DF">
        <w:rPr>
          <w:rFonts w:eastAsia="Times New Roman" w:cs="Times New Roman"/>
          <w:color w:val="000000"/>
          <w:szCs w:val="24"/>
          <w:lang w:eastAsia="es-CL"/>
        </w:rPr>
        <w:t xml:space="preserve">deben </w:t>
      </w:r>
      <w:r w:rsidR="006620DF" w:rsidRPr="00736798">
        <w:rPr>
          <w:rFonts w:eastAsia="Times New Roman" w:cs="Times New Roman"/>
          <w:color w:val="000000"/>
          <w:szCs w:val="24"/>
          <w:lang w:eastAsia="es-CL"/>
        </w:rPr>
        <w:t xml:space="preserve">asegurar que </w:t>
      </w:r>
      <w:r w:rsidR="006620DF" w:rsidRPr="006620DF">
        <w:rPr>
          <w:rFonts w:eastAsia="Times New Roman" w:cs="Times New Roman"/>
          <w:color w:val="000000"/>
          <w:szCs w:val="24"/>
          <w:lang w:eastAsia="es-CL"/>
        </w:rPr>
        <w:t xml:space="preserve">se </w:t>
      </w:r>
      <w:r w:rsidR="006620DF" w:rsidRPr="00736798">
        <w:rPr>
          <w:rFonts w:eastAsia="Times New Roman" w:cs="Times New Roman"/>
          <w:color w:val="000000"/>
          <w:szCs w:val="24"/>
          <w:lang w:eastAsia="es-CL"/>
        </w:rPr>
        <w:t>respeta cadena</w:t>
      </w:r>
      <w:r w:rsidR="008445A3">
        <w:rPr>
          <w:rFonts w:eastAsia="Times New Roman" w:cs="Times New Roman"/>
          <w:color w:val="000000"/>
          <w:szCs w:val="24"/>
          <w:lang w:eastAsia="es-CL"/>
        </w:rPr>
        <w:t xml:space="preserve"> procesual de manera íntegra</w:t>
      </w:r>
      <w:r w:rsidR="006620DF" w:rsidRPr="00736798">
        <w:rPr>
          <w:rFonts w:eastAsia="Times New Roman" w:cs="Times New Roman"/>
          <w:color w:val="000000"/>
          <w:szCs w:val="24"/>
          <w:lang w:eastAsia="es-CL"/>
        </w:rPr>
        <w:t>, contra testeo, y cada vez que apliqué emitirá informe</w:t>
      </w:r>
      <w:r w:rsidR="006620DF" w:rsidRPr="006620DF">
        <w:rPr>
          <w:rFonts w:eastAsia="Times New Roman" w:cs="Times New Roman"/>
          <w:color w:val="000000"/>
          <w:szCs w:val="24"/>
          <w:lang w:eastAsia="es-CL"/>
        </w:rPr>
        <w:t xml:space="preserve"> con estas especificaciones. </w:t>
      </w:r>
      <w:r w:rsidR="008871E4">
        <w:rPr>
          <w:rFonts w:eastAsia="Times New Roman" w:cs="Times New Roman"/>
          <w:szCs w:val="24"/>
          <w:lang w:eastAsia="es-CL"/>
        </w:rPr>
        <w:t xml:space="preserve">Todo diputado o funcionario en conocimiento de los controles deberá mantener reserva de realización y resultados y personas involucradas. Si un diputado se negara injustificadamente, se le aplicarán las sanciones del artículo 347 y 348 de la Comisión de Ética y transparencia. </w:t>
      </w:r>
      <w:r w:rsidR="006620DF" w:rsidRPr="006620DF">
        <w:rPr>
          <w:rFonts w:eastAsia="Times New Roman" w:cs="Times New Roman"/>
          <w:color w:val="000000"/>
          <w:szCs w:val="24"/>
          <w:lang w:eastAsia="es-CL"/>
        </w:rPr>
        <w:t xml:space="preserve">Los resultados serán tratados conforme al artículo 5 de la ley 20.584 (de derechos y deberes de los pacientes, velando por un trato digno, con lenguaje apropiado, junto con respetar la vida privada y la honra) </w:t>
      </w:r>
      <w:r w:rsidRPr="006620DF">
        <w:rPr>
          <w:rFonts w:eastAsia="Times New Roman" w:cs="Times New Roman"/>
          <w:szCs w:val="24"/>
          <w:lang w:eastAsia="es-CL"/>
        </w:rPr>
        <w:fldChar w:fldCharType="begin" w:fldLock="1"/>
      </w:r>
      <w:r w:rsidR="00440BBB">
        <w:rPr>
          <w:rFonts w:eastAsia="Times New Roman" w:cs="Times New Roman"/>
          <w:szCs w:val="24"/>
          <w:lang w:eastAsia="es-CL"/>
        </w:rPr>
        <w:instrText>ADDIN CSL_CITATION {"citationItems":[{"id":"ITEM-1","itemData":{"author":[{"dropping-particle":"","family":"Comisión Constitución, Legislación","given":"Justicia y Reglamento. Cámara de Diputadas y Diputados Chile","non-dropping-particle":"","parse-names":false,"suffix":""}],"id":"ITEM-1","issued":{"date-parts":[["2022"]]},"title":"RESOLUCIÓN S/N 25-JUL-22. REGLAMENTO SOBRE CONTROL DE CONSUMO DE DROGAS EN DIPUTADAS Y DIPUTADOS","type":"report"},"uris":["http://www.mendeley.com/documents/?uuid=713d7b84-87b4-4946-b451-760a48eb1dcb"]}],"mendeley":{"formattedCitation":"(Comisión Constitución, Legislación 2022)","plainTextFormattedCitation":"(Comisión Constitución, Legislación 2022)","previouslyFormattedCitation":"(Comisión Constitución, Legislación 2022)"},"properties":{"noteIndex":0},"schema":"https://github.com/citation-style-language/schema/raw/master/csl-citation.json"}</w:instrText>
      </w:r>
      <w:r w:rsidRPr="006620DF">
        <w:rPr>
          <w:rFonts w:eastAsia="Times New Roman" w:cs="Times New Roman"/>
          <w:szCs w:val="24"/>
          <w:lang w:eastAsia="es-CL"/>
        </w:rPr>
        <w:fldChar w:fldCharType="separate"/>
      </w:r>
      <w:r w:rsidRPr="006620DF">
        <w:rPr>
          <w:rFonts w:eastAsia="Times New Roman" w:cs="Times New Roman"/>
          <w:noProof/>
          <w:szCs w:val="24"/>
          <w:lang w:eastAsia="es-CL"/>
        </w:rPr>
        <w:t>(Comisión Constitución, Legislación 2022)</w:t>
      </w:r>
      <w:r w:rsidRPr="006620DF">
        <w:rPr>
          <w:rFonts w:eastAsia="Times New Roman" w:cs="Times New Roman"/>
          <w:szCs w:val="24"/>
          <w:lang w:eastAsia="es-CL"/>
        </w:rPr>
        <w:fldChar w:fldCharType="end"/>
      </w:r>
      <w:r w:rsidR="00323345" w:rsidRPr="006620DF">
        <w:rPr>
          <w:rFonts w:eastAsia="Times New Roman" w:cs="Times New Roman"/>
          <w:szCs w:val="24"/>
          <w:lang w:eastAsia="es-CL"/>
        </w:rPr>
        <w:t>.</w:t>
      </w:r>
    </w:p>
    <w:p w14:paraId="5624C3FA" w14:textId="77777777" w:rsidR="003452D9" w:rsidRDefault="003452D9" w:rsidP="008871E4">
      <w:pPr>
        <w:spacing w:after="0" w:line="240" w:lineRule="auto"/>
        <w:textAlignment w:val="baseline"/>
        <w:rPr>
          <w:rFonts w:eastAsia="Times New Roman" w:cs="Times New Roman"/>
          <w:szCs w:val="24"/>
          <w:lang w:eastAsia="es-CL"/>
        </w:rPr>
      </w:pPr>
    </w:p>
    <w:p w14:paraId="2967900F" w14:textId="371FB30D" w:rsidR="008445A3" w:rsidRPr="006620DF" w:rsidRDefault="008445A3" w:rsidP="008871E4">
      <w:pPr>
        <w:spacing w:after="0" w:line="240" w:lineRule="auto"/>
        <w:textAlignment w:val="baseline"/>
        <w:rPr>
          <w:rFonts w:eastAsia="Times New Roman" w:cs="Times New Roman"/>
          <w:szCs w:val="24"/>
          <w:lang w:eastAsia="es-CL"/>
        </w:rPr>
      </w:pPr>
      <w:r w:rsidRPr="00A95911">
        <w:rPr>
          <w:rFonts w:cs="Times New Roman"/>
          <w:szCs w:val="24"/>
        </w:rPr>
        <w:t xml:space="preserve">Hasta el momento y en parte debido a </w:t>
      </w:r>
      <w:r>
        <w:rPr>
          <w:rFonts w:cs="Times New Roman"/>
          <w:szCs w:val="24"/>
        </w:rPr>
        <w:t>lo reciente del reglamento estudiado</w:t>
      </w:r>
      <w:r w:rsidRPr="00A95911">
        <w:rPr>
          <w:rFonts w:cs="Times New Roman"/>
          <w:szCs w:val="24"/>
        </w:rPr>
        <w:t xml:space="preserve">, los significados y conceptos subyacentes a esta </w:t>
      </w:r>
      <w:commentRangeStart w:id="6"/>
      <w:r w:rsidRPr="00A95911">
        <w:rPr>
          <w:rFonts w:cs="Times New Roman"/>
          <w:szCs w:val="24"/>
        </w:rPr>
        <w:t>política</w:t>
      </w:r>
      <w:commentRangeEnd w:id="6"/>
      <w:r>
        <w:rPr>
          <w:rStyle w:val="Refdecomentario"/>
        </w:rPr>
        <w:commentReference w:id="6"/>
      </w:r>
      <w:r w:rsidRPr="00A95911">
        <w:rPr>
          <w:rFonts w:cs="Times New Roman"/>
          <w:szCs w:val="24"/>
        </w:rPr>
        <w:t xml:space="preserve"> sólo han sido </w:t>
      </w:r>
      <w:r>
        <w:rPr>
          <w:rFonts w:cs="Times New Roman"/>
          <w:szCs w:val="24"/>
        </w:rPr>
        <w:t>reportados o descritos</w:t>
      </w:r>
      <w:r w:rsidRPr="00A95911">
        <w:rPr>
          <w:rFonts w:cs="Times New Roman"/>
          <w:szCs w:val="24"/>
        </w:rPr>
        <w:t>. En el presente estudio, se utilizarán las teorías hasta aquí planteadas como herramientas heurístic</w:t>
      </w:r>
      <w:r>
        <w:rPr>
          <w:rFonts w:cs="Times New Roman"/>
          <w:szCs w:val="24"/>
        </w:rPr>
        <w:t>as</w:t>
      </w:r>
      <w:r w:rsidRPr="00A95911">
        <w:rPr>
          <w:rFonts w:cs="Times New Roman"/>
          <w:szCs w:val="24"/>
        </w:rPr>
        <w:t xml:space="preserve"> para entender la forma en que se encuentra enmarcada esta política. Su utilidad radica en que dichas aproximaciones permitirán entender mejor la complejidad del proceso de esta política de drogas </w:t>
      </w:r>
      <w:r w:rsidRPr="00A95911">
        <w:rPr>
          <w:rFonts w:cs="Times New Roman"/>
          <w:szCs w:val="24"/>
        </w:rPr>
        <w:fldChar w:fldCharType="begin" w:fldLock="1"/>
      </w:r>
      <w:r w:rsidR="00D82AC3">
        <w:rPr>
          <w:rFonts w:cs="Times New Roman"/>
          <w:szCs w:val="24"/>
        </w:rPr>
        <w:instrText>ADDIN CSL_CITATION {"citationItems":[{"id":"ITEM-1","itemData":{"DOI":"10.1080/01442872.2013.875144","author":[{"dropping-particle":"","family":"Lancaster","given":"Kari","non-dropping-particle":"","parse-names":false,"suffix":""},{"dropping-particle":"","family":"Ritter","given":"Alison","non-dropping-particle":"","parse-names":false,"suffix":""},{"dropping-particle":"","family":"Colebatch","given":"Hal","non-dropping-particle":"","parse-names":false,"suffix":""}],"container-title":"Policy Studies","id":"ITEM-1","issue":"2","issued":{"date-parts":[["2014"]]},"page":"147-171","publisher":"Routledge","title":"Problems, policy and politics: making sense of Australia's ‘ice epidemic’","type":"article-journal","volume":"35"},"uris":["http://www.mendeley.com/documents/?uuid=6f765e43-a8aa-4334-a1be-9ef414479b19"]}],"mendeley":{"formattedCitation":"(Lancaster, Ritter, y Colebatch 2014)","plainTextFormattedCitation":"(Lancaster, Ritter, y Colebatch 2014)","previouslyFormattedCitation":"(Lancaster, Ritter, y Colebatch 2014)"},"properties":{"noteIndex":0},"schema":"https://github.com/citation-style-language/schema/raw/master/csl-citation.json"}</w:instrText>
      </w:r>
      <w:r w:rsidRPr="00A95911">
        <w:rPr>
          <w:rFonts w:cs="Times New Roman"/>
          <w:szCs w:val="24"/>
        </w:rPr>
        <w:fldChar w:fldCharType="separate"/>
      </w:r>
      <w:r w:rsidR="00727E52" w:rsidRPr="00727E52">
        <w:rPr>
          <w:rFonts w:cs="Times New Roman"/>
          <w:noProof/>
          <w:szCs w:val="24"/>
        </w:rPr>
        <w:t>(Lancaster, Ritter, y Colebatch 2014)</w:t>
      </w:r>
      <w:r w:rsidRPr="00A95911">
        <w:rPr>
          <w:rFonts w:cs="Times New Roman"/>
          <w:szCs w:val="24"/>
        </w:rPr>
        <w:fldChar w:fldCharType="end"/>
      </w:r>
      <w:r w:rsidRPr="00A95911">
        <w:rPr>
          <w:rFonts w:cs="Times New Roman"/>
          <w:szCs w:val="24"/>
        </w:rPr>
        <w:t>.</w:t>
      </w:r>
    </w:p>
    <w:p w14:paraId="52A7349A" w14:textId="16214B7B" w:rsidR="004A2158" w:rsidRDefault="004A2158" w:rsidP="006D2DBE">
      <w:pPr>
        <w:spacing w:after="0" w:line="240" w:lineRule="auto"/>
        <w:rPr>
          <w:rFonts w:eastAsia="Times New Roman" w:cs="Times New Roman"/>
          <w:szCs w:val="24"/>
          <w:lang w:eastAsia="es-CL"/>
        </w:rPr>
      </w:pPr>
    </w:p>
    <w:p w14:paraId="78DE7777" w14:textId="58BDBE8F" w:rsidR="002B5E2C" w:rsidRDefault="002B5E2C" w:rsidP="002B5E2C">
      <w:pPr>
        <w:pStyle w:val="Ttulo2"/>
      </w:pPr>
      <w:r>
        <w:t>Marco</w:t>
      </w:r>
      <w:r w:rsidR="00510D9F">
        <w:t>s</w:t>
      </w:r>
      <w:r>
        <w:t xml:space="preserve"> heurístico</w:t>
      </w:r>
      <w:r w:rsidR="00510D9F">
        <w:t>s</w:t>
      </w:r>
    </w:p>
    <w:p w14:paraId="099A1B00" w14:textId="77777777" w:rsidR="002B5E2C" w:rsidRDefault="002B5E2C" w:rsidP="002B5E2C">
      <w:pPr>
        <w:spacing w:line="240" w:lineRule="auto"/>
        <w:rPr>
          <w:rFonts w:cs="Times New Roman"/>
          <w:szCs w:val="24"/>
        </w:rPr>
      </w:pPr>
      <w:r>
        <w:rPr>
          <w:rFonts w:cs="Times New Roman"/>
          <w:szCs w:val="24"/>
        </w:rPr>
        <w:t>Debido a que el principal foco de los medios de comunicación en Chile se ha puesto sobre las imágenes a la base (</w:t>
      </w:r>
      <w:proofErr w:type="spellStart"/>
      <w:r w:rsidRPr="00B7413E">
        <w:rPr>
          <w:rFonts w:cs="Times New Roman"/>
          <w:i/>
          <w:iCs/>
          <w:szCs w:val="24"/>
        </w:rPr>
        <w:t>frames</w:t>
      </w:r>
      <w:proofErr w:type="spellEnd"/>
      <w:r>
        <w:rPr>
          <w:rFonts w:cs="Times New Roman"/>
          <w:szCs w:val="24"/>
        </w:rPr>
        <w:t xml:space="preserve">) del consumo en parlamentarios, las drogas han sido percibidas por la opinión pública desde distintos ángulos. Palm identifica cinco modelos </w:t>
      </w:r>
      <w:r>
        <w:rPr>
          <w:rFonts w:cs="Times New Roman"/>
          <w:szCs w:val="24"/>
        </w:rPr>
        <w:lastRenderedPageBreak/>
        <w:t>principales: el moral, el médico o de enfermedad, el racionalista, el de salud pública y el social. El cuadro a continuación resume las distintas aproximaciones:</w:t>
      </w:r>
    </w:p>
    <w:p w14:paraId="780A91C2" w14:textId="796B8E65" w:rsidR="002B5E2C" w:rsidRPr="003337E7" w:rsidRDefault="002B5E2C" w:rsidP="002B5E2C">
      <w:pPr>
        <w:spacing w:line="240" w:lineRule="auto"/>
        <w:ind w:firstLine="708"/>
        <w:rPr>
          <w:rFonts w:cs="Times New Roman"/>
          <w:b/>
          <w:bCs/>
          <w:szCs w:val="24"/>
        </w:rPr>
      </w:pPr>
      <w:r w:rsidRPr="003337E7">
        <w:rPr>
          <w:rFonts w:cs="Times New Roman"/>
          <w:b/>
          <w:bCs/>
          <w:szCs w:val="24"/>
        </w:rPr>
        <w:t xml:space="preserve">Cuadro 1. Modelos de percepción sobre el consumo de </w:t>
      </w:r>
      <w:r w:rsidR="00D55CA1">
        <w:rPr>
          <w:rFonts w:cs="Times New Roman"/>
          <w:b/>
          <w:bCs/>
          <w:szCs w:val="24"/>
        </w:rPr>
        <w:t>sustancias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2B5E2C" w:rsidRPr="00313D75" w14:paraId="738B7281" w14:textId="77777777" w:rsidTr="003769A7">
        <w:tc>
          <w:tcPr>
            <w:tcW w:w="8828" w:type="dxa"/>
            <w:tcBorders>
              <w:top w:val="single" w:sz="4" w:space="0" w:color="auto"/>
            </w:tcBorders>
          </w:tcPr>
          <w:p w14:paraId="4886B99C" w14:textId="6C341602" w:rsidR="002B5E2C" w:rsidRPr="00313D75" w:rsidRDefault="002B5E2C" w:rsidP="003769A7">
            <w:pPr>
              <w:rPr>
                <w:rFonts w:cs="Times New Roman"/>
                <w:sz w:val="20"/>
                <w:szCs w:val="20"/>
              </w:rPr>
            </w:pPr>
            <w:r w:rsidRPr="00313D75">
              <w:rPr>
                <w:rFonts w:cs="Times New Roman"/>
                <w:b/>
                <w:bCs/>
                <w:sz w:val="20"/>
                <w:szCs w:val="20"/>
              </w:rPr>
              <w:t>Modelo moral</w:t>
            </w:r>
            <w:r w:rsidRPr="00313D75">
              <w:rPr>
                <w:rFonts w:cs="Times New Roman"/>
                <w:sz w:val="20"/>
                <w:szCs w:val="20"/>
              </w:rPr>
              <w:t xml:space="preserve">: El consumo de </w:t>
            </w:r>
            <w:r w:rsidR="00D55CA1">
              <w:rPr>
                <w:rFonts w:cs="Times New Roman"/>
                <w:sz w:val="20"/>
                <w:szCs w:val="20"/>
              </w:rPr>
              <w:t>sustancias</w:t>
            </w:r>
            <w:r w:rsidRPr="00313D75">
              <w:rPr>
                <w:rFonts w:cs="Times New Roman"/>
                <w:sz w:val="20"/>
                <w:szCs w:val="20"/>
              </w:rPr>
              <w:t xml:space="preserve"> es un signo de debilidad y falta de carácter, mientras que la abstinencia se considera un signo de virtud. La dependencia es vista por la sociedad como un delito y por lo que debe ser tratada</w:t>
            </w:r>
          </w:p>
        </w:tc>
      </w:tr>
      <w:tr w:rsidR="002B5E2C" w:rsidRPr="00313D75" w14:paraId="7C605D81" w14:textId="77777777" w:rsidTr="003769A7">
        <w:tc>
          <w:tcPr>
            <w:tcW w:w="8828" w:type="dxa"/>
          </w:tcPr>
          <w:p w14:paraId="47B4C117" w14:textId="77777777" w:rsidR="002B5E2C" w:rsidRPr="00313D75" w:rsidRDefault="002B5E2C" w:rsidP="003769A7">
            <w:pPr>
              <w:rPr>
                <w:rFonts w:cs="Times New Roman"/>
                <w:sz w:val="20"/>
                <w:szCs w:val="20"/>
              </w:rPr>
            </w:pPr>
            <w:r w:rsidRPr="00313D75">
              <w:rPr>
                <w:rFonts w:cs="Times New Roman"/>
                <w:b/>
                <w:bCs/>
                <w:sz w:val="20"/>
                <w:szCs w:val="20"/>
              </w:rPr>
              <w:t>Modelo médico o de enfermedad</w:t>
            </w:r>
            <w:r w:rsidRPr="00313D75">
              <w:rPr>
                <w:rFonts w:cs="Times New Roman"/>
                <w:sz w:val="20"/>
                <w:szCs w:val="20"/>
              </w:rPr>
              <w:t>: Todavía queda un remanente de moralización respecto al consumo, pero la dependencia ya no se considera una cuestión moral, sino una enfermedad. La adicción se percibe como un problema del individuo y no de la droga en sí misma</w:t>
            </w:r>
          </w:p>
        </w:tc>
      </w:tr>
      <w:tr w:rsidR="002B5E2C" w:rsidRPr="00313D75" w14:paraId="6E968856" w14:textId="77777777" w:rsidTr="003769A7">
        <w:tc>
          <w:tcPr>
            <w:tcW w:w="8828" w:type="dxa"/>
          </w:tcPr>
          <w:p w14:paraId="17F00903" w14:textId="77777777" w:rsidR="002B5E2C" w:rsidRPr="00313D75" w:rsidRDefault="002B5E2C" w:rsidP="003769A7">
            <w:pPr>
              <w:rPr>
                <w:rFonts w:cs="Times New Roman"/>
                <w:sz w:val="20"/>
                <w:szCs w:val="20"/>
              </w:rPr>
            </w:pPr>
            <w:r w:rsidRPr="00313D75">
              <w:rPr>
                <w:rFonts w:cs="Times New Roman"/>
                <w:b/>
                <w:bCs/>
                <w:sz w:val="20"/>
                <w:szCs w:val="20"/>
              </w:rPr>
              <w:t>Modelo racionalista</w:t>
            </w:r>
            <w:r w:rsidRPr="00313D75">
              <w:rPr>
                <w:rFonts w:cs="Times New Roman"/>
                <w:sz w:val="20"/>
                <w:szCs w:val="20"/>
              </w:rPr>
              <w:t xml:space="preserve">: Influenciado por el capitalismo, con la idea normativa de que la dependencia es el resultado de un fallo en el autocontrol. </w:t>
            </w:r>
          </w:p>
        </w:tc>
      </w:tr>
      <w:tr w:rsidR="002B5E2C" w:rsidRPr="00313D75" w14:paraId="3726E4E3" w14:textId="77777777" w:rsidTr="003769A7">
        <w:tc>
          <w:tcPr>
            <w:tcW w:w="8828" w:type="dxa"/>
          </w:tcPr>
          <w:p w14:paraId="1FF939B0" w14:textId="77777777" w:rsidR="002B5E2C" w:rsidRPr="00313D75" w:rsidRDefault="002B5E2C" w:rsidP="003769A7">
            <w:pPr>
              <w:rPr>
                <w:rFonts w:cs="Times New Roman"/>
                <w:sz w:val="20"/>
                <w:szCs w:val="20"/>
              </w:rPr>
            </w:pPr>
            <w:r w:rsidRPr="00313D75">
              <w:rPr>
                <w:rFonts w:cs="Times New Roman"/>
                <w:b/>
                <w:bCs/>
                <w:sz w:val="20"/>
                <w:szCs w:val="20"/>
              </w:rPr>
              <w:t>Modelo de salud pública</w:t>
            </w:r>
            <w:r w:rsidRPr="00313D75">
              <w:rPr>
                <w:rFonts w:cs="Times New Roman"/>
                <w:sz w:val="20"/>
                <w:szCs w:val="20"/>
              </w:rPr>
              <w:t>: El foco no es el usuario individualmente, sino el entorno y todos los usuarios y los problemas asociados al consumo. Las acciones se consideran colectivamente, en función de los diferentes patrones de uso y de las políticas sanitarias generales. La principal preocupación es reducir el consumo y las consecuencias globales</w:t>
            </w:r>
          </w:p>
        </w:tc>
      </w:tr>
      <w:tr w:rsidR="002B5E2C" w:rsidRPr="00313D75" w14:paraId="0ED9588E" w14:textId="77777777" w:rsidTr="003769A7">
        <w:tc>
          <w:tcPr>
            <w:tcW w:w="8828" w:type="dxa"/>
            <w:tcBorders>
              <w:bottom w:val="single" w:sz="4" w:space="0" w:color="auto"/>
            </w:tcBorders>
          </w:tcPr>
          <w:p w14:paraId="6A27AB09" w14:textId="77777777" w:rsidR="002B5E2C" w:rsidRPr="00313D75" w:rsidRDefault="002B5E2C" w:rsidP="003769A7">
            <w:pPr>
              <w:rPr>
                <w:rFonts w:cs="Times New Roman"/>
                <w:sz w:val="20"/>
                <w:szCs w:val="20"/>
              </w:rPr>
            </w:pPr>
            <w:r w:rsidRPr="00313D75">
              <w:rPr>
                <w:rFonts w:cs="Times New Roman"/>
                <w:b/>
                <w:bCs/>
                <w:sz w:val="20"/>
                <w:szCs w:val="20"/>
              </w:rPr>
              <w:t>Modelo social</w:t>
            </w:r>
            <w:r w:rsidRPr="00313D75">
              <w:rPr>
                <w:rFonts w:cs="Times New Roman"/>
                <w:sz w:val="20"/>
                <w:szCs w:val="20"/>
              </w:rPr>
              <w:t>: La dependencia se visualiza como una consecuencia de la miseria y la injusticia social, y, por tanto, debe considerarse un problema de la sociedad</w:t>
            </w:r>
          </w:p>
        </w:tc>
      </w:tr>
    </w:tbl>
    <w:p w14:paraId="432702B9" w14:textId="77777777" w:rsidR="002B5E2C" w:rsidRPr="003D1161" w:rsidRDefault="002B5E2C" w:rsidP="002B5E2C">
      <w:pPr>
        <w:spacing w:line="240" w:lineRule="auto"/>
        <w:ind w:firstLine="708"/>
        <w:rPr>
          <w:rFonts w:cs="Times New Roman"/>
          <w:i/>
          <w:iCs/>
          <w:szCs w:val="24"/>
        </w:rPr>
      </w:pPr>
      <w:r w:rsidRPr="003D1161">
        <w:rPr>
          <w:rFonts w:cs="Times New Roman"/>
          <w:i/>
          <w:iCs/>
          <w:szCs w:val="24"/>
        </w:rPr>
        <w:t xml:space="preserve">Fuente: </w:t>
      </w:r>
      <w:r w:rsidRPr="003D1161">
        <w:rPr>
          <w:rFonts w:cs="Times New Roman"/>
          <w:i/>
          <w:iCs/>
          <w:szCs w:val="24"/>
        </w:rPr>
        <w:fldChar w:fldCharType="begin" w:fldLock="1"/>
      </w:r>
      <w:r w:rsidRPr="003D1161">
        <w:rPr>
          <w:rFonts w:cs="Times New Roman"/>
          <w:i/>
          <w:iCs/>
          <w:szCs w:val="24"/>
        </w:rPr>
        <w:instrText>ADDIN CSL_CITATION {"citationItems":[{"id":"ITEM-1","itemData":{"DOI":"10.1007/978-3-319-72446-1_1","ISBN":"978-3-319-72446-1","abstract":"This introductory chapter outlines the social bases related to drug use. First, the parallel between capitalist development and the commercial exploitation of drug use is discussed, demonstrating how, historically, such substances were an important source of capital and the reason for exploration of certain territories. Next, it is shown how moral codes have been created that bind certain groups to some substances, consequently legitimizing processes of punishment and oppression against those groups. Moreover, within the modern model of society based on consumption, the logic of the citizen-consumer is described, as well as the processes of separation between those who have access to this benefit and those that do not. This also creates a differentiation between drugs whose use is encouraged and drugs related to certain groups and, therefore, prohibited by the State. Finally, attention is drawn to the importance of understanding macrosocial factors and social determinants related to drug use.","author":[{"dropping-particle":"","family":"Ronzani","given":"Telmo Mota","non-dropping-particle":"","parse-names":false,"suffix":""}],"container-title":"Drugs and Social Context: Social Perspectives on the Use of Alcohol and Other Drugs","editor":[{"dropping-particle":"","family":"Ronzani","given":"Telmo Mota","non-dropping-particle":"","parse-names":false,"suffix":""}],"id":"ITEM-1","issued":{"date-parts":[["2018"]]},"page":"3-13","publisher":"Springer International Publishing","publisher-place":"Cham","title":"The Context of Drug Use in the Consumer Society","type":"chapter"},"prefix":"Palm 2006 en ","uris":["http://www.mendeley.com/documents/?uuid=19409294-dbbf-46a5-bf3c-1b88130c1eb0"]}],"mendeley":{"formattedCitation":"(Palm 2006 en Ronzani 2018)","plainTextFormattedCitation":"(Palm 2006 en Ronzani 2018)","previouslyFormattedCitation":"(Palm 2006 en Ronzani 2018)"},"properties":{"noteIndex":0},"schema":"https://github.com/citation-style-language/schema/raw/master/csl-citation.json"}</w:instrText>
      </w:r>
      <w:r w:rsidRPr="003D1161">
        <w:rPr>
          <w:rFonts w:cs="Times New Roman"/>
          <w:i/>
          <w:iCs/>
          <w:szCs w:val="24"/>
        </w:rPr>
        <w:fldChar w:fldCharType="separate"/>
      </w:r>
      <w:r w:rsidRPr="003D1161">
        <w:rPr>
          <w:rFonts w:cs="Times New Roman"/>
          <w:i/>
          <w:iCs/>
          <w:noProof/>
          <w:szCs w:val="24"/>
        </w:rPr>
        <w:t>(Palm 2006 en Ronzani 2018)</w:t>
      </w:r>
      <w:r w:rsidRPr="003D1161">
        <w:rPr>
          <w:rFonts w:cs="Times New Roman"/>
          <w:i/>
          <w:iCs/>
          <w:szCs w:val="24"/>
        </w:rPr>
        <w:fldChar w:fldCharType="end"/>
      </w:r>
      <w:r w:rsidRPr="003D1161">
        <w:rPr>
          <w:rFonts w:cs="Times New Roman"/>
          <w:i/>
          <w:iCs/>
          <w:szCs w:val="24"/>
        </w:rPr>
        <w:t>, la traducción es nuestra.</w:t>
      </w:r>
    </w:p>
    <w:p w14:paraId="4AA04374" w14:textId="77777777" w:rsidR="002B5E2C" w:rsidRDefault="002B5E2C" w:rsidP="002B5E2C">
      <w:pPr>
        <w:spacing w:line="240" w:lineRule="auto"/>
        <w:rPr>
          <w:rFonts w:cs="Times New Roman"/>
          <w:szCs w:val="24"/>
        </w:rPr>
      </w:pPr>
      <w:r w:rsidRPr="00CF2E51">
        <w:rPr>
          <w:rFonts w:cs="Times New Roman"/>
          <w:szCs w:val="24"/>
        </w:rPr>
        <w:t xml:space="preserve">Si no tenemos una buena idea de cómo definir </w:t>
      </w:r>
      <w:r>
        <w:rPr>
          <w:rFonts w:cs="Times New Roman"/>
          <w:szCs w:val="24"/>
        </w:rPr>
        <w:t>los</w:t>
      </w:r>
      <w:r w:rsidRPr="00CF2E51">
        <w:rPr>
          <w:rFonts w:cs="Times New Roman"/>
          <w:szCs w:val="24"/>
        </w:rPr>
        <w:t xml:space="preserve"> fines</w:t>
      </w:r>
      <w:r>
        <w:rPr>
          <w:rFonts w:cs="Times New Roman"/>
          <w:szCs w:val="24"/>
        </w:rPr>
        <w:t xml:space="preserve"> de una política y sus</w:t>
      </w:r>
      <w:r w:rsidRPr="00CF2E51">
        <w:rPr>
          <w:rFonts w:cs="Times New Roman"/>
          <w:szCs w:val="24"/>
        </w:rPr>
        <w:t xml:space="preserve"> métricas, entonces será difícil decir si una política es efectiva. </w:t>
      </w:r>
      <w:r>
        <w:rPr>
          <w:rFonts w:cs="Times New Roman"/>
          <w:szCs w:val="24"/>
        </w:rPr>
        <w:t xml:space="preserve">En un contexto posmoderno en que las problemáticas son altamente complejas, </w:t>
      </w:r>
      <w:r w:rsidRPr="00CF2E51">
        <w:rPr>
          <w:rFonts w:cs="Times New Roman"/>
          <w:szCs w:val="24"/>
        </w:rPr>
        <w:t>sumado al hecho de que se construyen en base a la negociación</w:t>
      </w:r>
      <w:r>
        <w:rPr>
          <w:rFonts w:cs="Times New Roman"/>
          <w:szCs w:val="24"/>
        </w:rPr>
        <w:t xml:space="preserve"> entre distintos actores</w:t>
      </w:r>
      <w:r w:rsidRPr="00CF2E51">
        <w:rPr>
          <w:rFonts w:cs="Times New Roman"/>
          <w:szCs w:val="24"/>
        </w:rPr>
        <w:t xml:space="preserve">, no es casual que en el seno de su marco convivan definiciones contradictorias y hasta paradójicas </w:t>
      </w:r>
      <w:r w:rsidRPr="00CF2E51">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sidRPr="00CF2E51">
        <w:rPr>
          <w:rFonts w:cs="Times New Roman"/>
          <w:szCs w:val="24"/>
        </w:rPr>
        <w:fldChar w:fldCharType="separate"/>
      </w:r>
      <w:r w:rsidRPr="00511B4E">
        <w:rPr>
          <w:rFonts w:cs="Times New Roman"/>
          <w:noProof/>
          <w:szCs w:val="24"/>
        </w:rPr>
        <w:t>(Stone 2012)</w:t>
      </w:r>
      <w:r w:rsidRPr="00CF2E51">
        <w:rPr>
          <w:rFonts w:cs="Times New Roman"/>
          <w:szCs w:val="24"/>
        </w:rPr>
        <w:fldChar w:fldCharType="end"/>
      </w:r>
      <w:r w:rsidRPr="00CF2E51">
        <w:rPr>
          <w:rFonts w:cs="Times New Roman"/>
          <w:szCs w:val="24"/>
        </w:rPr>
        <w:t>.</w:t>
      </w:r>
      <w:r>
        <w:rPr>
          <w:rFonts w:cs="Times New Roman"/>
          <w:szCs w:val="24"/>
        </w:rPr>
        <w:t xml:space="preserve"> De ahí que:</w:t>
      </w:r>
    </w:p>
    <w:p w14:paraId="0148A797" w14:textId="7D6D6B11" w:rsidR="002B5E2C" w:rsidRDefault="002B5E2C" w:rsidP="002B5E2C">
      <w:pPr>
        <w:spacing w:line="240" w:lineRule="auto"/>
        <w:ind w:left="708"/>
        <w:rPr>
          <w:rFonts w:cs="Times New Roman"/>
          <w:szCs w:val="24"/>
        </w:rPr>
      </w:pPr>
      <w:r w:rsidRPr="00A511F2">
        <w:rPr>
          <w:rFonts w:cs="Times New Roman"/>
          <w:i/>
          <w:iCs/>
          <w:szCs w:val="24"/>
        </w:rPr>
        <w:t>Todo conflicto político da vueltas alrededor de ideas. El proceso de elaboración de políticas es, en cambio, una lucha constante sobre el criterio de clasificación, las fronteras de las categorías y la definición de ideales que guían la forma en que las personas se comportan</w:t>
      </w:r>
      <w:r w:rsidR="00070ED2">
        <w:rPr>
          <w:rFonts w:cs="Times New Roman"/>
          <w:i/>
          <w:iCs/>
          <w:szCs w:val="24"/>
        </w:rPr>
        <w:t xml:space="preserve">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Making","type":"book"},"locator":"13","uris":["http://www.mendeley.com/documents/?uuid=04c3a50a-7d8b-4521-b5a8-95c37b499918"]}],"mendeley":{"formattedCitation":"(Stone 2012, 13)","plainTextFormattedCitation":"(Stone 2012, 13)","previouslyFormattedCitation":"(Stone 2012, 13)"},"properties":{"noteIndex":0},"schema":"https://github.com/citation-style-language/schema/raw/master/csl-citation.json"}</w:instrText>
      </w:r>
      <w:r>
        <w:rPr>
          <w:rFonts w:cs="Times New Roman"/>
          <w:szCs w:val="24"/>
        </w:rPr>
        <w:fldChar w:fldCharType="separate"/>
      </w:r>
      <w:r w:rsidRPr="00511B4E">
        <w:rPr>
          <w:rFonts w:cs="Times New Roman"/>
          <w:noProof/>
          <w:szCs w:val="24"/>
        </w:rPr>
        <w:t>(Stone 2012, 13)</w:t>
      </w:r>
      <w:r>
        <w:rPr>
          <w:rFonts w:cs="Times New Roman"/>
          <w:szCs w:val="24"/>
        </w:rPr>
        <w:fldChar w:fldCharType="end"/>
      </w:r>
    </w:p>
    <w:p w14:paraId="5B51F54A" w14:textId="77777777" w:rsidR="002B5E2C" w:rsidRPr="00CF2E51" w:rsidRDefault="002B5E2C" w:rsidP="002B5E2C">
      <w:pPr>
        <w:spacing w:line="240" w:lineRule="auto"/>
        <w:rPr>
          <w:rFonts w:cs="Times New Roman"/>
          <w:szCs w:val="24"/>
        </w:rPr>
      </w:pPr>
      <w:r w:rsidRPr="00CF2E51">
        <w:rPr>
          <w:rFonts w:cs="Times New Roman"/>
          <w:szCs w:val="24"/>
        </w:rPr>
        <w:t>Esta concepción se aleja bastante de la manera de pensar las políticas basado en un pensamiento lineal racionalista</w:t>
      </w:r>
      <w:r>
        <w:rPr>
          <w:rFonts w:cs="Times New Roman"/>
          <w:szCs w:val="24"/>
        </w:rPr>
        <w:t xml:space="preserve"> (modelo racional analítico)</w:t>
      </w:r>
      <w:r w:rsidRPr="00CF2E51">
        <w:rPr>
          <w:rFonts w:cs="Times New Roman"/>
          <w:szCs w:val="24"/>
        </w:rPr>
        <w:t>, en que se identifican objetivos, distintas alternativas de acción, se predicen las consecuencias de cada alternativa, se evalúan las consecuencias, y se selecciona la que maximiza la alineación con los objetivos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10.1007/s11077-015-9214-0","ISSN":"1573-0891","author":[{"dropping-particle":"","family":"Ostaijen","given":"Mark","non-dropping-particle":"van","parse-names":false,"suffix":""},{"dropping-particle":"","family":"Jhagroe","given":"Shivant","non-dropping-particle":"","parse-names":false,"suffix":""}],"container-title":"Policy Sciences","id":"ITEM-1","issue":"1","issued":{"date-parts":[["2015"]]},"page":"127-133","title":"“Get those voices at the table!”: Interview with Deborah Stone","type":"article-journal","volume":"48"},"uris":["http://www.mendeley.com/documents/?uuid=2fa80e81-1cc1-4506-ba15-98f73d3319e4"]}],"mendeley":{"formattedCitation":"(van Ostaijen y Jhagroe 2015)","plainTextFormattedCitation":"(van Ostaijen y Jhagroe 2015)","previouslyFormattedCitation":"(van Ostaijen y Jhagroe 2015)"},"properties":{"noteIndex":0},"schema":"https://github.com/citation-style-language/schema/raw/master/csl-citation.json"}</w:instrText>
      </w:r>
      <w:r>
        <w:rPr>
          <w:rFonts w:cs="Times New Roman"/>
          <w:szCs w:val="24"/>
        </w:rPr>
        <w:fldChar w:fldCharType="separate"/>
      </w:r>
      <w:r w:rsidRPr="00727E52">
        <w:rPr>
          <w:rFonts w:cs="Times New Roman"/>
          <w:noProof/>
          <w:szCs w:val="24"/>
        </w:rPr>
        <w:t>(van Ostaijen y Jhagroe 2015)</w:t>
      </w:r>
      <w:r>
        <w:rPr>
          <w:rFonts w:cs="Times New Roman"/>
          <w:szCs w:val="24"/>
        </w:rPr>
        <w:fldChar w:fldCharType="end"/>
      </w:r>
      <w:r w:rsidRPr="00CF2E51">
        <w:rPr>
          <w:rFonts w:cs="Times New Roman"/>
          <w:szCs w:val="24"/>
        </w:rPr>
        <w:t xml:space="preserve">. </w:t>
      </w:r>
    </w:p>
    <w:p w14:paraId="723C02E1" w14:textId="7D286F26" w:rsidR="002B5E2C" w:rsidRDefault="002B5E2C" w:rsidP="002B5E2C">
      <w:pPr>
        <w:spacing w:line="240" w:lineRule="auto"/>
        <w:rPr>
          <w:rFonts w:cs="Times New Roman"/>
          <w:szCs w:val="24"/>
        </w:rPr>
      </w:pPr>
      <w:r>
        <w:rPr>
          <w:rFonts w:cs="Times New Roman"/>
          <w:szCs w:val="24"/>
        </w:rPr>
        <w:t xml:space="preserve">Debemos reconocer que la manera en que un problema es definido es parte del problema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 xml:space="preserve">. De tal manera que, para poder entender la finalidad de una política y lo que apunta a resolver, debemos remitirnos a sus orígenes conceptuales y fundamentos que dan soporte. Lo anterior implica entender el análisis de políticas como </w:t>
      </w:r>
      <w:r w:rsidRPr="00160036">
        <w:rPr>
          <w:rFonts w:cs="Times New Roman"/>
          <w:szCs w:val="24"/>
        </w:rPr>
        <w:t>narración para la acción colectiva</w:t>
      </w:r>
      <w:r>
        <w:rPr>
          <w:rFonts w:cs="Times New Roman"/>
          <w:szCs w:val="24"/>
        </w:rPr>
        <w:t xml:space="preserve"> a partir de </w:t>
      </w:r>
      <w:r w:rsidRPr="00511B4E">
        <w:rPr>
          <w:rFonts w:cs="Times New Roman"/>
          <w:szCs w:val="24"/>
        </w:rPr>
        <w:t>historias que se generan en base a símbolos o perceptos</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160036">
        <w:rPr>
          <w:rFonts w:cs="Times New Roman"/>
          <w:noProof/>
          <w:szCs w:val="24"/>
        </w:rPr>
        <w:t>(Birkland 2019)</w:t>
      </w:r>
      <w:r>
        <w:rPr>
          <w:rFonts w:cs="Times New Roman"/>
          <w:szCs w:val="24"/>
        </w:rPr>
        <w:fldChar w:fldCharType="end"/>
      </w:r>
      <w:r>
        <w:rPr>
          <w:rFonts w:cs="Times New Roman"/>
          <w:szCs w:val="24"/>
        </w:rPr>
        <w:t xml:space="preserve">. El proceso de definir un problema implica la conformación de imagen, en el que dichas imágenes atribuyen una causa, actores culpables y responsabilidades. Las condiciones o problemas no tienen propiedades inherentes que las hacen más susceptibles de ser problemas o no, si no que los actores deben formularlas de tal manera de </w:t>
      </w:r>
      <w:r w:rsidR="00510D9F">
        <w:rPr>
          <w:rFonts w:cs="Times New Roman"/>
          <w:szCs w:val="24"/>
        </w:rPr>
        <w:t xml:space="preserve">sacar provecho de ellas en función de sus compromisos electorales y objetivos políticos </w:t>
      </w:r>
      <w:r>
        <w:rPr>
          <w:rFonts w:cs="Times New Roman"/>
          <w:szCs w:val="24"/>
        </w:rPr>
        <w:fldChar w:fldCharType="begin" w:fldLock="1"/>
      </w:r>
      <w:r>
        <w:rPr>
          <w:rFonts w:cs="Times New Roman"/>
          <w:szCs w:val="24"/>
        </w:rPr>
        <w:instrText>ADDIN CSL_CITATION {"citationItems":[{"id":"ITEM-1","itemData":{"DOI":"10.2307/2151585","ISSN":"00323195","author":[{"dropping-particle":"","family":"Stone","given":"Deborah","non-dropping-particle":"","parse-names":false,"suffix":""}],"container-title":"Political Science Quarterly","id":"ITEM-1","issue":"2","issued":{"date-parts":[["1989","12","7"]]},"page":"281-300","publisher":"[Academy of Political Science, Wiley]","title":"Causal Stories and the Formation of Policy Agendas","type":"article-journal","volume":"104"},"uris":["http://www.mendeley.com/documents/?uuid=20478d1d-d359-4dc5-b8bb-4e13349804db"]}],"mendeley":{"formattedCitation":"(Stone 1989)","plainTextFormattedCitation":"(Stone 1989)","previouslyFormattedCitation":"(Stone 1989)"},"properties":{"noteIndex":0},"schema":"https://github.com/citation-style-language/schema/raw/master/csl-citation.json"}</w:instrText>
      </w:r>
      <w:r>
        <w:rPr>
          <w:rFonts w:cs="Times New Roman"/>
          <w:szCs w:val="24"/>
        </w:rPr>
        <w:fldChar w:fldCharType="separate"/>
      </w:r>
      <w:r w:rsidRPr="00511B4E">
        <w:rPr>
          <w:rFonts w:cs="Times New Roman"/>
          <w:noProof/>
          <w:szCs w:val="24"/>
        </w:rPr>
        <w:t>(Stone 1989)</w:t>
      </w:r>
      <w:r>
        <w:rPr>
          <w:rFonts w:cs="Times New Roman"/>
          <w:szCs w:val="24"/>
        </w:rPr>
        <w:fldChar w:fldCharType="end"/>
      </w:r>
      <w:r>
        <w:rPr>
          <w:rFonts w:cs="Times New Roman"/>
          <w:szCs w:val="24"/>
        </w:rPr>
        <w:t xml:space="preserve">. Cualquier aproximación que no apunte a incluir aquellos procesos más profundos mediante “los especialistas en símbolos” (políticos) generan y modelan las condiciones </w:t>
      </w:r>
      <w:r>
        <w:rPr>
          <w:rFonts w:cs="Times New Roman"/>
          <w:szCs w:val="24"/>
        </w:rPr>
        <w:lastRenderedPageBreak/>
        <w:t xml:space="preserve">para formular políticas son insuficientes para entender el proceso que les da origen </w:t>
      </w:r>
      <w:r>
        <w:rPr>
          <w:rFonts w:cs="Times New Roman"/>
          <w:szCs w:val="24"/>
        </w:rPr>
        <w:fldChar w:fldCharType="begin" w:fldLock="1"/>
      </w:r>
      <w:r>
        <w:rPr>
          <w:rFonts w:cs="Times New Roman"/>
          <w:szCs w:val="24"/>
        </w:rPr>
        <w:instrText>ADDIN CSL_CITATION {"citationItems":[{"id":"ITEM-1","itemData":{"author":[{"dropping-particle":"","family":"Parsons","given":"Wayne","non-dropping-particle":"","parse-names":false,"suffix":""}],"chapter-number":"Chapter 2","container-title":"Políticas públicas: una introducción a la teoría y práctica del análisis de políticas públicas","editor":[{"dropping-particle":"","family":"Miño","given":"A.","non-dropping-particle":"","parse-names":false,"suffix":""},{"dropping-particle":"","family":"Dávila","given":"A.","non-dropping-particle":"","parse-names":false,"suffix":""}],"id":"ITEM-1","issued":{"date-parts":[["2007"]]},"publisher":"FLACSO México DF","publisher-place":"Buenos Aires, Argentina","title":"MESO-ANÁLISIS Análisis de la definición del problema, el establecimiento de la agenda y la formulación de las políticas públicas","type":"chapter"},"uris":["http://www.mendeley.com/documents/?uuid=51f70fcf-9fb6-4bd3-83b7-3719bd52a5f6"]}],"mendeley":{"formattedCitation":"(Parsons 2007)","plainTextFormattedCitation":"(Parsons 2007)","previouslyFormattedCitation":"(Parsons 2007)"},"properties":{"noteIndex":0},"schema":"https://github.com/citation-style-language/schema/raw/master/csl-citation.json"}</w:instrText>
      </w:r>
      <w:r>
        <w:rPr>
          <w:rFonts w:cs="Times New Roman"/>
          <w:szCs w:val="24"/>
        </w:rPr>
        <w:fldChar w:fldCharType="separate"/>
      </w:r>
      <w:r w:rsidRPr="006D24D7">
        <w:rPr>
          <w:rFonts w:cs="Times New Roman"/>
          <w:noProof/>
          <w:szCs w:val="24"/>
        </w:rPr>
        <w:t>(Parsons 2007)</w:t>
      </w:r>
      <w:r>
        <w:rPr>
          <w:rFonts w:cs="Times New Roman"/>
          <w:szCs w:val="24"/>
        </w:rPr>
        <w:fldChar w:fldCharType="end"/>
      </w:r>
      <w:r>
        <w:rPr>
          <w:rFonts w:cs="Times New Roman"/>
          <w:szCs w:val="24"/>
        </w:rPr>
        <w:t>.</w:t>
      </w:r>
    </w:p>
    <w:p w14:paraId="034765BB" w14:textId="77777777" w:rsidR="002B5E2C" w:rsidRDefault="002B5E2C" w:rsidP="002B5E2C">
      <w:pPr>
        <w:spacing w:line="240" w:lineRule="auto"/>
        <w:rPr>
          <w:rFonts w:cs="Times New Roman"/>
          <w:szCs w:val="24"/>
        </w:rPr>
      </w:pPr>
      <w:commentRangeStart w:id="7"/>
      <w:r>
        <w:rPr>
          <w:rFonts w:cs="Times New Roman"/>
          <w:szCs w:val="24"/>
        </w:rPr>
        <w:t>Algunas</w:t>
      </w:r>
      <w:commentRangeEnd w:id="7"/>
      <w:r>
        <w:rPr>
          <w:rStyle w:val="Refdecomentario"/>
        </w:rPr>
        <w:commentReference w:id="7"/>
      </w:r>
      <w:r>
        <w:rPr>
          <w:rFonts w:cs="Times New Roman"/>
          <w:szCs w:val="24"/>
        </w:rPr>
        <w:t xml:space="preserve"> de las estrategias para influir en su audiencia sobre la naturaleza y factibilidad de soluciones incluyen las anécdotas, ejemplos-tipo, historias de horror, teorías de la conspiración, símbolos, personajes (héroes o villanos), arcos narrativos (ej., batallas), figuras literarias como la sinécdoque (la parte por el todo/todo por la parte) o la metáfora (analogía </w:t>
      </w:r>
      <w:r w:rsidRPr="00F86A7C">
        <w:rPr>
          <w:rFonts w:cs="Times New Roman"/>
          <w:szCs w:val="24"/>
        </w:rPr>
        <w:t>traslada el significado de un concepto figurado a otro real</w:t>
      </w:r>
      <w:r>
        <w:rPr>
          <w:rFonts w:cs="Times New Roman"/>
          <w:szCs w:val="24"/>
        </w:rPr>
        <w:t xml:space="preserve">), la ambigüedad, el uso de números de manera deliberada, asignar causalidad, estrategias causales (ej., culpar a la naturaleza) </w:t>
      </w:r>
      <w:r>
        <w:rPr>
          <w:rFonts w:cs="Times New Roman"/>
          <w:szCs w:val="24"/>
        </w:rPr>
        <w:fldChar w:fldCharType="begin" w:fldLock="1"/>
      </w:r>
      <w:r>
        <w:rPr>
          <w:rFonts w:cs="Times New Roman"/>
          <w:szCs w:val="24"/>
        </w:rPr>
        <w:instrText>ADDIN CSL_CITATION {"citationItems":[{"id":"ITEM-1","itemData":{"DOI":"10.4324/9781315292335","author":[{"dropping-particle":"","family":"Birkland","given":"Thomas A","non-dropping-particle":"","parse-names":false,"suffix":""}],"chapter-number":"Chapter 6","container-title":"An Introduction to the Policy Process","id":"ITEM-1","issued":{"date-parts":[["2019"]]},"publisher":"Routledge","title":"Conditions and Problems","type":"chapter"},"uris":["http://www.mendeley.com/documents/?uuid=4fee565a-b32c-4f65-a630-bdd6d9e24037"]}],"mendeley":{"formattedCitation":"(Birkland 2019)","plainTextFormattedCitation":"(Birkland 2019)","previouslyFormattedCitation":"(Birkland 2019)"},"properties":{"noteIndex":0},"schema":"https://github.com/citation-style-language/schema/raw/master/csl-citation.json"}</w:instrText>
      </w:r>
      <w:r>
        <w:rPr>
          <w:rFonts w:cs="Times New Roman"/>
          <w:szCs w:val="24"/>
        </w:rPr>
        <w:fldChar w:fldCharType="separate"/>
      </w:r>
      <w:r w:rsidRPr="00F86A7C">
        <w:rPr>
          <w:rFonts w:cs="Times New Roman"/>
          <w:noProof/>
          <w:szCs w:val="24"/>
        </w:rPr>
        <w:t>(Birkland 2019)</w:t>
      </w:r>
      <w:r>
        <w:rPr>
          <w:rFonts w:cs="Times New Roman"/>
          <w:szCs w:val="24"/>
        </w:rPr>
        <w:fldChar w:fldCharType="end"/>
      </w:r>
      <w:r>
        <w:rPr>
          <w:rFonts w:cs="Times New Roman"/>
          <w:szCs w:val="24"/>
        </w:rPr>
        <w:t>.</w:t>
      </w:r>
    </w:p>
    <w:p w14:paraId="6516714D" w14:textId="29736E8C" w:rsidR="002B5E2C" w:rsidRPr="0039706F" w:rsidRDefault="002B5E2C" w:rsidP="002B5E2C">
      <w:pPr>
        <w:spacing w:line="240" w:lineRule="auto"/>
        <w:rPr>
          <w:rFonts w:cs="Times New Roman"/>
          <w:szCs w:val="24"/>
        </w:rPr>
      </w:pPr>
      <w:r w:rsidRPr="0039706F">
        <w:rPr>
          <w:rFonts w:cs="Times New Roman"/>
          <w:szCs w:val="24"/>
        </w:rPr>
        <w:t xml:space="preserve">Otro elemento de especial relevancia al momento de identificar el marco en el que se constituyen las políticas es el proporcionado por Schneider e Ingram </w:t>
      </w:r>
      <w:r w:rsidRPr="0039706F">
        <w:rPr>
          <w:rFonts w:cs="Times New Roman"/>
          <w:szCs w:val="24"/>
        </w:rPr>
        <w:fldChar w:fldCharType="begin" w:fldLock="1"/>
      </w:r>
      <w:r>
        <w:rPr>
          <w:rFonts w:cs="Times New Roman"/>
          <w:szCs w:val="24"/>
        </w:rPr>
        <w:instrText>ADDIN CSL_CITATION {"citationItems":[{"id":"ITEM-1","itemData":{"DOI":"10.2307/2939044","author":[{"dropping-particle":"","family":"Schneider","given":"Anne","non-dropping-particle":"","parse-names":false,"suffix":""},{"dropping-particle":"","family":"Ingram","given":"Helen","non-dropping-particle":"","parse-names":false,"suffix":""}],"container-title":"American Political Science Review","id":"ITEM-1","issue":"2","issued":{"date-parts":[["1993"]]},"page":"334-347","publisher":"Cambridge University Press ({CUP})","title":"Social Construction of Target Populations: Implications for Politics and Policy","type":"article-journal","volume":"87"},"suppress-author":1,"uris":["http://www.mendeley.com/documents/?uuid=182246a4-8316-4796-9889-e4ccf511f787"]}],"mendeley":{"formattedCitation":"(1993)","plainTextFormattedCitation":"(1993)","previouslyFormattedCitation":"(1993)"},"properties":{"noteIndex":0},"schema":"https://github.com/citation-style-language/schema/raw/master/csl-citation.json"}</w:instrText>
      </w:r>
      <w:r w:rsidRPr="0039706F">
        <w:rPr>
          <w:rFonts w:cs="Times New Roman"/>
          <w:szCs w:val="24"/>
        </w:rPr>
        <w:fldChar w:fldCharType="separate"/>
      </w:r>
      <w:r w:rsidRPr="0039706F">
        <w:rPr>
          <w:rFonts w:cs="Times New Roman"/>
          <w:noProof/>
          <w:szCs w:val="24"/>
        </w:rPr>
        <w:t>(1993)</w:t>
      </w:r>
      <w:r w:rsidRPr="0039706F">
        <w:rPr>
          <w:rFonts w:cs="Times New Roman"/>
          <w:szCs w:val="24"/>
        </w:rPr>
        <w:fldChar w:fldCharType="end"/>
      </w:r>
      <w:r w:rsidRPr="0039706F">
        <w:rPr>
          <w:rFonts w:cs="Times New Roman"/>
          <w:szCs w:val="24"/>
        </w:rPr>
        <w:t xml:space="preserve">. </w:t>
      </w:r>
      <w:r w:rsidR="00C738F8">
        <w:rPr>
          <w:rFonts w:cs="Times New Roman"/>
          <w:szCs w:val="24"/>
        </w:rPr>
        <w:t>A juicio de</w:t>
      </w:r>
      <w:r>
        <w:rPr>
          <w:rFonts w:cs="Times New Roman"/>
          <w:szCs w:val="24"/>
        </w:rPr>
        <w:t xml:space="preserve"> los autores, las construcciones sociales influencian la agenda de políticas y la selección de instrumentos de la política, así como las racionalidades que legitiman las elecciones hechas en ella. Para ello generan una categorización de las construcciones sociales alrededor de ciertos grupos objetivos en una determinada política. Los tipos de poblaciones</w:t>
      </w:r>
      <w:r w:rsidR="00C738F8">
        <w:rPr>
          <w:rFonts w:cs="Times New Roman"/>
          <w:szCs w:val="24"/>
        </w:rPr>
        <w:t>-</w:t>
      </w:r>
      <w:r>
        <w:rPr>
          <w:rFonts w:cs="Times New Roman"/>
          <w:szCs w:val="24"/>
        </w:rPr>
        <w:t xml:space="preserve">objetivo principales son los </w:t>
      </w:r>
      <w:r w:rsidRPr="007E53D6">
        <w:rPr>
          <w:rFonts w:cs="Times New Roman"/>
          <w:szCs w:val="24"/>
        </w:rPr>
        <w:t>favorecid</w:t>
      </w:r>
      <w:r>
        <w:rPr>
          <w:rFonts w:cs="Times New Roman"/>
          <w:szCs w:val="24"/>
        </w:rPr>
        <w:t>o</w:t>
      </w:r>
      <w:r w:rsidRPr="007E53D6">
        <w:rPr>
          <w:rFonts w:cs="Times New Roman"/>
          <w:szCs w:val="24"/>
        </w:rPr>
        <w:t>s</w:t>
      </w:r>
      <w:r>
        <w:rPr>
          <w:rFonts w:cs="Times New Roman"/>
          <w:szCs w:val="24"/>
        </w:rPr>
        <w:t xml:space="preserve"> (alto poder/ imagen positiva)</w:t>
      </w:r>
      <w:r w:rsidRPr="007E53D6">
        <w:rPr>
          <w:rFonts w:cs="Times New Roman"/>
          <w:szCs w:val="24"/>
        </w:rPr>
        <w:t>, dependientes</w:t>
      </w:r>
      <w:r>
        <w:rPr>
          <w:rFonts w:cs="Times New Roman"/>
          <w:szCs w:val="24"/>
        </w:rPr>
        <w:t xml:space="preserve"> (bajo poder/ imagen positiva)</w:t>
      </w:r>
      <w:r w:rsidRPr="007E53D6">
        <w:rPr>
          <w:rFonts w:cs="Times New Roman"/>
          <w:szCs w:val="24"/>
        </w:rPr>
        <w:t>, contendientes</w:t>
      </w:r>
      <w:r>
        <w:rPr>
          <w:rFonts w:cs="Times New Roman"/>
          <w:szCs w:val="24"/>
        </w:rPr>
        <w:t>/contendores</w:t>
      </w:r>
      <w:r w:rsidRPr="007E53D6">
        <w:rPr>
          <w:rFonts w:cs="Times New Roman"/>
          <w:szCs w:val="24"/>
        </w:rPr>
        <w:t xml:space="preserve"> </w:t>
      </w:r>
      <w:r>
        <w:rPr>
          <w:rFonts w:cs="Times New Roman"/>
          <w:szCs w:val="24"/>
        </w:rPr>
        <w:t xml:space="preserve">(alto poder/ imagen negativa) </w:t>
      </w:r>
      <w:r w:rsidRPr="007E53D6">
        <w:rPr>
          <w:rFonts w:cs="Times New Roman"/>
          <w:szCs w:val="24"/>
        </w:rPr>
        <w:t>o desviadas</w:t>
      </w:r>
      <w:r>
        <w:rPr>
          <w:rFonts w:cs="Times New Roman"/>
          <w:szCs w:val="24"/>
        </w:rPr>
        <w:t xml:space="preserve"> (bajo poder/ imagen negativa). En específico, identificar las poblaciones objetivo (</w:t>
      </w:r>
      <w:r w:rsidRPr="00BE77FE">
        <w:rPr>
          <w:rFonts w:cs="Times New Roman"/>
          <w:i/>
          <w:iCs/>
          <w:szCs w:val="24"/>
        </w:rPr>
        <w:t>target</w:t>
      </w:r>
      <w:r>
        <w:rPr>
          <w:rFonts w:cs="Times New Roman"/>
          <w:szCs w:val="24"/>
        </w:rPr>
        <w:t xml:space="preserve">) permite identificar quienes se benefician y quienes son perjudicados y las diferencias de participación de grupos objetivos. </w:t>
      </w:r>
    </w:p>
    <w:p w14:paraId="041A3BB0" w14:textId="69AB0B6A" w:rsidR="00A166E1" w:rsidRDefault="002B5E2C" w:rsidP="002B5E2C">
      <w:pPr>
        <w:spacing w:line="240" w:lineRule="auto"/>
        <w:rPr>
          <w:rFonts w:cs="Times New Roman"/>
          <w:szCs w:val="24"/>
        </w:rPr>
      </w:pPr>
      <w:r>
        <w:rPr>
          <w:rFonts w:cs="Times New Roman"/>
          <w:szCs w:val="24"/>
        </w:rPr>
        <w:t xml:space="preserve">Un último </w:t>
      </w:r>
      <w:r w:rsidRPr="00B74BCD">
        <w:rPr>
          <w:rFonts w:cs="Times New Roman"/>
          <w:szCs w:val="24"/>
        </w:rPr>
        <w:t xml:space="preserve">marco surgido a partir de un análisis sobre el estatus legal del alcohol en el Reino Unido, identificó las siguientes dimensiones del </w:t>
      </w:r>
      <w:commentRangeStart w:id="8"/>
      <w:r w:rsidRPr="00B74BCD">
        <w:rPr>
          <w:rFonts w:cs="Times New Roman"/>
          <w:szCs w:val="24"/>
        </w:rPr>
        <w:t>debate</w:t>
      </w:r>
      <w:commentRangeEnd w:id="8"/>
      <w:r>
        <w:rPr>
          <w:rStyle w:val="Refdecomentario"/>
        </w:rPr>
        <w:commentReference w:id="8"/>
      </w:r>
      <w:r w:rsidRPr="00B74BCD">
        <w:rPr>
          <w:rFonts w:cs="Times New Roman"/>
          <w:szCs w:val="24"/>
        </w:rPr>
        <w:t>: definicional (</w:t>
      </w:r>
      <w:r>
        <w:rPr>
          <w:rFonts w:cs="Times New Roman"/>
          <w:szCs w:val="24"/>
        </w:rPr>
        <w:t xml:space="preserve">entendido como el </w:t>
      </w:r>
      <w:r w:rsidRPr="00B74BCD">
        <w:rPr>
          <w:rFonts w:cs="Times New Roman"/>
          <w:szCs w:val="24"/>
        </w:rPr>
        <w:t>marco de salud pública, orden público, salud en términos biomédicos o desde una perspectiva industrial o comercial), ideológico (</w:t>
      </w:r>
      <w:r>
        <w:rPr>
          <w:rFonts w:cs="Times New Roman"/>
          <w:szCs w:val="24"/>
        </w:rPr>
        <w:t xml:space="preserve">alude a </w:t>
      </w:r>
      <w:r w:rsidRPr="00B74BCD">
        <w:rPr>
          <w:rFonts w:cs="Times New Roman"/>
          <w:szCs w:val="24"/>
        </w:rPr>
        <w:t xml:space="preserve">percepciones de libertades, derechos y obligaciones), sistémico (o interinstitucional, como la coordinación y seguimiento en relación a otros departamentos) y </w:t>
      </w:r>
      <w:r>
        <w:rPr>
          <w:rFonts w:cs="Times New Roman"/>
          <w:szCs w:val="24"/>
        </w:rPr>
        <w:t>“</w:t>
      </w:r>
      <w:proofErr w:type="spellStart"/>
      <w:r w:rsidRPr="00B74BCD">
        <w:rPr>
          <w:rFonts w:cs="Times New Roman"/>
          <w:szCs w:val="24"/>
        </w:rPr>
        <w:t>evidencial</w:t>
      </w:r>
      <w:proofErr w:type="spellEnd"/>
      <w:r>
        <w:rPr>
          <w:rFonts w:cs="Times New Roman"/>
          <w:szCs w:val="24"/>
        </w:rPr>
        <w:t>”</w:t>
      </w:r>
      <w:r w:rsidRPr="00B74BCD">
        <w:rPr>
          <w:rFonts w:cs="Times New Roman"/>
          <w:szCs w:val="24"/>
        </w:rPr>
        <w:t xml:space="preserve"> (</w:t>
      </w:r>
      <w:r>
        <w:rPr>
          <w:rFonts w:cs="Times New Roman"/>
          <w:szCs w:val="24"/>
        </w:rPr>
        <w:t xml:space="preserve">es decir, </w:t>
      </w:r>
      <w:r w:rsidRPr="00B74BCD">
        <w:rPr>
          <w:rFonts w:cs="Times New Roman"/>
          <w:szCs w:val="24"/>
        </w:rPr>
        <w:t>lugar de la evidencia científica versus valores personales y políticos, pragmáticos o electorales)</w:t>
      </w:r>
      <w:r w:rsidR="00510D9F">
        <w:rPr>
          <w:rFonts w:cs="Times New Roman"/>
          <w:szCs w:val="24"/>
        </w:rPr>
        <w:t xml:space="preserve">. Estas dimensiones del debate son de utilidad, ya que permiten apreciar en qué aspectos hay diferencias entre distintos actores </w:t>
      </w:r>
      <w:r>
        <w:rPr>
          <w:rFonts w:cs="Times New Roman"/>
          <w:szCs w:val="24"/>
        </w:rPr>
        <w:fldChar w:fldCharType="begin" w:fldLock="1"/>
      </w:r>
      <w:r>
        <w:rPr>
          <w:rFonts w:cs="Times New Roman"/>
          <w:szCs w:val="24"/>
        </w:rPr>
        <w:instrText>ADDIN CSL_CITATION {"citationItems":[{"id":"ITEM-1","itemData":{"DOI":"10.3109/09687637.2014.993923","ISSN":"0968-7637","author":[{"dropping-particle":"","family":"Nicholls","given":"James","non-dropping-particle":"","parse-names":false,"suffix":""},{"dropping-particle":"","family":"Greenaway","given":"John","non-dropping-particle":"","parse-names":false,"suffix":""}],"container-title":"Drugs: Education, Prevention and Policy","id":"ITEM-1","issue":"2","issued":{"date-parts":[["2015","3","4"]]},"note":"doi: 10.3109/09687637.2014.993923","page":"135-142","publisher":"Taylor &amp; Francis","title":"What is the problem?: Evidence, politics and alcohol policy in England and Wales, 2010–2014","type":"article-journal","volume":"22"},"uris":["http://www.mendeley.com/documents/?uuid=038ae3f8-b001-4e9b-a919-18cbc1623541"]}],"mendeley":{"formattedCitation":"(Nicholls y Greenaway 2015)","plainTextFormattedCitation":"(Nicholls y Greenaway 2015)"},"properties":{"noteIndex":0},"schema":"https://github.com/citation-style-language/schema/raw/master/csl-citation.json"}</w:instrText>
      </w:r>
      <w:r>
        <w:rPr>
          <w:rFonts w:cs="Times New Roman"/>
          <w:szCs w:val="24"/>
        </w:rPr>
        <w:fldChar w:fldCharType="separate"/>
      </w:r>
      <w:r w:rsidRPr="00D82AC3">
        <w:rPr>
          <w:rFonts w:cs="Times New Roman"/>
          <w:noProof/>
          <w:szCs w:val="24"/>
        </w:rPr>
        <w:t>(Nicholls y Greenaway 2015)</w:t>
      </w:r>
      <w:r>
        <w:rPr>
          <w:rFonts w:cs="Times New Roman"/>
          <w:szCs w:val="24"/>
        </w:rPr>
        <w:fldChar w:fldCharType="end"/>
      </w:r>
      <w:r w:rsidRPr="00B74BCD">
        <w:rPr>
          <w:rFonts w:cs="Times New Roman"/>
          <w:szCs w:val="24"/>
        </w:rPr>
        <w:t>.</w:t>
      </w:r>
    </w:p>
    <w:p w14:paraId="1BA4AC4A" w14:textId="77777777" w:rsidR="00510D9F" w:rsidRPr="00CF2E51" w:rsidRDefault="00510D9F" w:rsidP="00510D9F">
      <w:pPr>
        <w:pStyle w:val="Ttulo2"/>
        <w:spacing w:line="240" w:lineRule="auto"/>
      </w:pPr>
      <w:commentRangeStart w:id="9"/>
      <w:r>
        <w:t>Objetivos</w:t>
      </w:r>
      <w:commentRangeEnd w:id="9"/>
      <w:r>
        <w:rPr>
          <w:rStyle w:val="Refdecomentario"/>
          <w:rFonts w:eastAsiaTheme="minorHAnsi" w:cstheme="minorBidi"/>
          <w:color w:val="auto"/>
        </w:rPr>
        <w:commentReference w:id="9"/>
      </w:r>
    </w:p>
    <w:p w14:paraId="17725AAB" w14:textId="28DAFC2C" w:rsidR="00510D9F" w:rsidRDefault="00510D9F" w:rsidP="00510D9F">
      <w:pPr>
        <w:spacing w:line="240" w:lineRule="auto"/>
        <w:rPr>
          <w:rFonts w:cs="Times New Roman"/>
          <w:szCs w:val="24"/>
        </w:rPr>
      </w:pPr>
      <w:r w:rsidRPr="00A95911">
        <w:rPr>
          <w:rFonts w:cs="Times New Roman"/>
          <w:szCs w:val="24"/>
        </w:rPr>
        <w:t>Por tanto, lo aplicamos al estudio de caso examinando la emergencia del reglamento de parlamentarios</w:t>
      </w:r>
      <w:r>
        <w:rPr>
          <w:rFonts w:cs="Times New Roman"/>
          <w:szCs w:val="24"/>
        </w:rPr>
        <w:t>, identificando historias, símbolos e imágenes que permitan caracterizar los elementos que dan forma y posibilitan la emergencia de esta política</w:t>
      </w:r>
      <w:r w:rsidR="00E8794F">
        <w:rPr>
          <w:rFonts w:cs="Times New Roman"/>
          <w:szCs w:val="24"/>
        </w:rPr>
        <w:t xml:space="preserve"> a través de </w:t>
      </w:r>
      <w:r w:rsidR="0072275C">
        <w:rPr>
          <w:rFonts w:cs="Times New Roman"/>
          <w:szCs w:val="24"/>
        </w:rPr>
        <w:t xml:space="preserve">declaraciones directas o indirectas de </w:t>
      </w:r>
      <w:r w:rsidR="00E8794F">
        <w:rPr>
          <w:rFonts w:cs="Times New Roman"/>
          <w:szCs w:val="24"/>
        </w:rPr>
        <w:t>actores humanos y no-humanos (ej., instituciones)</w:t>
      </w:r>
      <w:r>
        <w:rPr>
          <w:rFonts w:cs="Times New Roman"/>
          <w:szCs w:val="24"/>
        </w:rPr>
        <w:t xml:space="preserve"> </w:t>
      </w:r>
      <w:r w:rsidR="0072275C">
        <w:rPr>
          <w:rFonts w:cs="Times New Roman"/>
          <w:szCs w:val="24"/>
        </w:rPr>
        <w:t xml:space="preserve">directamente involucrados en el reglamento </w:t>
      </w:r>
      <w:r>
        <w:rPr>
          <w:rFonts w:cs="Times New Roman"/>
          <w:szCs w:val="24"/>
        </w:rPr>
        <w:fldChar w:fldCharType="begin" w:fldLock="1"/>
      </w:r>
      <w:r>
        <w:rPr>
          <w:rFonts w:cs="Times New Roman"/>
          <w:szCs w:val="24"/>
        </w:rPr>
        <w:instrText>ADDIN CSL_CITATION {"citationItems":[{"id":"ITEM-1","itemData":{"ISBN":"9780393912722","author":[{"dropping-particle":"","family":"Stone","given":"Deborah","non-dropping-particle":"","parse-names":false,"suffix":""}],"id":"ITEM-1","issued":{"date-parts":[["2012"]]},"publisher":"W.W. Norton \\&amp; Company","title":"Policy Paradox: The Art of Political Decision Making","type":"book"},"uris":["http://www.mendeley.com/documents/?uuid=04c3a50a-7d8b-4521-b5a8-95c37b499918"]}],"mendeley":{"formattedCitation":"(Stone 2012)","plainTextFormattedCitation":"(Stone 2012)","previouslyFormattedCitation":"(Stone 2012)"},"properties":{"noteIndex":0},"schema":"https://github.com/citation-style-language/schema/raw/master/csl-citation.json"}</w:instrText>
      </w:r>
      <w:r>
        <w:rPr>
          <w:rFonts w:cs="Times New Roman"/>
          <w:szCs w:val="24"/>
        </w:rPr>
        <w:fldChar w:fldCharType="separate"/>
      </w:r>
      <w:r w:rsidRPr="006B27BC">
        <w:rPr>
          <w:rFonts w:cs="Times New Roman"/>
          <w:noProof/>
          <w:szCs w:val="24"/>
        </w:rPr>
        <w:t>(Stone 2012)</w:t>
      </w:r>
      <w:r>
        <w:rPr>
          <w:rFonts w:cs="Times New Roman"/>
          <w:szCs w:val="24"/>
        </w:rPr>
        <w:fldChar w:fldCharType="end"/>
      </w:r>
      <w:r>
        <w:rPr>
          <w:rFonts w:cs="Times New Roman"/>
          <w:szCs w:val="24"/>
        </w:rPr>
        <w:t>.</w:t>
      </w:r>
    </w:p>
    <w:p w14:paraId="202A9865" w14:textId="1EEB74B5" w:rsidR="00D55CA1" w:rsidRDefault="00D55CA1" w:rsidP="00510D9F">
      <w:pPr>
        <w:spacing w:line="240" w:lineRule="auto"/>
        <w:rPr>
          <w:rFonts w:cs="Times New Roman"/>
          <w:szCs w:val="24"/>
        </w:rPr>
      </w:pPr>
      <w:r>
        <w:rPr>
          <w:rFonts w:cs="Times New Roman"/>
          <w:szCs w:val="24"/>
        </w:rPr>
        <w:t>De este objetivo general se desprenden los siguientes:</w:t>
      </w:r>
    </w:p>
    <w:p w14:paraId="190D060D" w14:textId="5F6B606D" w:rsidR="00510D9F" w:rsidRPr="00E8794F" w:rsidRDefault="00510D9F" w:rsidP="00510D9F">
      <w:pPr>
        <w:spacing w:line="240" w:lineRule="auto"/>
        <w:rPr>
          <w:rFonts w:cs="Times New Roman"/>
          <w:szCs w:val="24"/>
          <w:highlight w:val="yellow"/>
        </w:rPr>
      </w:pPr>
      <w:r w:rsidRPr="00E8794F">
        <w:rPr>
          <w:highlight w:val="yellow"/>
        </w:rPr>
        <w:t xml:space="preserve">- Examinar el diseño en términos de la definición del problema de la política chilena de regulación al consumo de drogas por parte de parlamentarios desde los esquemas conceptuales </w:t>
      </w:r>
      <w:r w:rsidR="00C738F8" w:rsidRPr="00E8794F">
        <w:rPr>
          <w:highlight w:val="yellow"/>
        </w:rPr>
        <w:t xml:space="preserve">de </w:t>
      </w:r>
      <w:r w:rsidRPr="00E8794F">
        <w:rPr>
          <w:highlight w:val="yellow"/>
        </w:rPr>
        <w:t>Palm</w:t>
      </w:r>
      <w:r w:rsidRPr="00E8794F">
        <w:rPr>
          <w:highlight w:val="yellow"/>
        </w:rPr>
        <w:t>,</w:t>
      </w:r>
      <w:r w:rsidR="00C738F8" w:rsidRPr="00E8794F">
        <w:rPr>
          <w:highlight w:val="yellow"/>
        </w:rPr>
        <w:t xml:space="preserve"> </w:t>
      </w:r>
      <w:r w:rsidR="00C738F8" w:rsidRPr="00E8794F">
        <w:rPr>
          <w:rFonts w:cs="Times New Roman"/>
          <w:szCs w:val="24"/>
          <w:highlight w:val="yellow"/>
        </w:rPr>
        <w:t>Schneider e Ingram</w:t>
      </w:r>
      <w:r w:rsidR="00C738F8" w:rsidRPr="00E8794F">
        <w:rPr>
          <w:rFonts w:cs="Times New Roman"/>
          <w:szCs w:val="24"/>
          <w:highlight w:val="yellow"/>
        </w:rPr>
        <w:t>, y</w:t>
      </w:r>
      <w:r w:rsidRPr="00E8794F">
        <w:rPr>
          <w:highlight w:val="yellow"/>
        </w:rPr>
        <w:t xml:space="preserve"> </w:t>
      </w:r>
      <w:r w:rsidRPr="00E8794F">
        <w:rPr>
          <w:rFonts w:cs="Times New Roman"/>
          <w:noProof/>
          <w:szCs w:val="24"/>
          <w:highlight w:val="yellow"/>
        </w:rPr>
        <w:t>Nicholls y Greenaway</w:t>
      </w:r>
      <w:r w:rsidRPr="00E8794F">
        <w:rPr>
          <w:highlight w:val="yellow"/>
        </w:rPr>
        <w:t>.</w:t>
      </w:r>
    </w:p>
    <w:p w14:paraId="23ADCF7B" w14:textId="449B105C" w:rsidR="00510D9F" w:rsidRPr="00E8794F" w:rsidRDefault="00510D9F" w:rsidP="00510D9F">
      <w:pPr>
        <w:spacing w:line="240" w:lineRule="auto"/>
        <w:rPr>
          <w:rFonts w:cs="Times New Roman"/>
          <w:szCs w:val="24"/>
          <w:highlight w:val="yellow"/>
        </w:rPr>
      </w:pPr>
      <w:r w:rsidRPr="00E8794F">
        <w:rPr>
          <w:highlight w:val="yellow"/>
        </w:rPr>
        <w:t>- Examinar el diseño en términos de la definición de los objetivos de la política chilena de regulación al consumo de drogas por parte de parlamentarios desde los esquemas conceptuales mencionados</w:t>
      </w:r>
      <w:r w:rsidR="00C738F8" w:rsidRPr="00E8794F">
        <w:rPr>
          <w:highlight w:val="yellow"/>
        </w:rPr>
        <w:t xml:space="preserve"> </w:t>
      </w:r>
      <w:r w:rsidR="00C738F8" w:rsidRPr="00E8794F">
        <w:rPr>
          <w:highlight w:val="yellow"/>
        </w:rPr>
        <w:t xml:space="preserve">de Palm, </w:t>
      </w:r>
      <w:r w:rsidR="00C738F8" w:rsidRPr="00E8794F">
        <w:rPr>
          <w:rFonts w:cs="Times New Roman"/>
          <w:szCs w:val="24"/>
          <w:highlight w:val="yellow"/>
        </w:rPr>
        <w:t>Schneider e Ingram, y</w:t>
      </w:r>
      <w:r w:rsidR="00C738F8" w:rsidRPr="00E8794F">
        <w:rPr>
          <w:highlight w:val="yellow"/>
        </w:rPr>
        <w:t xml:space="preserve"> </w:t>
      </w:r>
      <w:r w:rsidR="00C738F8" w:rsidRPr="00E8794F">
        <w:rPr>
          <w:rFonts w:cs="Times New Roman"/>
          <w:noProof/>
          <w:szCs w:val="24"/>
          <w:highlight w:val="yellow"/>
        </w:rPr>
        <w:t>Nicholls y Greenaway</w:t>
      </w:r>
      <w:r w:rsidR="00C738F8" w:rsidRPr="00E8794F">
        <w:rPr>
          <w:highlight w:val="yellow"/>
        </w:rPr>
        <w:t>.</w:t>
      </w:r>
    </w:p>
    <w:p w14:paraId="5DFD6258" w14:textId="3676B88A" w:rsidR="00510D9F" w:rsidRPr="00C738F8" w:rsidRDefault="00510D9F" w:rsidP="00510D9F">
      <w:pPr>
        <w:spacing w:line="240" w:lineRule="auto"/>
        <w:rPr>
          <w:rFonts w:cs="Times New Roman"/>
          <w:szCs w:val="24"/>
        </w:rPr>
      </w:pPr>
      <w:r w:rsidRPr="00E8794F">
        <w:rPr>
          <w:highlight w:val="yellow"/>
        </w:rPr>
        <w:lastRenderedPageBreak/>
        <w:t>- Examinar el diseño en términos de la definición de los resultados esperados de la política chilena de regulación al consumo de drogas por parte de parlamentarios desde los esquemas conceptuales mencionados</w:t>
      </w:r>
      <w:r w:rsidR="00C738F8" w:rsidRPr="00E8794F">
        <w:rPr>
          <w:highlight w:val="yellow"/>
        </w:rPr>
        <w:t xml:space="preserve"> </w:t>
      </w:r>
      <w:r w:rsidR="00C738F8" w:rsidRPr="00E8794F">
        <w:rPr>
          <w:highlight w:val="yellow"/>
        </w:rPr>
        <w:t xml:space="preserve">de Palm, </w:t>
      </w:r>
      <w:r w:rsidR="00C738F8" w:rsidRPr="00E8794F">
        <w:rPr>
          <w:rFonts w:cs="Times New Roman"/>
          <w:szCs w:val="24"/>
          <w:highlight w:val="yellow"/>
        </w:rPr>
        <w:t>Schneider e Ingram, y</w:t>
      </w:r>
      <w:r w:rsidR="00C738F8" w:rsidRPr="00E8794F">
        <w:rPr>
          <w:highlight w:val="yellow"/>
        </w:rPr>
        <w:t xml:space="preserve"> </w:t>
      </w:r>
      <w:r w:rsidR="00C738F8" w:rsidRPr="00E8794F">
        <w:rPr>
          <w:rFonts w:cs="Times New Roman"/>
          <w:noProof/>
          <w:szCs w:val="24"/>
          <w:highlight w:val="yellow"/>
        </w:rPr>
        <w:t>Nicholls y Greenaway</w:t>
      </w:r>
      <w:r w:rsidR="00C738F8" w:rsidRPr="00E8794F">
        <w:rPr>
          <w:highlight w:val="yellow"/>
        </w:rPr>
        <w:t>.</w:t>
      </w:r>
    </w:p>
    <w:p w14:paraId="060CE925" w14:textId="77777777" w:rsidR="00C9099C" w:rsidRPr="00CF2E51" w:rsidRDefault="00C9099C" w:rsidP="006D2DBE">
      <w:pPr>
        <w:pStyle w:val="Ttulo2"/>
        <w:spacing w:line="240" w:lineRule="auto"/>
      </w:pPr>
      <w:r w:rsidRPr="00CF2E51">
        <w:t>Método</w:t>
      </w:r>
    </w:p>
    <w:p w14:paraId="3858E33E" w14:textId="77777777" w:rsidR="00C9099C" w:rsidRPr="00CF2E51" w:rsidRDefault="00C9099C" w:rsidP="006D2DBE">
      <w:pPr>
        <w:pStyle w:val="Ttulo3"/>
        <w:spacing w:line="240" w:lineRule="auto"/>
      </w:pPr>
      <w:r w:rsidRPr="00CF2E51">
        <w:t>Material</w:t>
      </w:r>
    </w:p>
    <w:p w14:paraId="4512A135" w14:textId="09693164" w:rsidR="00C9099C" w:rsidRPr="00C9099C" w:rsidRDefault="00C9099C" w:rsidP="006D2DBE">
      <w:pPr>
        <w:spacing w:line="240" w:lineRule="auto"/>
        <w:rPr>
          <w:rFonts w:cs="Times New Roman"/>
          <w:szCs w:val="24"/>
        </w:rPr>
      </w:pPr>
      <w:r w:rsidRPr="00C9099C">
        <w:rPr>
          <w:rFonts w:cs="Times New Roman"/>
          <w:szCs w:val="24"/>
        </w:rPr>
        <w:t xml:space="preserve">El material se seleccionó mediante un muestreo intencional y basado en un estudio de caso, el cual apunta a estudiar en profundidad un ejemplo de un universo mayor de interés, por lo que no pretende “representar ese universo” </w:t>
      </w:r>
      <w:r w:rsidR="00CE7D1E" w:rsidRPr="00A95911">
        <w:rPr>
          <w:rFonts w:cs="Times New Roman"/>
          <w:szCs w:val="24"/>
        </w:rPr>
        <w:fldChar w:fldCharType="begin" w:fldLock="1"/>
      </w:r>
      <w:r w:rsidR="00CF2E51" w:rsidRPr="00A95911">
        <w:rPr>
          <w:rFonts w:cs="Times New Roman"/>
          <w:szCs w:val="24"/>
        </w:rPr>
        <w:instrText>ADDIN CSL_CITATION {"citationItems":[{"id":"ITEM-1","itemData":{"ISBN":"9781446232392","author":[{"dropping-particle":"","family":"Mason","given":"J","non-dropping-particle":"","parse-names":false,"suffix":""}],"id":"ITEM-1","issued":{"date-parts":[["2002"]]},"publisher":"SAGE Publications","title":"Qualitative Researching","type":"book"},"locator":"126","uris":["http://www.mendeley.com/documents/?uuid=29d62de6-9779-4cd6-9146-361af72f053c"]}],"mendeley":{"formattedCitation":"(Mason 2002, 126)","plainTextFormattedCitation":"(Mason 2002, 126)","previouslyFormattedCitation":"(Mason 2002, 126)"},"properties":{"noteIndex":0},"schema":"https://github.com/citation-style-language/schema/raw/master/csl-citation.json"}</w:instrText>
      </w:r>
      <w:r w:rsidR="00CE7D1E" w:rsidRPr="00A95911">
        <w:rPr>
          <w:rFonts w:cs="Times New Roman"/>
          <w:szCs w:val="24"/>
        </w:rPr>
        <w:fldChar w:fldCharType="separate"/>
      </w:r>
      <w:r w:rsidR="00CF2E51" w:rsidRPr="00A95911">
        <w:rPr>
          <w:rFonts w:cs="Times New Roman"/>
          <w:noProof/>
          <w:szCs w:val="24"/>
        </w:rPr>
        <w:t>(Mason 2002, 126)</w:t>
      </w:r>
      <w:r w:rsidR="00CE7D1E" w:rsidRPr="00A95911">
        <w:rPr>
          <w:rFonts w:cs="Times New Roman"/>
          <w:szCs w:val="24"/>
        </w:rPr>
        <w:fldChar w:fldCharType="end"/>
      </w:r>
      <w:r w:rsidRPr="00C9099C">
        <w:rPr>
          <w:rFonts w:cs="Times New Roman"/>
          <w:szCs w:val="24"/>
        </w:rPr>
        <w:t>. L</w:t>
      </w:r>
      <w:r w:rsidR="009518B1" w:rsidRPr="00A95911">
        <w:rPr>
          <w:rFonts w:cs="Times New Roman"/>
          <w:szCs w:val="24"/>
        </w:rPr>
        <w:t xml:space="preserve">os recortes de prensa </w:t>
      </w:r>
      <w:r w:rsidRPr="00C9099C">
        <w:rPr>
          <w:rFonts w:cs="Times New Roman"/>
          <w:szCs w:val="24"/>
        </w:rPr>
        <w:t xml:space="preserve">fueron </w:t>
      </w:r>
      <w:r w:rsidR="00CF2E51" w:rsidRPr="00A95911">
        <w:rPr>
          <w:rFonts w:cs="Times New Roman"/>
          <w:szCs w:val="24"/>
        </w:rPr>
        <w:t>obtenidos</w:t>
      </w:r>
      <w:r w:rsidRPr="00C9099C">
        <w:rPr>
          <w:rFonts w:cs="Times New Roman"/>
          <w:szCs w:val="24"/>
        </w:rPr>
        <w:t xml:space="preserve"> desde la plataforma </w:t>
      </w:r>
      <w:proofErr w:type="spellStart"/>
      <w:r w:rsidRPr="00A95911">
        <w:rPr>
          <w:rFonts w:cs="Times New Roman"/>
          <w:szCs w:val="24"/>
        </w:rPr>
        <w:t>agregadora</w:t>
      </w:r>
      <w:proofErr w:type="spellEnd"/>
      <w:r w:rsidRPr="00C9099C">
        <w:rPr>
          <w:rFonts w:cs="Times New Roman"/>
          <w:szCs w:val="24"/>
        </w:rPr>
        <w:t xml:space="preserve"> de noticias Google Noticias - cuyo motor de búsqueda concentra el 97% del tráfico web por internet del año 2021 </w:t>
      </w:r>
      <w:r w:rsidR="00A95911" w:rsidRPr="00A95911">
        <w:rPr>
          <w:rFonts w:cs="Times New Roman"/>
          <w:szCs w:val="24"/>
        </w:rPr>
        <w:fldChar w:fldCharType="begin" w:fldLock="1"/>
      </w:r>
      <w:r w:rsidR="00A95911">
        <w:rPr>
          <w:rFonts w:cs="Times New Roman"/>
          <w:szCs w:val="24"/>
        </w:rPr>
        <w:instrText>ADDIN CSL_CITATION {"citationItems":[{"id":"ITEM-1","itemData":{"author":[{"dropping-particle":"","family":"Medina","given":"Rosgaby","non-dropping-particle":"","parse-names":false,"suffix":""}],"id":"ITEM-1","issued":{"date-parts":[["2022"]]},"publisher-place":"Medellín, Colombia","title":"Estadísticas de la situación digital de Chile en el 2021-2022","type":"report"},"uris":["http://www.mendeley.com/documents/?uuid=2ccf10c1-9922-47b9-a91a-97ac21e5d234"]}],"mendeley":{"formattedCitation":"(Medina 2022)","plainTextFormattedCitation":"(Medina 2022)","previouslyFormattedCitation":"(Medina 2022)"},"properties":{"noteIndex":0},"schema":"https://github.com/citation-style-language/schema/raw/master/csl-citation.json"}</w:instrText>
      </w:r>
      <w:r w:rsidR="00A95911" w:rsidRPr="00A95911">
        <w:rPr>
          <w:rFonts w:cs="Times New Roman"/>
          <w:szCs w:val="24"/>
        </w:rPr>
        <w:fldChar w:fldCharType="separate"/>
      </w:r>
      <w:r w:rsidR="00A95911" w:rsidRPr="00A95911">
        <w:rPr>
          <w:rFonts w:cs="Times New Roman"/>
          <w:noProof/>
          <w:szCs w:val="24"/>
        </w:rPr>
        <w:t>(Medina 2022)</w:t>
      </w:r>
      <w:r w:rsidR="00A95911" w:rsidRPr="00A95911">
        <w:rPr>
          <w:rFonts w:cs="Times New Roman"/>
          <w:szCs w:val="24"/>
        </w:rPr>
        <w:fldChar w:fldCharType="end"/>
      </w:r>
      <w:r w:rsidR="00A95911" w:rsidRPr="00A95911">
        <w:rPr>
          <w:rFonts w:cs="Times New Roman"/>
          <w:szCs w:val="24"/>
        </w:rPr>
        <w:t>,</w:t>
      </w:r>
      <w:r w:rsidRPr="00C9099C">
        <w:rPr>
          <w:rFonts w:cs="Times New Roman"/>
          <w:szCs w:val="24"/>
        </w:rPr>
        <w:t xml:space="preserve"> a partir de criterios de búsqueda básica con términos del lenguaje natural español e incluyendo el anglicismo </w:t>
      </w:r>
      <w:r w:rsidRPr="00C9099C">
        <w:rPr>
          <w:rFonts w:cs="Times New Roman"/>
          <w:i/>
          <w:iCs/>
          <w:szCs w:val="24"/>
        </w:rPr>
        <w:t>test</w:t>
      </w:r>
      <w:r w:rsidRPr="00C9099C">
        <w:rPr>
          <w:rFonts w:cs="Times New Roman"/>
          <w:szCs w:val="24"/>
        </w:rPr>
        <w:t xml:space="preserve">: “test de drogas parlamentarios”, "‘prueba’ ‘drogas’ ‘parlamentarios’” y "‘test’ ‘drogas’ ‘parlamentarios’”. </w:t>
      </w:r>
      <w:r w:rsidR="00A95911">
        <w:rPr>
          <w:rFonts w:cs="Times New Roman"/>
          <w:szCs w:val="24"/>
        </w:rPr>
        <w:t xml:space="preserve">Esta fuente ha sido utilizada en otras investigaciones para fines similares </w:t>
      </w:r>
      <w:r w:rsidR="00A95911">
        <w:rPr>
          <w:rFonts w:cs="Times New Roman"/>
          <w:szCs w:val="24"/>
        </w:rPr>
        <w:fldChar w:fldCharType="begin" w:fldLock="1"/>
      </w:r>
      <w:r w:rsidR="00D82AC3">
        <w:rPr>
          <w:rFonts w:cs="Times New Roman"/>
          <w:szCs w:val="24"/>
        </w:rPr>
        <w:instrText>ADDIN CSL_CITATION {"citationItems":[{"id":"ITEM-1","itemData":{"DOI":"10.1177/19312431221106375","abstract":" News consumption has been dramatically altered by the rise of social media. The current study examines the international news section of Google News by looking at the frequency and valence of coverage of other nations. News headlines and snippets about various countries are compared to public perceptions, in order to assess the agenda set by the most popular online news aggregator: Google. The public agenda is based on a dedicated survey. Study results provide qualified support for a framework derived from agenda setting theory. In particular, systems-level variables--such as a nation‘s political philosophy and perceived cultural proximity--influence media agenda-setting. ","author":[{"dropping-particle":"","family":"Young","given":"Anna","non-dropping-particle":"","parse-names":false,"suffix":""},{"dropping-particle":"","family":"Atkin","given":"David","non-dropping-particle":"","parse-names":false,"suffix":""}],"container-title":"Electronic News","id":"ITEM-1","issue":"0","issued":{"date-parts":[["0"]]},"page":"19312431221106375","title":"An Agenda-Setting Test of Google News World Reporting on Foreign Nations","type":"article-journal","volume":"0"},"uris":["http://www.mendeley.com/documents/?uuid=163edce0-8b1f-4fb5-ad0a-b5dfa6247e7f"]}],"mendeley":{"formattedCitation":"(Young y Atkin s. f.)","plainTextFormattedCitation":"(Young y Atkin s. f.)","previouslyFormattedCitation":"(Young y Atkin s. f.)"},"properties":{"noteIndex":0},"schema":"https://github.com/citation-style-language/schema/raw/master/csl-citation.json"}</w:instrText>
      </w:r>
      <w:r w:rsidR="00A95911">
        <w:rPr>
          <w:rFonts w:cs="Times New Roman"/>
          <w:szCs w:val="24"/>
        </w:rPr>
        <w:fldChar w:fldCharType="separate"/>
      </w:r>
      <w:r w:rsidR="00727E52" w:rsidRPr="00727E52">
        <w:rPr>
          <w:rFonts w:cs="Times New Roman"/>
          <w:noProof/>
          <w:szCs w:val="24"/>
        </w:rPr>
        <w:t>(Young y Atkin s. f.)</w:t>
      </w:r>
      <w:r w:rsidR="00A95911">
        <w:rPr>
          <w:rFonts w:cs="Times New Roman"/>
          <w:szCs w:val="24"/>
        </w:rPr>
        <w:fldChar w:fldCharType="end"/>
      </w:r>
      <w:r w:rsidR="00A95911">
        <w:rPr>
          <w:rFonts w:cs="Times New Roman"/>
          <w:szCs w:val="24"/>
        </w:rPr>
        <w:t xml:space="preserve">. </w:t>
      </w:r>
      <w:r w:rsidRPr="00C9099C">
        <w:rPr>
          <w:rFonts w:cs="Times New Roman"/>
          <w:szCs w:val="24"/>
        </w:rPr>
        <w:t>El criterio de exclusión</w:t>
      </w:r>
      <w:r w:rsidR="00A95911" w:rsidRPr="00A95911">
        <w:rPr>
          <w:rFonts w:cs="Times New Roman"/>
          <w:szCs w:val="24"/>
        </w:rPr>
        <w:t xml:space="preserve"> consistió en </w:t>
      </w:r>
      <w:r w:rsidRPr="00C9099C">
        <w:rPr>
          <w:rFonts w:cs="Times New Roman"/>
          <w:szCs w:val="24"/>
        </w:rPr>
        <w:t xml:space="preserve">Fuentes que condicionan el acceso a suscripción (ej., </w:t>
      </w:r>
      <w:proofErr w:type="spellStart"/>
      <w:r w:rsidRPr="00510D9F">
        <w:rPr>
          <w:rFonts w:cs="Times New Roman"/>
          <w:i/>
          <w:iCs/>
          <w:szCs w:val="24"/>
        </w:rPr>
        <w:t>Early</w:t>
      </w:r>
      <w:proofErr w:type="spellEnd"/>
      <w:r w:rsidRPr="00510D9F">
        <w:rPr>
          <w:rFonts w:cs="Times New Roman"/>
          <w:i/>
          <w:iCs/>
          <w:szCs w:val="24"/>
        </w:rPr>
        <w:t xml:space="preserve"> Access</w:t>
      </w:r>
      <w:r w:rsidRPr="00C9099C">
        <w:rPr>
          <w:rFonts w:cs="Times New Roman"/>
          <w:szCs w:val="24"/>
        </w:rPr>
        <w:t xml:space="preserve">), audiovisuales, no relacionados en ninguno de sus contenidos con la prueba de drogas a parlamentarios (no la menciona en ninguna de sus variaciones), y aquellos casos en que la noticia refiere exclusivamente a parlamentarios fuera del </w:t>
      </w:r>
      <w:commentRangeStart w:id="10"/>
      <w:r w:rsidRPr="00C9099C">
        <w:rPr>
          <w:rFonts w:cs="Times New Roman"/>
          <w:szCs w:val="24"/>
        </w:rPr>
        <w:t>país</w:t>
      </w:r>
      <w:commentRangeEnd w:id="10"/>
      <w:r w:rsidR="007F571A">
        <w:rPr>
          <w:rStyle w:val="Refdecomentario"/>
        </w:rPr>
        <w:commentReference w:id="10"/>
      </w:r>
      <w:r w:rsidRPr="00C9099C">
        <w:rPr>
          <w:rFonts w:cs="Times New Roman"/>
          <w:szCs w:val="24"/>
        </w:rPr>
        <w:t xml:space="preserve">. </w:t>
      </w:r>
      <w:r w:rsidR="007F571A">
        <w:rPr>
          <w:rFonts w:cs="Times New Roman"/>
          <w:szCs w:val="24"/>
        </w:rPr>
        <w:t>Posteriormente y luego de una revisión, se decide descartar aquellos artículos en los que no hay declaraciones directas o indirectas (ej., sólo se describen acciones de parlamentarios), sumado a</w:t>
      </w:r>
      <w:r w:rsidR="009C3A12">
        <w:rPr>
          <w:rFonts w:cs="Times New Roman"/>
          <w:szCs w:val="24"/>
        </w:rPr>
        <w:t xml:space="preserve"> artículos con información sólo de</w:t>
      </w:r>
      <w:r w:rsidR="007F571A">
        <w:rPr>
          <w:rFonts w:cs="Times New Roman"/>
          <w:szCs w:val="24"/>
        </w:rPr>
        <w:t xml:space="preserve"> declaraciones de otros actores de la sociedad civil</w:t>
      </w:r>
      <w:r w:rsidR="000111AA">
        <w:rPr>
          <w:rFonts w:cs="Times New Roman"/>
          <w:szCs w:val="24"/>
        </w:rPr>
        <w:t xml:space="preserve"> que no inciden directamente en la aplicación del reglamento</w:t>
      </w:r>
      <w:r w:rsidR="007F571A">
        <w:rPr>
          <w:rFonts w:cs="Times New Roman"/>
          <w:szCs w:val="24"/>
        </w:rPr>
        <w:t xml:space="preserve"> (ej., grupos de opinión, think-tanks, exparlamentarios, </w:t>
      </w:r>
      <w:r w:rsidR="0072275C">
        <w:rPr>
          <w:rFonts w:cs="Times New Roman"/>
          <w:szCs w:val="24"/>
        </w:rPr>
        <w:t xml:space="preserve">“expertos”, </w:t>
      </w:r>
      <w:r w:rsidR="007F571A">
        <w:rPr>
          <w:rFonts w:cs="Times New Roman"/>
          <w:szCs w:val="24"/>
        </w:rPr>
        <w:t xml:space="preserve">etc.). </w:t>
      </w:r>
      <w:r w:rsidRPr="00C9099C">
        <w:rPr>
          <w:rFonts w:cs="Times New Roman"/>
          <w:szCs w:val="24"/>
        </w:rPr>
        <w:t>Durante el proceso investigativo se mantuvo el rigor metodológico considerando los criterios de credibilidad, transferibilidad, dependencia, y auditabilidad</w:t>
      </w:r>
      <w:r w:rsidR="009706F8">
        <w:rPr>
          <w:rFonts w:cs="Times New Roman"/>
          <w:szCs w:val="24"/>
        </w:rPr>
        <w:t xml:space="preserve"> </w:t>
      </w:r>
      <w:r w:rsidR="009706F8">
        <w:rPr>
          <w:rFonts w:cs="Times New Roman"/>
          <w:szCs w:val="24"/>
        </w:rPr>
        <w:fldChar w:fldCharType="begin" w:fldLock="1"/>
      </w:r>
      <w:r w:rsidR="00D82AC3">
        <w:rPr>
          <w:rFonts w:cs="Times New Roman"/>
          <w:szCs w:val="24"/>
        </w:rPr>
        <w:instrText>ADDIN CSL_CITATION {"citationItems":[{"id":"ITEM-1","itemData":{"author":[{"dropping-particle":"","family":"Cuevas","given":"H.","non-dropping-particle":"","parse-names":false,"suffix":""},{"dropping-particle":"","family":"Paredes","given":"Juan Pablo","non-dropping-particle":"","parse-names":false,"suffix":""}],"container-title":"Pléyade","id":"ITEM-1","issue":"1","issued":{"date-parts":[["2012"]]},"page":"1-14","title":"Introducción: La ciencia política y el campo de los estudios cualitativos interpretativos de la política","type":"article-journal","volume":"10"},"uris":["http://www.mendeley.com/documents/?uuid=ac9b5dc4-0349-40d4-a0d7-68bdc8a2eb29"]}],"mendeley":{"formattedCitation":"(Cuevas y Paredes 2012)","plainTextFormattedCitation":"(Cuevas y Paredes 2012)","previouslyFormattedCitation":"(Cuevas y Paredes 2012)"},"properties":{"noteIndex":0},"schema":"https://github.com/citation-style-language/schema/raw/master/csl-citation.json"}</w:instrText>
      </w:r>
      <w:r w:rsidR="009706F8">
        <w:rPr>
          <w:rFonts w:cs="Times New Roman"/>
          <w:szCs w:val="24"/>
        </w:rPr>
        <w:fldChar w:fldCharType="separate"/>
      </w:r>
      <w:r w:rsidR="00727E52" w:rsidRPr="00727E52">
        <w:rPr>
          <w:rFonts w:cs="Times New Roman"/>
          <w:noProof/>
          <w:szCs w:val="24"/>
        </w:rPr>
        <w:t>(Cuevas y Paredes 2012)</w:t>
      </w:r>
      <w:r w:rsidR="009706F8">
        <w:rPr>
          <w:rFonts w:cs="Times New Roman"/>
          <w:szCs w:val="24"/>
        </w:rPr>
        <w:fldChar w:fldCharType="end"/>
      </w:r>
      <w:r w:rsidRPr="00C9099C">
        <w:rPr>
          <w:rFonts w:cs="Times New Roman"/>
          <w:szCs w:val="24"/>
        </w:rPr>
        <w:t xml:space="preserve">. Se puede dar seguimiento a la producción de los datos obtenidos en el siguiente </w:t>
      </w:r>
      <w:hyperlink r:id="rId10" w:history="1">
        <w:r w:rsidRPr="00C9099C">
          <w:rPr>
            <w:rStyle w:val="Hipervnculo"/>
            <w:rFonts w:cs="Times New Roman"/>
            <w:szCs w:val="24"/>
          </w:rPr>
          <w:t>enlace</w:t>
        </w:r>
      </w:hyperlink>
      <w:r w:rsidR="007B66E2" w:rsidRPr="00A95911">
        <w:rPr>
          <w:rFonts w:cs="Times New Roman"/>
          <w:szCs w:val="24"/>
        </w:rPr>
        <w:t>.</w:t>
      </w:r>
    </w:p>
    <w:p w14:paraId="76BF465E" w14:textId="77777777" w:rsidR="00C9099C" w:rsidRPr="00CF2E51" w:rsidRDefault="00C9099C" w:rsidP="006D2DBE">
      <w:pPr>
        <w:pStyle w:val="Ttulo3"/>
        <w:spacing w:line="240" w:lineRule="auto"/>
      </w:pPr>
      <w:r w:rsidRPr="00CF2E51">
        <w:t>Plan de análisis</w:t>
      </w:r>
    </w:p>
    <w:p w14:paraId="22FB755E" w14:textId="185C356A" w:rsidR="00C9099C" w:rsidRPr="00C9099C" w:rsidRDefault="00C9099C" w:rsidP="006D2DBE">
      <w:pPr>
        <w:spacing w:line="240" w:lineRule="auto"/>
        <w:rPr>
          <w:rFonts w:cs="Times New Roman"/>
          <w:szCs w:val="24"/>
        </w:rPr>
      </w:pPr>
      <w:r w:rsidRPr="00C9099C">
        <w:rPr>
          <w:rFonts w:cs="Times New Roman"/>
          <w:szCs w:val="24"/>
        </w:rPr>
        <w:t>El método utilizado fue el análisis de contenido de tipo cualitativo, el que permite describir datos cualitativos mediante la clasificación del material en categorías de significado similar</w:t>
      </w:r>
      <w:r w:rsidR="006D4F04" w:rsidRPr="00A95911">
        <w:rPr>
          <w:rFonts w:cs="Times New Roman"/>
          <w:szCs w:val="24"/>
        </w:rPr>
        <w:t xml:space="preserve"> </w:t>
      </w:r>
      <w:r w:rsidR="006D4F04"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6D4F04" w:rsidRPr="00A95911">
        <w:rPr>
          <w:rFonts w:cs="Times New Roman"/>
          <w:szCs w:val="24"/>
        </w:rPr>
        <w:fldChar w:fldCharType="separate"/>
      </w:r>
      <w:r w:rsidR="00727E52" w:rsidRPr="00727E52">
        <w:rPr>
          <w:rFonts w:cs="Times New Roman"/>
          <w:noProof/>
          <w:szCs w:val="24"/>
        </w:rPr>
        <w:t>(Cho y Lee 2014)</w:t>
      </w:r>
      <w:r w:rsidR="006D4F04" w:rsidRPr="00A95911">
        <w:rPr>
          <w:rFonts w:cs="Times New Roman"/>
          <w:szCs w:val="24"/>
        </w:rPr>
        <w:fldChar w:fldCharType="end"/>
      </w:r>
      <w:r w:rsidRPr="00C9099C">
        <w:rPr>
          <w:rFonts w:cs="Times New Roman"/>
          <w:szCs w:val="24"/>
        </w:rPr>
        <w:t xml:space="preserve">, reduciendo la cantidad de datos; además es sistemático, reduciendo la posibilidad de la “anécdota” al contemplar el análisis de todo el material </w:t>
      </w:r>
      <w:r w:rsidR="008F7A73" w:rsidRPr="00A95911">
        <w:rPr>
          <w:rFonts w:cs="Times New Roman"/>
          <w:szCs w:val="24"/>
        </w:rPr>
        <w:fldChar w:fldCharType="begin" w:fldLock="1"/>
      </w:r>
      <w:r w:rsidR="00CF2E51" w:rsidRPr="00A95911">
        <w:rPr>
          <w:rFonts w:cs="Times New Roman"/>
          <w:szCs w:val="24"/>
        </w:rPr>
        <w:instrText>ADDIN CSL_CITATION {"citationItems":[{"id":"ITEM-1","itemData":{"DOI":"10.4135/9781446288719","author":[{"dropping-particle":"","family":"Kuckartz","given":"Udo","non-dropping-particle":"","parse-names":false,"suffix":""}],"id":"ITEM-1","issued":{"date-parts":[["2014"]]},"publisher-place":"London","title":"Qualitative Text Analysis: A Guide to Methods, Practice &amp; Using Software","type":"article"},"uris":["http://www.mendeley.com/documents/?uuid=a72f0146-b0da-4be6-ae82-97cf3288f9ca"]}],"mendeley":{"formattedCitation":"(Kuckartz 2014)","plainTextFormattedCitation":"(Kuckartz 2014)","previouslyFormattedCitation":"(Kuckartz 2014)"},"properties":{"noteIndex":0},"schema":"https://github.com/citation-style-language/schema/raw/master/csl-citation.json"}</w:instrText>
      </w:r>
      <w:r w:rsidR="008F7A73" w:rsidRPr="00A95911">
        <w:rPr>
          <w:rFonts w:cs="Times New Roman"/>
          <w:szCs w:val="24"/>
        </w:rPr>
        <w:fldChar w:fldCharType="separate"/>
      </w:r>
      <w:r w:rsidR="00CF2E51" w:rsidRPr="00A95911">
        <w:rPr>
          <w:rFonts w:cs="Times New Roman"/>
          <w:noProof/>
          <w:szCs w:val="24"/>
        </w:rPr>
        <w:t>(Kuckartz 2014)</w:t>
      </w:r>
      <w:r w:rsidR="008F7A73" w:rsidRPr="00A95911">
        <w:rPr>
          <w:rFonts w:cs="Times New Roman"/>
          <w:szCs w:val="24"/>
        </w:rPr>
        <w:fldChar w:fldCharType="end"/>
      </w:r>
      <w:r w:rsidRPr="00C9099C">
        <w:rPr>
          <w:rFonts w:cs="Times New Roman"/>
          <w:szCs w:val="24"/>
        </w:rPr>
        <w:t>, y flexible, ya que el análisis se va construyendo en base a unidades de análisis, dando lugar a que las categorías emerjan tanto de la teoría (deductivo) como de los datos (inductivo); por último, cabe mencionar que se centra en la descripción</w:t>
      </w:r>
      <w:r w:rsidR="00CF2E51" w:rsidRPr="00A95911">
        <w:rPr>
          <w:rFonts w:cs="Times New Roman"/>
          <w:szCs w:val="24"/>
        </w:rPr>
        <w:t xml:space="preserve"> </w:t>
      </w:r>
      <w:r w:rsidR="00CF2E51" w:rsidRPr="00A95911">
        <w:rPr>
          <w:rFonts w:cs="Times New Roman"/>
          <w:szCs w:val="24"/>
        </w:rPr>
        <w:fldChar w:fldCharType="begin" w:fldLock="1"/>
      </w:r>
      <w:r w:rsidR="00CF2E51" w:rsidRPr="00A95911">
        <w:rPr>
          <w:rFonts w:cs="Times New Roman"/>
          <w:szCs w:val="24"/>
        </w:rPr>
        <w:instrText>ADDIN CSL_CITATION {"citationItems":[{"id":"ITEM-1","itemData":{"DOI":"10.4135/9781446282243","author":[{"dropping-particle":"","family":"Schreier","given":"Margrit","non-dropping-particle":"","parse-names":false,"suffix":""}],"id":"ITEM-1","issued":{"date-parts":[["2014"]]},"publisher":"SAGE Publications Ltd","publisher-place":"London","title":"The SAGE Handbook of Qualitative Data Analysis","type":"article"},"uris":["http://www.mendeley.com/documents/?uuid=2c03bfce-5235-4553-b778-631f3d5cd1a0"]}],"mendeley":{"formattedCitation":"(Schreier 2014)","plainTextFormattedCitation":"(Schreier 2014)","previouslyFormattedCitation":"(Schreier 2014)"},"properties":{"noteIndex":0},"schema":"https://github.com/citation-style-language/schema/raw/master/csl-citation.json"}</w:instrText>
      </w:r>
      <w:r w:rsidR="00CF2E51" w:rsidRPr="00A95911">
        <w:rPr>
          <w:rFonts w:cs="Times New Roman"/>
          <w:szCs w:val="24"/>
        </w:rPr>
        <w:fldChar w:fldCharType="separate"/>
      </w:r>
      <w:r w:rsidR="00CF2E51" w:rsidRPr="00A95911">
        <w:rPr>
          <w:rFonts w:cs="Times New Roman"/>
          <w:noProof/>
          <w:szCs w:val="24"/>
        </w:rPr>
        <w:t>(Schreier 2014)</w:t>
      </w:r>
      <w:r w:rsidR="00CF2E51" w:rsidRPr="00A95911">
        <w:rPr>
          <w:rFonts w:cs="Times New Roman"/>
          <w:szCs w:val="24"/>
        </w:rPr>
        <w:fldChar w:fldCharType="end"/>
      </w:r>
      <w:r w:rsidRPr="00C9099C">
        <w:rPr>
          <w:rFonts w:cs="Times New Roman"/>
          <w:szCs w:val="24"/>
        </w:rPr>
        <w:t>. En este trabajo las categorías no están del todo determinadas por los conceptos, si no por el material bajo análisis, del cual emergen algunas subcategorías, aunque gran parte de los códigos</w:t>
      </w:r>
      <w:r w:rsidR="008445A3">
        <w:rPr>
          <w:rFonts w:cs="Times New Roman"/>
          <w:szCs w:val="24"/>
        </w:rPr>
        <w:t xml:space="preserve"> y reglas de codificación</w:t>
      </w:r>
      <w:r w:rsidRPr="00C9099C">
        <w:rPr>
          <w:rFonts w:cs="Times New Roman"/>
          <w:szCs w:val="24"/>
        </w:rPr>
        <w:t xml:space="preserve"> tienen fundamento en la literatura presentada.</w:t>
      </w:r>
    </w:p>
    <w:p w14:paraId="23D25C4F" w14:textId="533FA77B" w:rsidR="00C9099C" w:rsidRDefault="00C9099C" w:rsidP="006D2DBE">
      <w:pPr>
        <w:spacing w:line="240" w:lineRule="auto"/>
        <w:rPr>
          <w:rFonts w:cs="Times New Roman"/>
          <w:szCs w:val="24"/>
        </w:rPr>
      </w:pPr>
      <w:r w:rsidRPr="00C9099C">
        <w:rPr>
          <w:rFonts w:cs="Times New Roman"/>
          <w:szCs w:val="24"/>
        </w:rPr>
        <w:t xml:space="preserve">Los artículos se organizaron en una matriz de Excel© para cada estrategia de búsqueda. Posteriormente se organizaron los títulos en orden alfabético y se eliminaron los duplicados. Las unidades de análisis, es decir, las declaraciones publicadas en diarios en medios electrónicos de noticias, fueron segmentados por criterios temáticos emergentes y a partir de ello se crearon las categorías de manera inductiva mediante el software </w:t>
      </w:r>
      <w:proofErr w:type="spellStart"/>
      <w:r w:rsidRPr="00C9099C">
        <w:rPr>
          <w:rFonts w:cs="Times New Roman"/>
          <w:szCs w:val="24"/>
        </w:rPr>
        <w:t>Nvivo</w:t>
      </w:r>
      <w:proofErr w:type="spellEnd"/>
      <w:r w:rsidRPr="00C9099C">
        <w:rPr>
          <w:rFonts w:cs="Times New Roman"/>
          <w:szCs w:val="24"/>
        </w:rPr>
        <w:t xml:space="preserve"> (v.11), en base a similaridad de significado y connotación, conforme a criterios de exhaustividad y exclusividad de los datos en marcos</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{"citationItems":[{"id":"ITEM-1","itemData":{"DOI":"10.1016/j.socscimed.2020.113215","ISSN":"1873-5347 (Electronic)","PMID":"32889504","abstract":"There is a causal link between the consumption of ultra-processed foods and a  range of non-communicable diseases (NCDs) such as obesity, type 2 diabetes and cancers. Despite this, no country in the world has reduced its obesity levels because the factors that drive obesity continue unchanged (Swinburn et al., 2019). One systemic driver is corporate influence on the public policy process. The world's largest food and beverage manufacturers engage public relations firms to create a narrative which speaks of corporate cooperation with public health policy, while simultaneously influencing policy making in ways that are favorable to industry. We sought to examine framing as a key strategy in the corporate political activity of food industry actors attempting to resist the introduction of a public health policy. Specifically, we analyzed industry submissions for an Irish government consultation for the proposed introduction of a sugar sweetened beverage (SSB) tax in 2018. We describe how a food product like sugar is framed positively by corporate actors who rely on it as their principal ingredient. Sugar is a good focus from a framing perspective because it is currently undergoing recalibration in the public's imagination - from a benign, nourishing treat in its heyday to a dangerous 'substance' that can contribute to premature mortality. Framing is already well established as a corporate political activity (CPA) to influence public policy (Shelton et al., 2017; Nixon et al., 2015; Darmon et al., 2008). Our research expands this understanding by uncovering four underlying mechanisms used to generate frames - dichotomizing, contesting, equating and cropping. Recognizing these mechanisms could help policy makers, public health professionals and business ethicists to deconstruct any given frame that becomes dominant in corporate discourse, such as 'personal responsibility', 'inadequate exercise', 'freedom' and so on. These mechanisms may also apply to other industries such as alcohol, fossil fuels and tobacco, where hazards from interference in public health strategies are a concern.","author":[{"dropping-particle":"","family":"Campbell","given":"Norah","non-dropping-particle":"","parse-names":false,"suffix":""},{"dropping-particle":"","family":"Mialon","given":"Melissa","non-dropping-particle":"","parse-names":false,"suffix":""},{"dropping-particle":"","family":"Reilly","given":"Kathryn","non-dropping-particle":"","parse-names":false,"suffix":""},{"dropping-particle":"","family":"Browne","given":"Sarah","non-dropping-particle":"","parse-names":false,"suffix":""},{"dropping-particle":"","family":"Finucane","given":"Francis M","non-dropping-particle":"","parse-names":false,"suffix":""}],"container-title":"Social science &amp; medicine (1982)","id":"ITEM-1","issued":{"date-parts":[["2020","11"]]},"language":"eng","page":"113215","publisher-place":"England","title":"How are frames generated? Insights from the industry lobby against the sugar tax  in Ireland.","type":"article-journal","volume":"264"},"uris":["http://www.mendeley.com/documents/?uuid=9b691dea-3f03-4e77-84f5-2be962df6ee8"]}],"mendeley":{"formattedCitation":"(Campbell et al. 2020)","plainTextFormattedCitation":"(Campbell et al. 2020)","previouslyFormattedCitation":"(Campbell et al. 2020)"},"properties":{"noteIndex":0},"schema":"https://github.com/citation-style-language/schema/raw/master/csl-citation.json"}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(Campbell et al. 2020)</w:t>
      </w:r>
      <w:r w:rsidR="00CF2E51" w:rsidRPr="00A95911">
        <w:rPr>
          <w:rFonts w:cs="Times New Roman"/>
          <w:szCs w:val="24"/>
        </w:rPr>
        <w:fldChar w:fldCharType="end"/>
      </w:r>
      <w:r w:rsidRPr="00C9099C">
        <w:rPr>
          <w:rFonts w:cs="Times New Roman"/>
          <w:szCs w:val="24"/>
        </w:rPr>
        <w:t xml:space="preserve">. Posteriormente, se establecieron las temáticas principales por relaciones entre las </w:t>
      </w:r>
      <w:r w:rsidRPr="00C9099C">
        <w:rPr>
          <w:rFonts w:cs="Times New Roman"/>
          <w:szCs w:val="24"/>
        </w:rPr>
        <w:lastRenderedPageBreak/>
        <w:t>categorías, tales como convergencias/divergencias o recurrencias/particularidades, en base a la distinción por coalición (gobierno vs. oposición)</w:t>
      </w:r>
      <w:r w:rsidR="00CF2E51" w:rsidRPr="00A95911">
        <w:rPr>
          <w:rFonts w:cs="Times New Roman"/>
          <w:szCs w:val="24"/>
        </w:rPr>
        <w:t xml:space="preserve"> </w:t>
      </w:r>
      <w:r w:rsidR="00CF2E51" w:rsidRPr="00A95911">
        <w:rPr>
          <w:rFonts w:cs="Times New Roman"/>
          <w:szCs w:val="24"/>
        </w:rPr>
        <w:fldChar w:fldCharType="begin" w:fldLock="1"/>
      </w:r>
      <w:r w:rsidR="00D82AC3">
        <w:rPr>
          <w:rFonts w:cs="Times New Roman"/>
          <w:szCs w:val="24"/>
        </w:rPr>
        <w:instrText>ADDIN CSL_CITATION {"citationItems":[{"id":"ITEM-1","itemData":{"DOI":"10.46743/2160-3715/2014.1028","author":[{"dropping-particle":"","family":"Cho","given":"Ji","non-dropping-particle":"","parse-names":false,"suffix":""},{"dropping-particle":"","family":"Lee","given":"Eun-Hee","non-dropping-particle":"","parse-names":false,"suffix":""}],"container-title":"The Qualitative Report","id":"ITEM-1","issued":{"date-parts":[["2014"]]},"publisher":"Nova Southeastern University","title":"Reducing Confusion about Grounded Theory and Qualitative Content Analysis: Similarities and Differences","type":"article-journal"},"uris":["http://www.mendeley.com/documents/?uuid=68427de2-34ae-41fa-baca-715362479e8f"]}],"mendeley":{"formattedCitation":"(Cho y Lee 2014)","plainTextFormattedCitation":"(Cho y Lee 2014)","previouslyFormattedCitation":"(Cho y Lee 2014)"},"properties":{"noteIndex":0},"schema":"https://github.com/citation-style-language/schema/raw/master/csl-citation.json"}</w:instrText>
      </w:r>
      <w:r w:rsidR="00CF2E51" w:rsidRPr="00A95911">
        <w:rPr>
          <w:rFonts w:cs="Times New Roman"/>
          <w:szCs w:val="24"/>
        </w:rPr>
        <w:fldChar w:fldCharType="separate"/>
      </w:r>
      <w:r w:rsidR="00727E52" w:rsidRPr="00727E52">
        <w:rPr>
          <w:rFonts w:cs="Times New Roman"/>
          <w:noProof/>
          <w:szCs w:val="24"/>
        </w:rPr>
        <w:t>(Cho y Lee 2014)</w:t>
      </w:r>
      <w:r w:rsidR="00CF2E51" w:rsidRPr="00A95911">
        <w:rPr>
          <w:rFonts w:cs="Times New Roman"/>
          <w:szCs w:val="24"/>
        </w:rPr>
        <w:fldChar w:fldCharType="end"/>
      </w:r>
      <w:r w:rsidRPr="00C9099C">
        <w:rPr>
          <w:rFonts w:cs="Times New Roman"/>
          <w:szCs w:val="24"/>
        </w:rPr>
        <w:t>.</w:t>
      </w:r>
    </w:p>
    <w:p w14:paraId="582C0F46" w14:textId="77777777" w:rsidR="009518B1" w:rsidRPr="00CF2E51" w:rsidRDefault="009518B1" w:rsidP="006D2DBE">
      <w:pPr>
        <w:pStyle w:val="Ttulo2"/>
        <w:spacing w:line="240" w:lineRule="auto"/>
      </w:pPr>
      <w:r w:rsidRPr="00CF2E51">
        <w:t>Resultados</w:t>
      </w:r>
    </w:p>
    <w:p w14:paraId="2D52E2B2" w14:textId="5BCF0450" w:rsidR="009518B1" w:rsidRPr="00CF2E51" w:rsidRDefault="00B82888" w:rsidP="006D2DBE">
      <w:pPr>
        <w:spacing w:line="240" w:lineRule="auto"/>
        <w:rPr>
          <w:rFonts w:cs="Times New Roman"/>
        </w:rPr>
      </w:pPr>
      <w:r w:rsidRPr="00B82888">
        <w:rPr>
          <w:rFonts w:cs="Times New Roman"/>
        </w:rPr>
        <w:t xml:space="preserve">En la búsqueda inicial se encontraron </w:t>
      </w:r>
      <w:r>
        <w:rPr>
          <w:rFonts w:cs="Times New Roman"/>
        </w:rPr>
        <w:t>234</w:t>
      </w:r>
      <w:r w:rsidRPr="00B82888">
        <w:rPr>
          <w:rFonts w:cs="Times New Roman"/>
        </w:rPr>
        <w:t xml:space="preserve"> artículos, de los que se eliminaron </w:t>
      </w:r>
      <w:r>
        <w:rPr>
          <w:rFonts w:cs="Times New Roman"/>
        </w:rPr>
        <w:t>109</w:t>
      </w:r>
      <w:r w:rsidRPr="00B82888">
        <w:rPr>
          <w:rFonts w:cs="Times New Roman"/>
        </w:rPr>
        <w:t xml:space="preserve"> después de filtrar por la aparición </w:t>
      </w:r>
      <w:r>
        <w:rPr>
          <w:rFonts w:cs="Times New Roman"/>
        </w:rPr>
        <w:t>de fuentes duplicadas</w:t>
      </w:r>
      <w:r w:rsidRPr="00B82888">
        <w:rPr>
          <w:rFonts w:cs="Times New Roman"/>
        </w:rPr>
        <w:t xml:space="preserve">. De los </w:t>
      </w:r>
      <w:r>
        <w:rPr>
          <w:rFonts w:cs="Times New Roman"/>
        </w:rPr>
        <w:t>125</w:t>
      </w:r>
      <w:r w:rsidRPr="00B82888">
        <w:rPr>
          <w:rFonts w:cs="Times New Roman"/>
        </w:rPr>
        <w:t xml:space="preserve"> artículos </w:t>
      </w:r>
      <w:r w:rsidR="00D55CA1">
        <w:rPr>
          <w:rFonts w:cs="Times New Roman"/>
        </w:rPr>
        <w:t>restantes,</w:t>
      </w:r>
      <w:r w:rsidRPr="00B82888">
        <w:rPr>
          <w:rFonts w:cs="Times New Roman"/>
        </w:rPr>
        <w:t xml:space="preserve"> se eliminaron</w:t>
      </w:r>
      <w:r>
        <w:rPr>
          <w:rFonts w:cs="Times New Roman"/>
        </w:rPr>
        <w:t xml:space="preserve"> 33 de acuerdo a los criterios de exclusión</w:t>
      </w:r>
      <w:r w:rsidRPr="00B82888">
        <w:rPr>
          <w:rFonts w:cs="Times New Roman"/>
        </w:rPr>
        <w:t xml:space="preserve"> (</w:t>
      </w:r>
      <w:r>
        <w:rPr>
          <w:rFonts w:cs="Times New Roman"/>
        </w:rPr>
        <w:t xml:space="preserve">Ver </w:t>
      </w:r>
      <w:r w:rsidRPr="00B82888">
        <w:rPr>
          <w:rFonts w:cs="Times New Roman"/>
        </w:rPr>
        <w:t>Fig</w:t>
      </w:r>
      <w:r>
        <w:rPr>
          <w:rFonts w:cs="Times New Roman"/>
        </w:rPr>
        <w:t>ura</w:t>
      </w:r>
      <w:r w:rsidRPr="00B82888">
        <w:rPr>
          <w:rFonts w:cs="Times New Roman"/>
        </w:rPr>
        <w:t xml:space="preserve"> 1).</w:t>
      </w:r>
    </w:p>
    <w:p w14:paraId="5FCFA094" w14:textId="3FAD74E2" w:rsidR="002F0775" w:rsidRPr="00A95911" w:rsidRDefault="002F0775" w:rsidP="0066720F">
      <w:pPr>
        <w:spacing w:line="240" w:lineRule="auto"/>
        <w:ind w:firstLine="708"/>
        <w:rPr>
          <w:rFonts w:cs="Times New Roman"/>
          <w:szCs w:val="24"/>
        </w:rPr>
      </w:pPr>
      <w:r w:rsidRPr="00A95911">
        <w:rPr>
          <w:rFonts w:cs="Times New Roman"/>
          <w:szCs w:val="24"/>
        </w:rPr>
        <w:t xml:space="preserve">Figura 1. </w:t>
      </w:r>
      <w:r w:rsidR="007B3256" w:rsidRPr="00A95911">
        <w:rPr>
          <w:rFonts w:cs="Times New Roman"/>
          <w:szCs w:val="24"/>
        </w:rPr>
        <w:t>Diagrama de flujo, selección de observaciones</w:t>
      </w:r>
    </w:p>
    <w:p w14:paraId="3B502668" w14:textId="7EB6CE6B" w:rsidR="009518B1" w:rsidRDefault="00D572F1" w:rsidP="005147F3">
      <w:pPr>
        <w:spacing w:line="240" w:lineRule="auto"/>
        <w:jc w:val="center"/>
      </w:pPr>
      <w:r>
        <w:rPr>
          <w:noProof/>
        </w:rPr>
        <w:drawing>
          <wp:inline distT="0" distB="0" distL="0" distR="0" wp14:anchorId="25D8CE94" wp14:editId="0788985B">
            <wp:extent cx="3200400" cy="42005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858" t="4735" r="23116" b="17923"/>
                    <a:stretch/>
                  </pic:blipFill>
                  <pic:spPr bwMode="auto">
                    <a:xfrm>
                      <a:off x="0" y="0"/>
                      <a:ext cx="3200400" cy="4200525"/>
                    </a:xfrm>
                    <a:prstGeom prst="rect">
                      <a:avLst/>
                    </a:prstGeom>
                    <a:noFill/>
                    <a:ln>
                      <a:noFill/>
                    </a:ln>
                    <a:extLst>
                      <a:ext uri="{53640926-AAD7-44D8-BBD7-CCE9431645EC}">
                        <a14:shadowObscured xmlns:a14="http://schemas.microsoft.com/office/drawing/2010/main"/>
                      </a:ext>
                    </a:extLst>
                  </pic:spPr>
                </pic:pic>
              </a:graphicData>
            </a:graphic>
          </wp:inline>
        </w:drawing>
      </w:r>
    </w:p>
    <w:p w14:paraId="57B69EC7" w14:textId="7A5C0BC9" w:rsidR="006D2DBE" w:rsidRDefault="006D2DBE" w:rsidP="006D2DBE">
      <w:pPr>
        <w:pStyle w:val="NormalWeb"/>
        <w:spacing w:before="240" w:beforeAutospacing="0" w:after="0" w:afterAutospacing="0"/>
        <w:rPr>
          <w:color w:val="000000"/>
        </w:rPr>
      </w:pPr>
      <w:commentRangeStart w:id="11"/>
      <w:r w:rsidRPr="006D2DBE">
        <w:rPr>
          <w:color w:val="000000"/>
        </w:rPr>
        <w:t>A</w:t>
      </w:r>
      <w:commentRangeEnd w:id="11"/>
      <w:r w:rsidR="00E040EC">
        <w:rPr>
          <w:rStyle w:val="Refdecomentario"/>
          <w:rFonts w:eastAsiaTheme="minorHAnsi" w:cstheme="minorBidi"/>
          <w:lang w:eastAsia="en-US"/>
        </w:rPr>
        <w:commentReference w:id="11"/>
      </w:r>
      <w:r w:rsidRPr="006D2DBE">
        <w:rPr>
          <w:color w:val="000000"/>
        </w:rPr>
        <w:t xml:space="preserve"> partir del contenido de </w:t>
      </w:r>
      <w:r>
        <w:rPr>
          <w:color w:val="000000"/>
        </w:rPr>
        <w:t xml:space="preserve">los artículos </w:t>
      </w:r>
      <w:r w:rsidRPr="006D2DBE">
        <w:rPr>
          <w:color w:val="000000"/>
        </w:rPr>
        <w:t xml:space="preserve">se construyó un marco de codificación con las principales categorías y subcategorías, intentando responder a los objetivos presentados más arriba. Si bien existió dificultad para subsumir las categorías dado que se superponen en gran parte de los fragmentos, considerando su corta extensión, se establecieron </w:t>
      </w:r>
      <w:r>
        <w:rPr>
          <w:color w:val="000000"/>
        </w:rPr>
        <w:t>XX</w:t>
      </w:r>
      <w:r w:rsidRPr="006D2DBE">
        <w:rPr>
          <w:color w:val="000000"/>
        </w:rPr>
        <w:t xml:space="preserve"> categorías principales: </w:t>
      </w:r>
    </w:p>
    <w:p w14:paraId="383D23C4" w14:textId="264BF39C" w:rsidR="00F3114E" w:rsidRDefault="00F3114E" w:rsidP="006D2DBE">
      <w:pPr>
        <w:pStyle w:val="NormalWeb"/>
        <w:spacing w:before="240" w:beforeAutospacing="0" w:after="0" w:afterAutospacing="0"/>
        <w:rPr>
          <w:color w:val="000000"/>
        </w:rPr>
      </w:pPr>
    </w:p>
    <w:p w14:paraId="4810FA38" w14:textId="77777777" w:rsidR="00F3114E" w:rsidRDefault="00F3114E" w:rsidP="00F3114E">
      <w:r>
        <w:t>Marcos heurísticos</w:t>
      </w:r>
    </w:p>
    <w:p w14:paraId="4E5C1A26" w14:textId="5BF2164D" w:rsidR="00F3114E" w:rsidRDefault="00F3114E" w:rsidP="00F3114E">
      <w:pPr>
        <w:pStyle w:val="Prrafodelista"/>
        <w:numPr>
          <w:ilvl w:val="0"/>
          <w:numId w:val="8"/>
        </w:numPr>
      </w:pPr>
      <w:r>
        <w:t xml:space="preserve">Palm: visiones del consumo </w:t>
      </w:r>
      <w:r w:rsidRPr="00A873BB">
        <w:rPr>
          <w:rFonts w:cs="Times New Roman"/>
          <w:szCs w:val="24"/>
        </w:rPr>
        <w:sym w:font="Wingdings" w:char="F0E0"/>
      </w:r>
      <w:r>
        <w:rPr>
          <w:rFonts w:cs="Times New Roman"/>
          <w:szCs w:val="24"/>
        </w:rPr>
        <w:t xml:space="preserve"> P_</w:t>
      </w:r>
      <w:r w:rsidR="00090BB3">
        <w:rPr>
          <w:rFonts w:cs="Times New Roman"/>
          <w:szCs w:val="24"/>
        </w:rPr>
        <w:t xml:space="preserve"> </w:t>
      </w:r>
      <w:r w:rsidR="00090BB3" w:rsidRPr="00090BB3">
        <w:rPr>
          <w:rFonts w:cs="Times New Roman"/>
          <w:szCs w:val="24"/>
        </w:rPr>
        <w:sym w:font="Wingdings" w:char="F0E0"/>
      </w:r>
      <w:r w:rsidR="00090BB3">
        <w:rPr>
          <w:rFonts w:cs="Times New Roman"/>
          <w:szCs w:val="24"/>
        </w:rPr>
        <w:t xml:space="preserve"> ocupar cuando refiera a parlamentarios/objetivos de la política</w:t>
      </w:r>
    </w:p>
    <w:p w14:paraId="3E63FB8C" w14:textId="77777777" w:rsidR="00F3114E" w:rsidRDefault="00F3114E" w:rsidP="00F3114E">
      <w:pPr>
        <w:pStyle w:val="Prrafodelista"/>
        <w:numPr>
          <w:ilvl w:val="1"/>
          <w:numId w:val="8"/>
        </w:numPr>
      </w:pPr>
      <w:r>
        <w:t>Moral: falta de carácter, abstinencia virtud</w:t>
      </w:r>
    </w:p>
    <w:p w14:paraId="1CB5F83D" w14:textId="77777777" w:rsidR="00F3114E" w:rsidRDefault="00F3114E" w:rsidP="00F3114E">
      <w:pPr>
        <w:pStyle w:val="Prrafodelista"/>
        <w:numPr>
          <w:ilvl w:val="1"/>
          <w:numId w:val="8"/>
        </w:numPr>
      </w:pPr>
      <w:r>
        <w:t>Médico de enfermedad: algo de moralización, problema del individuo</w:t>
      </w:r>
    </w:p>
    <w:p w14:paraId="0C00EF7D" w14:textId="77777777" w:rsidR="00F3114E" w:rsidRDefault="00F3114E" w:rsidP="00F3114E">
      <w:pPr>
        <w:pStyle w:val="Prrafodelista"/>
        <w:numPr>
          <w:ilvl w:val="1"/>
          <w:numId w:val="8"/>
        </w:numPr>
      </w:pPr>
      <w:r>
        <w:lastRenderedPageBreak/>
        <w:t>Racionalista: capitalista, dependencia es un fallo en autocontrol</w:t>
      </w:r>
    </w:p>
    <w:p w14:paraId="1AF05226" w14:textId="77777777" w:rsidR="00F3114E" w:rsidRDefault="00F3114E" w:rsidP="00F3114E">
      <w:pPr>
        <w:pStyle w:val="Prrafodelista"/>
        <w:numPr>
          <w:ilvl w:val="1"/>
          <w:numId w:val="8"/>
        </w:numPr>
      </w:pPr>
      <w:r>
        <w:t>Salud Pública: foco no en el usuario, sino en el entorno y los problemas de consumir, foco colectivo</w:t>
      </w:r>
    </w:p>
    <w:p w14:paraId="108C3714" w14:textId="77777777" w:rsidR="00F3114E" w:rsidRDefault="00F3114E" w:rsidP="00F3114E">
      <w:pPr>
        <w:pStyle w:val="Prrafodelista"/>
        <w:numPr>
          <w:ilvl w:val="1"/>
          <w:numId w:val="8"/>
        </w:numPr>
      </w:pPr>
      <w:r>
        <w:t>Modelo social: dependencia como consecuencia de miseria e injusticia social, problema social</w:t>
      </w:r>
    </w:p>
    <w:p w14:paraId="06A33711" w14:textId="5A5C4BAC" w:rsidR="00090BB3" w:rsidRDefault="00F3114E" w:rsidP="00090BB3">
      <w:pPr>
        <w:pStyle w:val="Prrafodelista"/>
        <w:numPr>
          <w:ilvl w:val="0"/>
          <w:numId w:val="8"/>
        </w:numPr>
      </w:pPr>
      <w:r>
        <w:t xml:space="preserve">Schneider &amp; Ingram </w:t>
      </w:r>
      <w:r>
        <w:sym w:font="Wingdings" w:char="F0E0"/>
      </w:r>
      <w:r>
        <w:t xml:space="preserve"> visiones autores </w:t>
      </w:r>
      <w:r>
        <w:sym w:font="Wingdings" w:char="F0E0"/>
      </w:r>
      <w:r>
        <w:t xml:space="preserve"> SI_</w:t>
      </w:r>
      <w:r w:rsidR="00090BB3">
        <w:t xml:space="preserve"> </w:t>
      </w:r>
      <w:r w:rsidR="00090BB3">
        <w:sym w:font="Wingdings" w:char="F0E0"/>
      </w:r>
      <w:r w:rsidR="00090BB3" w:rsidRPr="00090BB3">
        <w:rPr>
          <w:rFonts w:cs="Times New Roman"/>
          <w:szCs w:val="24"/>
        </w:rPr>
        <w:t xml:space="preserve"> </w:t>
      </w:r>
      <w:r w:rsidR="00090BB3">
        <w:rPr>
          <w:rFonts w:cs="Times New Roman"/>
          <w:szCs w:val="24"/>
        </w:rPr>
        <w:t>ocupar cuando refiera a parlamentarios/</w:t>
      </w:r>
      <w:r w:rsidR="00090BB3">
        <w:rPr>
          <w:rFonts w:cs="Times New Roman"/>
          <w:szCs w:val="24"/>
        </w:rPr>
        <w:t xml:space="preserve">objetivos </w:t>
      </w:r>
      <w:r w:rsidR="00090BB3">
        <w:rPr>
          <w:rFonts w:cs="Times New Roman"/>
          <w:szCs w:val="24"/>
        </w:rPr>
        <w:t>de la política</w:t>
      </w:r>
    </w:p>
    <w:p w14:paraId="4E20D909" w14:textId="77777777" w:rsidR="00F3114E" w:rsidRDefault="00F3114E" w:rsidP="00F3114E">
      <w:pPr>
        <w:pStyle w:val="Prrafodelista"/>
        <w:numPr>
          <w:ilvl w:val="1"/>
          <w:numId w:val="8"/>
        </w:numPr>
      </w:pPr>
      <w:r>
        <w:t>Aventajados: poderosos y positivos</w:t>
      </w:r>
    </w:p>
    <w:p w14:paraId="5D32FD2B" w14:textId="77777777" w:rsidR="00F3114E" w:rsidRDefault="00F3114E" w:rsidP="00F3114E">
      <w:pPr>
        <w:pStyle w:val="Prrafodelista"/>
        <w:numPr>
          <w:ilvl w:val="1"/>
          <w:numId w:val="8"/>
        </w:numPr>
      </w:pPr>
      <w:r>
        <w:t>Contendores: poderosos y negativos</w:t>
      </w:r>
    </w:p>
    <w:p w14:paraId="08273EBB" w14:textId="77777777" w:rsidR="00F3114E" w:rsidRDefault="00F3114E" w:rsidP="00F3114E">
      <w:pPr>
        <w:pStyle w:val="Prrafodelista"/>
        <w:numPr>
          <w:ilvl w:val="1"/>
          <w:numId w:val="8"/>
        </w:numPr>
      </w:pPr>
      <w:r>
        <w:t>Dependientes: Débiles y positivos</w:t>
      </w:r>
    </w:p>
    <w:p w14:paraId="649E32D2" w14:textId="77777777" w:rsidR="00F3114E" w:rsidRDefault="00F3114E" w:rsidP="00F3114E">
      <w:pPr>
        <w:pStyle w:val="Prrafodelista"/>
        <w:numPr>
          <w:ilvl w:val="1"/>
          <w:numId w:val="8"/>
        </w:numPr>
      </w:pPr>
      <w:r>
        <w:t>Desviados: débiles y negativos</w:t>
      </w:r>
    </w:p>
    <w:p w14:paraId="2410868C" w14:textId="77777777" w:rsidR="00F3114E" w:rsidRDefault="00F3114E" w:rsidP="00F3114E">
      <w:pPr>
        <w:pStyle w:val="Prrafodelista"/>
        <w:numPr>
          <w:ilvl w:val="0"/>
          <w:numId w:val="8"/>
        </w:numPr>
      </w:pPr>
      <w:r>
        <w:t xml:space="preserve">Aspectos clave de contar historias (Stone) </w:t>
      </w:r>
      <w:r>
        <w:sym w:font="Wingdings" w:char="F0E0"/>
      </w:r>
      <w:r>
        <w:t xml:space="preserve"> S_</w:t>
      </w:r>
    </w:p>
    <w:p w14:paraId="29065DB0" w14:textId="77777777" w:rsidR="00F3114E" w:rsidRDefault="00F3114E" w:rsidP="00F3114E">
      <w:pPr>
        <w:pStyle w:val="Prrafodelista"/>
        <w:numPr>
          <w:ilvl w:val="1"/>
          <w:numId w:val="8"/>
        </w:numPr>
      </w:pPr>
      <w:r>
        <w:t>Símbolos</w:t>
      </w:r>
    </w:p>
    <w:p w14:paraId="7444DE95" w14:textId="77777777" w:rsidR="00F3114E" w:rsidRDefault="00F3114E" w:rsidP="00F3114E">
      <w:pPr>
        <w:pStyle w:val="Prrafodelista"/>
        <w:numPr>
          <w:ilvl w:val="1"/>
          <w:numId w:val="8"/>
        </w:numPr>
      </w:pPr>
      <w:r>
        <w:t>Personajes</w:t>
      </w:r>
    </w:p>
    <w:p w14:paraId="111BFC6F" w14:textId="77777777" w:rsidR="00F3114E" w:rsidRDefault="00F3114E" w:rsidP="00F3114E">
      <w:pPr>
        <w:pStyle w:val="Prrafodelista"/>
        <w:numPr>
          <w:ilvl w:val="1"/>
          <w:numId w:val="8"/>
        </w:numPr>
      </w:pPr>
      <w:r>
        <w:t>Arcos narrativos</w:t>
      </w:r>
    </w:p>
    <w:p w14:paraId="79AFDD00" w14:textId="77777777" w:rsidR="00F3114E" w:rsidRDefault="00F3114E" w:rsidP="00F3114E">
      <w:pPr>
        <w:pStyle w:val="Prrafodelista"/>
        <w:numPr>
          <w:ilvl w:val="1"/>
          <w:numId w:val="8"/>
        </w:numPr>
      </w:pPr>
      <w:r>
        <w:t>Sinécdoque</w:t>
      </w:r>
    </w:p>
    <w:p w14:paraId="6ABE4F6B" w14:textId="77777777" w:rsidR="00F3114E" w:rsidRDefault="00F3114E" w:rsidP="00F3114E">
      <w:pPr>
        <w:pStyle w:val="Prrafodelista"/>
        <w:numPr>
          <w:ilvl w:val="1"/>
          <w:numId w:val="8"/>
        </w:numPr>
      </w:pPr>
      <w:r>
        <w:t>Metáforas</w:t>
      </w:r>
    </w:p>
    <w:p w14:paraId="21F9B6FB" w14:textId="77777777" w:rsidR="00F3114E" w:rsidRDefault="00F3114E" w:rsidP="00F3114E">
      <w:pPr>
        <w:pStyle w:val="Prrafodelista"/>
        <w:numPr>
          <w:ilvl w:val="1"/>
          <w:numId w:val="8"/>
        </w:numPr>
      </w:pPr>
      <w:r>
        <w:t>Números</w:t>
      </w:r>
    </w:p>
    <w:p w14:paraId="03ED7F5F" w14:textId="77777777" w:rsidR="00F3114E" w:rsidRDefault="00F3114E" w:rsidP="00F3114E">
      <w:pPr>
        <w:pStyle w:val="Prrafodelista"/>
        <w:numPr>
          <w:ilvl w:val="1"/>
          <w:numId w:val="8"/>
        </w:numPr>
      </w:pPr>
      <w:r>
        <w:t>Asignar causalidad</w:t>
      </w:r>
    </w:p>
    <w:p w14:paraId="493C1E3A" w14:textId="77777777" w:rsidR="00F3114E" w:rsidRDefault="00F3114E" w:rsidP="00F3114E">
      <w:pPr>
        <w:pStyle w:val="Prrafodelista"/>
        <w:numPr>
          <w:ilvl w:val="1"/>
          <w:numId w:val="8"/>
        </w:numPr>
      </w:pPr>
      <w:r>
        <w:t>Estrategias causales</w:t>
      </w:r>
    </w:p>
    <w:p w14:paraId="2260722F" w14:textId="77777777" w:rsidR="00F3114E" w:rsidRDefault="00F3114E" w:rsidP="00F3114E">
      <w:pPr>
        <w:pStyle w:val="Prrafodelista"/>
        <w:numPr>
          <w:ilvl w:val="2"/>
          <w:numId w:val="8"/>
        </w:numPr>
      </w:pPr>
      <w:r>
        <w:t>Acciones: guiada o no guiada</w:t>
      </w:r>
    </w:p>
    <w:p w14:paraId="69094A1E" w14:textId="77777777" w:rsidR="00F3114E" w:rsidRDefault="00F3114E" w:rsidP="00F3114E">
      <w:pPr>
        <w:pStyle w:val="Prrafodelista"/>
        <w:numPr>
          <w:ilvl w:val="2"/>
          <w:numId w:val="8"/>
        </w:numPr>
      </w:pPr>
      <w:r>
        <w:t>Consecuencias: buscadas o no buscados</w:t>
      </w:r>
    </w:p>
    <w:p w14:paraId="246D40F5" w14:textId="77777777" w:rsidR="00F3114E" w:rsidRPr="00A873BB" w:rsidRDefault="00F3114E" w:rsidP="00F3114E">
      <w:pPr>
        <w:pStyle w:val="Prrafodelista"/>
        <w:numPr>
          <w:ilvl w:val="0"/>
          <w:numId w:val="8"/>
        </w:numPr>
      </w:pPr>
      <w:r>
        <w:rPr>
          <w:rFonts w:cs="Times New Roman"/>
          <w:szCs w:val="24"/>
        </w:rPr>
        <w:t xml:space="preserve">Nicholls y Greenaway: dimensiones de debate </w:t>
      </w:r>
      <w:r w:rsidRPr="00A873BB">
        <w:rPr>
          <w:rFonts w:cs="Times New Roman"/>
          <w:szCs w:val="24"/>
        </w:rPr>
        <w:sym w:font="Wingdings" w:char="F0E0"/>
      </w:r>
      <w:r>
        <w:rPr>
          <w:rFonts w:cs="Times New Roman"/>
          <w:szCs w:val="24"/>
        </w:rPr>
        <w:t xml:space="preserve"> NG_</w:t>
      </w:r>
    </w:p>
    <w:p w14:paraId="0E61CB9A" w14:textId="77777777" w:rsidR="00F3114E" w:rsidRPr="00A873BB" w:rsidRDefault="00F3114E" w:rsidP="00F3114E">
      <w:pPr>
        <w:pStyle w:val="Prrafodelista"/>
        <w:numPr>
          <w:ilvl w:val="1"/>
          <w:numId w:val="8"/>
        </w:numPr>
      </w:pPr>
      <w:r w:rsidRPr="00B74BCD">
        <w:rPr>
          <w:rFonts w:cs="Times New Roman"/>
          <w:szCs w:val="24"/>
        </w:rPr>
        <w:t>definicional (</w:t>
      </w:r>
      <w:r>
        <w:rPr>
          <w:rFonts w:cs="Times New Roman"/>
          <w:szCs w:val="24"/>
        </w:rPr>
        <w:t xml:space="preserve">entendido como el </w:t>
      </w:r>
      <w:r w:rsidRPr="00B74BCD">
        <w:rPr>
          <w:rFonts w:cs="Times New Roman"/>
          <w:szCs w:val="24"/>
        </w:rPr>
        <w:t xml:space="preserve">marco de salud pública, orden público, salud en términos biomédicos o desde una perspectiva industrial o comercial), </w:t>
      </w:r>
    </w:p>
    <w:p w14:paraId="58CC8931" w14:textId="77777777" w:rsidR="00F3114E" w:rsidRPr="00A873BB" w:rsidRDefault="00F3114E" w:rsidP="00F3114E">
      <w:pPr>
        <w:pStyle w:val="Prrafodelista"/>
        <w:numPr>
          <w:ilvl w:val="1"/>
          <w:numId w:val="8"/>
        </w:numPr>
      </w:pPr>
      <w:r w:rsidRPr="00B74BCD">
        <w:rPr>
          <w:rFonts w:cs="Times New Roman"/>
          <w:szCs w:val="24"/>
        </w:rPr>
        <w:t xml:space="preserve">ideológico (percepciones de libertades, derechos y obligaciones), </w:t>
      </w:r>
    </w:p>
    <w:p w14:paraId="39B80A1F" w14:textId="39DB3ECD" w:rsidR="00F3114E" w:rsidRPr="00A873BB" w:rsidRDefault="00F3114E" w:rsidP="00F3114E">
      <w:pPr>
        <w:pStyle w:val="Prrafodelista"/>
        <w:numPr>
          <w:ilvl w:val="1"/>
          <w:numId w:val="8"/>
        </w:numPr>
      </w:pPr>
      <w:r w:rsidRPr="00B74BCD">
        <w:rPr>
          <w:rFonts w:cs="Times New Roman"/>
          <w:szCs w:val="24"/>
        </w:rPr>
        <w:t xml:space="preserve">sistémico (o interinstitucional, como la coordinación y seguimiento en relación a otros departamentos) </w:t>
      </w:r>
      <w:r w:rsidR="005B75F5" w:rsidRPr="005B75F5">
        <w:rPr>
          <w:rFonts w:cs="Times New Roman"/>
          <w:szCs w:val="24"/>
        </w:rPr>
        <w:sym w:font="Wingdings" w:char="F0E0"/>
      </w:r>
      <w:r w:rsidR="005B75F5">
        <w:rPr>
          <w:rFonts w:cs="Times New Roman"/>
          <w:szCs w:val="24"/>
        </w:rPr>
        <w:t xml:space="preserve"> cuestión de procedimientos</w:t>
      </w:r>
    </w:p>
    <w:p w14:paraId="646921A0" w14:textId="211718D4" w:rsidR="00F3114E" w:rsidRPr="00ED7D89" w:rsidRDefault="00F3114E" w:rsidP="00F3114E">
      <w:pPr>
        <w:pStyle w:val="Prrafodelista"/>
        <w:numPr>
          <w:ilvl w:val="1"/>
          <w:numId w:val="8"/>
        </w:numPr>
      </w:pPr>
      <w:r>
        <w:rPr>
          <w:rFonts w:cs="Times New Roman"/>
          <w:szCs w:val="24"/>
        </w:rPr>
        <w:t>“</w:t>
      </w:r>
      <w:proofErr w:type="spellStart"/>
      <w:r w:rsidRPr="00B74BCD">
        <w:rPr>
          <w:rFonts w:cs="Times New Roman"/>
          <w:szCs w:val="24"/>
        </w:rPr>
        <w:t>evidencial</w:t>
      </w:r>
      <w:proofErr w:type="spellEnd"/>
      <w:r>
        <w:rPr>
          <w:rFonts w:cs="Times New Roman"/>
          <w:szCs w:val="24"/>
        </w:rPr>
        <w:t>”</w:t>
      </w:r>
      <w:r w:rsidRPr="00B74BCD">
        <w:rPr>
          <w:rFonts w:cs="Times New Roman"/>
          <w:szCs w:val="24"/>
        </w:rPr>
        <w:t xml:space="preserve"> (</w:t>
      </w:r>
      <w:r>
        <w:rPr>
          <w:rFonts w:cs="Times New Roman"/>
          <w:szCs w:val="24"/>
        </w:rPr>
        <w:t xml:space="preserve">es decir, </w:t>
      </w:r>
      <w:r w:rsidRPr="00B74BCD">
        <w:rPr>
          <w:rFonts w:cs="Times New Roman"/>
          <w:szCs w:val="24"/>
        </w:rPr>
        <w:t>lugar de la evidencia científica versus valores personales y políticos, pragmáticos o electorales)</w:t>
      </w:r>
      <w:r>
        <w:rPr>
          <w:rFonts w:cs="Times New Roman"/>
          <w:szCs w:val="24"/>
        </w:rPr>
        <w:t>.</w:t>
      </w:r>
    </w:p>
    <w:p w14:paraId="0E202FF8" w14:textId="1768F9D0" w:rsidR="00ED7D89" w:rsidRPr="00ED7D89" w:rsidRDefault="00ED7D89" w:rsidP="00ED7D89">
      <w:pPr>
        <w:pStyle w:val="Prrafodelista"/>
        <w:numPr>
          <w:ilvl w:val="0"/>
          <w:numId w:val="8"/>
        </w:numPr>
      </w:pPr>
      <w:r>
        <w:rPr>
          <w:rFonts w:cs="Times New Roman"/>
          <w:szCs w:val="24"/>
        </w:rPr>
        <w:t>Etapas</w:t>
      </w:r>
      <w:r w:rsidR="00FA13B4">
        <w:rPr>
          <w:rFonts w:cs="Times New Roman"/>
          <w:szCs w:val="24"/>
        </w:rPr>
        <w:t xml:space="preserve"> de las PP </w:t>
      </w:r>
      <w:proofErr w:type="spellStart"/>
      <w:r w:rsidR="00FA13B4">
        <w:rPr>
          <w:rFonts w:cs="Times New Roman"/>
          <w:szCs w:val="24"/>
        </w:rPr>
        <w:t>PP</w:t>
      </w:r>
      <w:proofErr w:type="spellEnd"/>
    </w:p>
    <w:p w14:paraId="362D90D4" w14:textId="40244EC3" w:rsidR="00FA13B4" w:rsidRDefault="00FA13B4" w:rsidP="00FA13B4">
      <w:pPr>
        <w:pStyle w:val="Prrafodelista"/>
        <w:numPr>
          <w:ilvl w:val="1"/>
          <w:numId w:val="8"/>
        </w:numPr>
      </w:pPr>
      <w:r>
        <w:t>I</w:t>
      </w:r>
      <w:r>
        <w:t>dentificación y definición de problemas</w:t>
      </w:r>
    </w:p>
    <w:p w14:paraId="0D19DC0D" w14:textId="3BACC17D" w:rsidR="00FA13B4" w:rsidRDefault="00FA13B4" w:rsidP="00FA13B4">
      <w:pPr>
        <w:pStyle w:val="Prrafodelista"/>
        <w:numPr>
          <w:ilvl w:val="1"/>
          <w:numId w:val="8"/>
        </w:numPr>
      </w:pPr>
      <w:r>
        <w:t>Formulación</w:t>
      </w:r>
    </w:p>
    <w:p w14:paraId="21E3F345" w14:textId="41CF09F4" w:rsidR="00FA13B4" w:rsidRDefault="00FA13B4" w:rsidP="00FA13B4">
      <w:pPr>
        <w:pStyle w:val="Prrafodelista"/>
        <w:numPr>
          <w:ilvl w:val="1"/>
          <w:numId w:val="8"/>
        </w:numPr>
      </w:pPr>
      <w:r>
        <w:t>Implementación</w:t>
      </w:r>
    </w:p>
    <w:p w14:paraId="560A97EA" w14:textId="5F1EF5F8" w:rsidR="00ED7D89" w:rsidRDefault="00FA13B4" w:rsidP="00FA13B4">
      <w:pPr>
        <w:pStyle w:val="Prrafodelista"/>
        <w:numPr>
          <w:ilvl w:val="1"/>
          <w:numId w:val="8"/>
        </w:numPr>
      </w:pPr>
      <w:r>
        <w:t>Evaluación</w:t>
      </w:r>
    </w:p>
    <w:p w14:paraId="303BD337" w14:textId="77777777" w:rsidR="00F3114E" w:rsidRPr="007514C9" w:rsidRDefault="00F3114E" w:rsidP="00F3114E">
      <w:pPr>
        <w:rPr>
          <w:b/>
          <w:bCs/>
        </w:rPr>
      </w:pPr>
      <w:r w:rsidRPr="007514C9">
        <w:rPr>
          <w:b/>
          <w:bCs/>
        </w:rPr>
        <w:t>CASOS</w:t>
      </w:r>
    </w:p>
    <w:p w14:paraId="0222A187" w14:textId="77777777" w:rsidR="00F3114E" w:rsidRDefault="00F3114E" w:rsidP="00F3114E">
      <w:pPr>
        <w:pStyle w:val="Prrafodelista"/>
        <w:numPr>
          <w:ilvl w:val="0"/>
          <w:numId w:val="8"/>
        </w:numPr>
      </w:pPr>
      <w:r>
        <w:t>Parlamentario vs. no-parlamentario</w:t>
      </w:r>
    </w:p>
    <w:p w14:paraId="059B6288" w14:textId="77777777" w:rsidR="00F3114E" w:rsidRDefault="00F3114E" w:rsidP="00F3114E">
      <w:pPr>
        <w:pStyle w:val="Prrafodelista"/>
        <w:numPr>
          <w:ilvl w:val="1"/>
          <w:numId w:val="8"/>
        </w:numPr>
      </w:pPr>
      <w:r>
        <w:t>Coalición de gobierno</w:t>
      </w:r>
    </w:p>
    <w:p w14:paraId="351FAE83" w14:textId="77777777" w:rsidR="00F3114E" w:rsidRDefault="00F3114E" w:rsidP="00F3114E">
      <w:pPr>
        <w:pStyle w:val="Prrafodelista"/>
        <w:numPr>
          <w:ilvl w:val="2"/>
          <w:numId w:val="8"/>
        </w:numPr>
      </w:pPr>
      <w:r>
        <w:t>Partido Acción Humanista</w:t>
      </w:r>
    </w:p>
    <w:p w14:paraId="1B769D6B" w14:textId="77777777" w:rsidR="00F3114E" w:rsidRDefault="00F3114E" w:rsidP="00F3114E">
      <w:pPr>
        <w:pStyle w:val="Prrafodelista"/>
        <w:numPr>
          <w:ilvl w:val="2"/>
          <w:numId w:val="8"/>
        </w:numPr>
      </w:pPr>
      <w:r>
        <w:t>Convergencia Social</w:t>
      </w:r>
    </w:p>
    <w:p w14:paraId="3081C131" w14:textId="77777777" w:rsidR="00F3114E" w:rsidRDefault="00F3114E" w:rsidP="00F3114E">
      <w:pPr>
        <w:pStyle w:val="Prrafodelista"/>
        <w:numPr>
          <w:ilvl w:val="2"/>
          <w:numId w:val="8"/>
        </w:numPr>
      </w:pPr>
      <w:r>
        <w:t>Comunes</w:t>
      </w:r>
    </w:p>
    <w:p w14:paraId="7CDD302E" w14:textId="77777777" w:rsidR="00F3114E" w:rsidRDefault="00F3114E" w:rsidP="00F3114E">
      <w:pPr>
        <w:pStyle w:val="Prrafodelista"/>
        <w:numPr>
          <w:ilvl w:val="2"/>
          <w:numId w:val="8"/>
        </w:numPr>
      </w:pPr>
      <w:r>
        <w:lastRenderedPageBreak/>
        <w:t>Partido Por la Democracia</w:t>
      </w:r>
    </w:p>
    <w:p w14:paraId="4C8E3FD2" w14:textId="77777777" w:rsidR="00F3114E" w:rsidRDefault="00F3114E" w:rsidP="00F3114E">
      <w:pPr>
        <w:pStyle w:val="Prrafodelista"/>
        <w:numPr>
          <w:ilvl w:val="2"/>
          <w:numId w:val="8"/>
        </w:numPr>
      </w:pPr>
      <w:r>
        <w:t>Partido Socialista de Chile</w:t>
      </w:r>
    </w:p>
    <w:p w14:paraId="08333B20" w14:textId="77777777" w:rsidR="00F3114E" w:rsidRDefault="00F3114E" w:rsidP="00F3114E">
      <w:pPr>
        <w:pStyle w:val="Prrafodelista"/>
        <w:numPr>
          <w:ilvl w:val="2"/>
          <w:numId w:val="8"/>
        </w:numPr>
      </w:pPr>
      <w:r>
        <w:t>Federación Regionalista Verde Social</w:t>
      </w:r>
    </w:p>
    <w:p w14:paraId="306FFA51" w14:textId="77777777" w:rsidR="00F3114E" w:rsidRDefault="00F3114E" w:rsidP="00F3114E">
      <w:pPr>
        <w:pStyle w:val="Prrafodelista"/>
        <w:numPr>
          <w:ilvl w:val="2"/>
          <w:numId w:val="8"/>
        </w:numPr>
      </w:pPr>
      <w:r>
        <w:t>Partido Liberal de Chile</w:t>
      </w:r>
    </w:p>
    <w:p w14:paraId="52E2B809" w14:textId="77777777" w:rsidR="00F3114E" w:rsidRDefault="00F3114E" w:rsidP="00F3114E">
      <w:pPr>
        <w:pStyle w:val="Prrafodelista"/>
        <w:numPr>
          <w:ilvl w:val="2"/>
          <w:numId w:val="8"/>
        </w:numPr>
      </w:pPr>
      <w:r>
        <w:t>Revolución Democrática</w:t>
      </w:r>
    </w:p>
    <w:p w14:paraId="5EBB1D77" w14:textId="77777777" w:rsidR="00F3114E" w:rsidRDefault="00F3114E" w:rsidP="00F3114E">
      <w:pPr>
        <w:pStyle w:val="Prrafodelista"/>
        <w:numPr>
          <w:ilvl w:val="2"/>
          <w:numId w:val="8"/>
        </w:numPr>
      </w:pPr>
      <w:r>
        <w:t>Partido Comunista de Chile</w:t>
      </w:r>
    </w:p>
    <w:p w14:paraId="4B664329" w14:textId="77777777" w:rsidR="00F3114E" w:rsidRDefault="00F3114E" w:rsidP="00F3114E">
      <w:pPr>
        <w:pStyle w:val="Prrafodelista"/>
        <w:numPr>
          <w:ilvl w:val="2"/>
          <w:numId w:val="8"/>
        </w:numPr>
      </w:pPr>
      <w:r>
        <w:t>Partido Radical de Chile</w:t>
      </w:r>
    </w:p>
    <w:p w14:paraId="2D2B4912" w14:textId="77777777" w:rsidR="00F3114E" w:rsidRDefault="00F3114E" w:rsidP="00F3114E">
      <w:pPr>
        <w:pStyle w:val="Prrafodelista"/>
        <w:numPr>
          <w:ilvl w:val="2"/>
          <w:numId w:val="8"/>
        </w:numPr>
      </w:pPr>
      <w:r>
        <w:t>IND</w:t>
      </w:r>
    </w:p>
    <w:p w14:paraId="709F14D2" w14:textId="77777777" w:rsidR="00F3114E" w:rsidRDefault="00F3114E" w:rsidP="00F3114E">
      <w:pPr>
        <w:pStyle w:val="Prrafodelista"/>
        <w:numPr>
          <w:ilvl w:val="1"/>
          <w:numId w:val="8"/>
        </w:numPr>
      </w:pPr>
      <w:r>
        <w:t>Oposición</w:t>
      </w:r>
    </w:p>
    <w:p w14:paraId="21EEC1F7" w14:textId="77777777" w:rsidR="00F3114E" w:rsidRDefault="00F3114E" w:rsidP="00F3114E">
      <w:pPr>
        <w:pStyle w:val="Prrafodelista"/>
        <w:numPr>
          <w:ilvl w:val="2"/>
          <w:numId w:val="8"/>
        </w:numPr>
      </w:pPr>
      <w:r>
        <w:t>Partido Republicano de Chile</w:t>
      </w:r>
    </w:p>
    <w:p w14:paraId="5F93D601" w14:textId="77777777" w:rsidR="00F3114E" w:rsidRDefault="00F3114E" w:rsidP="00F3114E">
      <w:pPr>
        <w:pStyle w:val="Prrafodelista"/>
        <w:numPr>
          <w:ilvl w:val="2"/>
          <w:numId w:val="8"/>
        </w:numPr>
      </w:pPr>
      <w:r>
        <w:t>Partido Demócrata Cristiano</w:t>
      </w:r>
    </w:p>
    <w:p w14:paraId="4585C3D2" w14:textId="77777777" w:rsidR="00F3114E" w:rsidRDefault="00F3114E" w:rsidP="00F3114E">
      <w:pPr>
        <w:pStyle w:val="Prrafodelista"/>
        <w:numPr>
          <w:ilvl w:val="2"/>
          <w:numId w:val="8"/>
        </w:numPr>
      </w:pPr>
      <w:r>
        <w:t>Renovación Nacional</w:t>
      </w:r>
    </w:p>
    <w:p w14:paraId="37B638DD" w14:textId="77777777" w:rsidR="00F3114E" w:rsidRDefault="00F3114E" w:rsidP="00F3114E">
      <w:pPr>
        <w:pStyle w:val="Prrafodelista"/>
        <w:numPr>
          <w:ilvl w:val="2"/>
          <w:numId w:val="8"/>
        </w:numPr>
      </w:pPr>
      <w:r>
        <w:t>Unión Demócrata Independiente</w:t>
      </w:r>
    </w:p>
    <w:p w14:paraId="64B04D80" w14:textId="77777777" w:rsidR="00F3114E" w:rsidRDefault="00F3114E" w:rsidP="00F3114E">
      <w:pPr>
        <w:pStyle w:val="Prrafodelista"/>
        <w:numPr>
          <w:ilvl w:val="2"/>
          <w:numId w:val="8"/>
        </w:numPr>
      </w:pPr>
      <w:r>
        <w:t>Evolución Política</w:t>
      </w:r>
    </w:p>
    <w:p w14:paraId="5A9A11D2" w14:textId="77777777" w:rsidR="00F3114E" w:rsidRDefault="00F3114E" w:rsidP="00F3114E">
      <w:pPr>
        <w:pStyle w:val="Prrafodelista"/>
        <w:numPr>
          <w:ilvl w:val="2"/>
          <w:numId w:val="8"/>
        </w:numPr>
      </w:pPr>
      <w:r>
        <w:t>IND</w:t>
      </w:r>
    </w:p>
    <w:p w14:paraId="4ACD7BBE" w14:textId="77777777" w:rsidR="00F3114E" w:rsidRPr="006D2DBE" w:rsidRDefault="00F3114E" w:rsidP="006D2DBE">
      <w:pPr>
        <w:pStyle w:val="NormalWeb"/>
        <w:spacing w:before="240" w:beforeAutospacing="0" w:after="0" w:afterAutospacing="0"/>
        <w:rPr>
          <w:u w:val="single"/>
        </w:rPr>
      </w:pPr>
    </w:p>
    <w:p w14:paraId="3908BBBD" w14:textId="01B4B770" w:rsidR="006D2DBE" w:rsidRDefault="00DD0A0E" w:rsidP="006D2DBE">
      <w:pPr>
        <w:spacing w:line="240" w:lineRule="auto"/>
      </w:pPr>
      <w:r>
        <w:rPr>
          <w:noProof/>
        </w:rPr>
        <w:drawing>
          <wp:inline distT="0" distB="0" distL="0" distR="0" wp14:anchorId="0CEDF990" wp14:editId="5C1074F9">
            <wp:extent cx="5612130" cy="28549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854960"/>
                    </a:xfrm>
                    <a:prstGeom prst="rect">
                      <a:avLst/>
                    </a:prstGeom>
                  </pic:spPr>
                </pic:pic>
              </a:graphicData>
            </a:graphic>
          </wp:inline>
        </w:drawing>
      </w:r>
    </w:p>
    <w:p w14:paraId="5C98A161" w14:textId="47EC064F" w:rsidR="00804BEC" w:rsidRPr="00CF2E51" w:rsidRDefault="00302464" w:rsidP="00804BEC">
      <w:pPr>
        <w:pStyle w:val="Ttulo2"/>
        <w:spacing w:line="240" w:lineRule="auto"/>
      </w:pPr>
      <w:r>
        <w:t>Discusión</w:t>
      </w:r>
    </w:p>
    <w:p w14:paraId="6C5BF2E8" w14:textId="60010C9A" w:rsidR="00804BEC" w:rsidRDefault="00804BEC" w:rsidP="00804BEC">
      <w:pPr>
        <w:spacing w:line="240" w:lineRule="auto"/>
      </w:pPr>
      <w:r>
        <w:t xml:space="preserve">Puede ser interesante para experiencias similares en otros países de la región. </w:t>
      </w:r>
    </w:p>
    <w:p w14:paraId="3379FF27" w14:textId="4E3D4DAA" w:rsidR="00804BEC" w:rsidRPr="009518B1" w:rsidRDefault="00804BEC" w:rsidP="00804BEC">
      <w:pPr>
        <w:spacing w:line="240" w:lineRule="auto"/>
      </w:pPr>
      <w:r>
        <w:t>Limitaciones: No fue posible obtener declaraciones audiovisuales ni procesarlas o transcribirlas, debido a restricciones relacionadas con recursos y temporales.</w:t>
      </w:r>
    </w:p>
    <w:p w14:paraId="4076878E" w14:textId="77777777" w:rsidR="00323345" w:rsidRDefault="00323345">
      <w:pPr>
        <w:rPr>
          <w:rFonts w:eastAsiaTheme="majorEastAsia" w:cs="Times New Roman"/>
          <w:color w:val="2F5496" w:themeColor="accent1" w:themeShade="BF"/>
          <w:sz w:val="26"/>
          <w:szCs w:val="26"/>
        </w:rPr>
      </w:pPr>
      <w:r>
        <w:br w:type="page"/>
      </w:r>
    </w:p>
    <w:p w14:paraId="0CDE390E" w14:textId="22A21E71" w:rsidR="00C9099C" w:rsidRDefault="006B27BC" w:rsidP="006D2DBE">
      <w:pPr>
        <w:pStyle w:val="Ttulo2"/>
        <w:spacing w:line="240" w:lineRule="auto"/>
      </w:pPr>
      <w:r>
        <w:lastRenderedPageBreak/>
        <w:t>Referencias</w:t>
      </w:r>
    </w:p>
    <w:p w14:paraId="50D8CD03" w14:textId="3E13266D" w:rsidR="00D82AC3" w:rsidRPr="00D82AC3" w:rsidRDefault="006B27BC" w:rsidP="00D82AC3">
      <w:pPr>
        <w:widowControl w:val="0"/>
        <w:autoSpaceDE w:val="0"/>
        <w:autoSpaceDN w:val="0"/>
        <w:adjustRightInd w:val="0"/>
        <w:spacing w:line="240" w:lineRule="auto"/>
        <w:ind w:left="480" w:hanging="480"/>
        <w:rPr>
          <w:rFonts w:cs="Times New Roman"/>
          <w:noProof/>
          <w:sz w:val="22"/>
          <w:szCs w:val="24"/>
        </w:rPr>
      </w:pPr>
      <w:r w:rsidRPr="004E1AF9">
        <w:rPr>
          <w:rFonts w:cs="Times New Roman"/>
        </w:rPr>
        <w:fldChar w:fldCharType="begin" w:fldLock="1"/>
      </w:r>
      <w:r w:rsidRPr="004E1AF9">
        <w:rPr>
          <w:rFonts w:cs="Times New Roman"/>
        </w:rPr>
        <w:instrText xml:space="preserve">ADDIN Mendeley Bibliography CSL_BIBLIOGRAPHY </w:instrText>
      </w:r>
      <w:r w:rsidRPr="004E1AF9">
        <w:rPr>
          <w:rFonts w:cs="Times New Roman"/>
        </w:rPr>
        <w:fldChar w:fldCharType="separate"/>
      </w:r>
      <w:r w:rsidR="00D82AC3" w:rsidRPr="00D82AC3">
        <w:rPr>
          <w:rFonts w:cs="Times New Roman"/>
          <w:noProof/>
          <w:sz w:val="22"/>
          <w:szCs w:val="24"/>
        </w:rPr>
        <w:t xml:space="preserve">Activa Research. 2022. </w:t>
      </w:r>
      <w:r w:rsidR="00D82AC3" w:rsidRPr="00D82AC3">
        <w:rPr>
          <w:rFonts w:cs="Times New Roman"/>
          <w:i/>
          <w:iCs/>
          <w:noProof/>
          <w:sz w:val="22"/>
          <w:szCs w:val="24"/>
        </w:rPr>
        <w:t>PULSO CIUDADANO. Percepción Contexto Económico / Evaluación de Gobierno / Evaluación Convención Constitucional / Conocimiento y evaluación Gabinete / Plebiscito de salida / Covid-19</w:t>
      </w:r>
      <w:r w:rsidR="00D82AC3" w:rsidRPr="00D82AC3">
        <w:rPr>
          <w:rFonts w:cs="Times New Roman"/>
          <w:noProof/>
          <w:sz w:val="22"/>
          <w:szCs w:val="24"/>
        </w:rPr>
        <w:t>. Santiago, Chile. https://chile.activasite.com/wp-content/uploads/2022/06/221377_Pulso-Ciudadano_Junio_Q1_0612_V2.pdf.</w:t>
      </w:r>
    </w:p>
    <w:p w14:paraId="283DD54A"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Alford, John, y Brian W Head. 2017. “Wicked and less wicked problems: a typology and a contingency framework”. </w:t>
      </w:r>
      <w:r w:rsidRPr="00D82AC3">
        <w:rPr>
          <w:rFonts w:cs="Times New Roman"/>
          <w:i/>
          <w:iCs/>
          <w:noProof/>
          <w:sz w:val="22"/>
          <w:szCs w:val="24"/>
        </w:rPr>
        <w:t>Policy and Society</w:t>
      </w:r>
      <w:r w:rsidRPr="00D82AC3">
        <w:rPr>
          <w:rFonts w:cs="Times New Roman"/>
          <w:noProof/>
          <w:sz w:val="22"/>
          <w:szCs w:val="24"/>
        </w:rPr>
        <w:t xml:space="preserve"> 36(3): 397–413. https://doi.org/10.1080/14494035.2017.1361634.</w:t>
      </w:r>
    </w:p>
    <w:p w14:paraId="672C529E"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Becoña, E. 2002. </w:t>
      </w:r>
      <w:r w:rsidRPr="00D82AC3">
        <w:rPr>
          <w:rFonts w:cs="Times New Roman"/>
          <w:i/>
          <w:iCs/>
          <w:noProof/>
          <w:sz w:val="22"/>
          <w:szCs w:val="24"/>
        </w:rPr>
        <w:t>Bases científicas de la prevención de las drogodependencias</w:t>
      </w:r>
      <w:r w:rsidRPr="00D82AC3">
        <w:rPr>
          <w:rFonts w:cs="Times New Roman"/>
          <w:noProof/>
          <w:sz w:val="22"/>
          <w:szCs w:val="24"/>
        </w:rPr>
        <w:t>. Madrid, España: Delegación del Gobierno para el Plan Nacional sobre Drogas. Ministerio del Interior de España. https://sgmd.nute.ufsc.br/content/sgmd-resources-conselheiros/ebook/medias/pdf/bases-cientificas-de-la prevencion-BECONA.pdf.</w:t>
      </w:r>
    </w:p>
    <w:p w14:paraId="2A6A7654"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Birkland, Thomas A. 2019. “Conditions and Problems”. En </w:t>
      </w:r>
      <w:r w:rsidRPr="00D82AC3">
        <w:rPr>
          <w:rFonts w:cs="Times New Roman"/>
          <w:i/>
          <w:iCs/>
          <w:noProof/>
          <w:sz w:val="22"/>
          <w:szCs w:val="24"/>
        </w:rPr>
        <w:t>An Introduction to the Policy Process</w:t>
      </w:r>
      <w:r w:rsidRPr="00D82AC3">
        <w:rPr>
          <w:rFonts w:cs="Times New Roman"/>
          <w:noProof/>
          <w:sz w:val="22"/>
          <w:szCs w:val="24"/>
        </w:rPr>
        <w:t>, Routledge. https://doi.org/10.4324/9781315292335.</w:t>
      </w:r>
    </w:p>
    <w:p w14:paraId="514A42D1"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Bossinakis, Charisa. 2022. “People urge UK Prime Minister candidate to drug test politicians after saying ‘drugs are horrific’”. </w:t>
      </w:r>
      <w:r w:rsidRPr="00D82AC3">
        <w:rPr>
          <w:rFonts w:cs="Times New Roman"/>
          <w:i/>
          <w:iCs/>
          <w:noProof/>
          <w:sz w:val="22"/>
          <w:szCs w:val="24"/>
        </w:rPr>
        <w:t>LAD Bible,</w:t>
      </w:r>
      <w:r w:rsidRPr="00D82AC3">
        <w:rPr>
          <w:rFonts w:cs="Times New Roman"/>
          <w:noProof/>
          <w:sz w:val="22"/>
          <w:szCs w:val="24"/>
        </w:rPr>
        <w:t>. https://www.ladbible.com/news/uk-pm-candidate-rishi-sunak-slammed-for-calling-drugs-horrific-20220812.</w:t>
      </w:r>
    </w:p>
    <w:p w14:paraId="28F21EA6"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Campbell, Norah et al. 2020. “How Are Frames Generated? Insights from the Industry Lobby against the Sugar Tax  in Ireland.” </w:t>
      </w:r>
      <w:r w:rsidRPr="00D82AC3">
        <w:rPr>
          <w:rFonts w:cs="Times New Roman"/>
          <w:i/>
          <w:iCs/>
          <w:noProof/>
          <w:sz w:val="22"/>
          <w:szCs w:val="24"/>
        </w:rPr>
        <w:t>Social science &amp; medicine (1982)</w:t>
      </w:r>
      <w:r w:rsidRPr="00D82AC3">
        <w:rPr>
          <w:rFonts w:cs="Times New Roman"/>
          <w:noProof/>
          <w:sz w:val="22"/>
          <w:szCs w:val="24"/>
        </w:rPr>
        <w:t xml:space="preserve"> 264: 113215.</w:t>
      </w:r>
    </w:p>
    <w:p w14:paraId="6B8E8E29"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Cavallo, A. 1998. </w:t>
      </w:r>
      <w:r w:rsidRPr="00D82AC3">
        <w:rPr>
          <w:rFonts w:cs="Times New Roman"/>
          <w:i/>
          <w:iCs/>
          <w:noProof/>
          <w:sz w:val="22"/>
          <w:szCs w:val="24"/>
        </w:rPr>
        <w:t>La historia oculta de la transición: Chile 1990-1998</w:t>
      </w:r>
      <w:r w:rsidRPr="00D82AC3">
        <w:rPr>
          <w:rFonts w:cs="Times New Roman"/>
          <w:noProof/>
          <w:sz w:val="22"/>
          <w:szCs w:val="24"/>
        </w:rPr>
        <w:t>. Grijalbo. https://books.google.cl/books?id=bpkTAQAAIAAJ.</w:t>
      </w:r>
    </w:p>
    <w:p w14:paraId="56F09C27"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Cho, Ji, y Eun-Hee Lee. 2014. “Reducing Confusion about Grounded Theory and Qualitative Content Analysis: Similarities and Differences”. </w:t>
      </w:r>
      <w:r w:rsidRPr="00D82AC3">
        <w:rPr>
          <w:rFonts w:cs="Times New Roman"/>
          <w:i/>
          <w:iCs/>
          <w:noProof/>
          <w:sz w:val="22"/>
          <w:szCs w:val="24"/>
        </w:rPr>
        <w:t>The Qualitative Report</w:t>
      </w:r>
      <w:r w:rsidRPr="00D82AC3">
        <w:rPr>
          <w:rFonts w:cs="Times New Roman"/>
          <w:noProof/>
          <w:sz w:val="22"/>
          <w:szCs w:val="24"/>
        </w:rPr>
        <w:t>. https://doi.org/10.46743/2160-3715/2014.1028.</w:t>
      </w:r>
    </w:p>
    <w:p w14:paraId="67A35550"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Comisión Constitución, Legislación, Justicia y Reglamento. Cámara de Diputadas y Diputados Chile. 2022. </w:t>
      </w:r>
      <w:r w:rsidRPr="00D82AC3">
        <w:rPr>
          <w:rFonts w:cs="Times New Roman"/>
          <w:i/>
          <w:iCs/>
          <w:noProof/>
          <w:sz w:val="22"/>
          <w:szCs w:val="24"/>
        </w:rPr>
        <w:t>RESOLUCIÓN S/N 25-JUL-22. REGLAMENTO SOBRE CONTROL DE CONSUMO DE DROGAS EN DIPUTADAS Y DIPUTADOS</w:t>
      </w:r>
      <w:r w:rsidRPr="00D82AC3">
        <w:rPr>
          <w:rFonts w:cs="Times New Roman"/>
          <w:noProof/>
          <w:sz w:val="22"/>
          <w:szCs w:val="24"/>
        </w:rPr>
        <w:t>. https://www.bcn.cl/leychile/navegar?idNorma=1179066.</w:t>
      </w:r>
    </w:p>
    <w:p w14:paraId="000CD36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Cuevas, H., y Juan Pablo Paredes. 2012. “Introducción: La ciencia política y el campo de los estudios cualitativos interpretativos de la política”. </w:t>
      </w:r>
      <w:r w:rsidRPr="00D82AC3">
        <w:rPr>
          <w:rFonts w:cs="Times New Roman"/>
          <w:i/>
          <w:iCs/>
          <w:noProof/>
          <w:sz w:val="22"/>
          <w:szCs w:val="24"/>
        </w:rPr>
        <w:t>Pléyade</w:t>
      </w:r>
      <w:r w:rsidRPr="00D82AC3">
        <w:rPr>
          <w:rFonts w:cs="Times New Roman"/>
          <w:noProof/>
          <w:sz w:val="22"/>
          <w:szCs w:val="24"/>
        </w:rPr>
        <w:t xml:space="preserve"> 10(1): 1–14. https://biblat.unam.mx/hevila/PleyadeSantiago/2012/no10/1.pdf.</w:t>
      </w:r>
    </w:p>
    <w:p w14:paraId="0716DB22"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Feldmann, Andreas E, y Juan Pablo Luna. 2022. “Criminal Governance and the Crisis of Contemporary Latin American States”. </w:t>
      </w:r>
      <w:r w:rsidRPr="00D82AC3">
        <w:rPr>
          <w:rFonts w:cs="Times New Roman"/>
          <w:i/>
          <w:iCs/>
          <w:noProof/>
          <w:sz w:val="22"/>
          <w:szCs w:val="24"/>
        </w:rPr>
        <w:t>Annual Review of Sociology</w:t>
      </w:r>
      <w:r w:rsidRPr="00D82AC3">
        <w:rPr>
          <w:rFonts w:cs="Times New Roman"/>
          <w:noProof/>
          <w:sz w:val="22"/>
          <w:szCs w:val="24"/>
        </w:rPr>
        <w:t xml:space="preserve"> 48(1): 441–61. https://doi.org/10.1146/annurev-soc-030420-124931.</w:t>
      </w:r>
    </w:p>
    <w:p w14:paraId="12E14A1F"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González, V. 2017. “San Ramón: Tribunal Supremo del PS oficializa expulsión del alcalde Miguel Ángel Aguilera”. https://www.biobiochile.cl/noticias/nacional/region-metropolitana/2017/10/23/san-ramon-tribunal-supremo-del-ps-oficializa-expulsion-del-alcalde-miguel-angel-aguilera.shtml.</w:t>
      </w:r>
    </w:p>
    <w:p w14:paraId="67E5532E"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Haydee, E. 2014. “Drug test for political bets, elected officials inches forward”. </w:t>
      </w:r>
      <w:r w:rsidRPr="00D82AC3">
        <w:rPr>
          <w:rFonts w:cs="Times New Roman"/>
          <w:i/>
          <w:iCs/>
          <w:noProof/>
          <w:sz w:val="22"/>
          <w:szCs w:val="24"/>
        </w:rPr>
        <w:t>Saipan Tribune</w:t>
      </w:r>
      <w:r w:rsidRPr="00D82AC3">
        <w:rPr>
          <w:rFonts w:cs="Times New Roman"/>
          <w:noProof/>
          <w:sz w:val="22"/>
          <w:szCs w:val="24"/>
        </w:rPr>
        <w:t>. https://www.saipantribune.com/index.php/drug-test-political-bets-elected-officials-inches-forward/.</w:t>
      </w:r>
    </w:p>
    <w:p w14:paraId="63B50423"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Inter-American Drug Abuse Control Commission [CICAD]. 2019. </w:t>
      </w:r>
      <w:r w:rsidRPr="00D82AC3">
        <w:rPr>
          <w:rFonts w:cs="Times New Roman"/>
          <w:i/>
          <w:iCs/>
          <w:noProof/>
          <w:sz w:val="22"/>
          <w:szCs w:val="24"/>
        </w:rPr>
        <w:t>Informe Sobre el Consumo de Drogas en Américas 2019 Resumen Ejecutivo</w:t>
      </w:r>
      <w:r w:rsidRPr="00D82AC3">
        <w:rPr>
          <w:rFonts w:cs="Times New Roman"/>
          <w:noProof/>
          <w:sz w:val="22"/>
          <w:szCs w:val="24"/>
        </w:rPr>
        <w:t xml:space="preserve">. Washington, DC. </w:t>
      </w:r>
      <w:r w:rsidRPr="00D82AC3">
        <w:rPr>
          <w:rFonts w:cs="Times New Roman"/>
          <w:noProof/>
          <w:sz w:val="22"/>
          <w:szCs w:val="24"/>
        </w:rPr>
        <w:lastRenderedPageBreak/>
        <w:t>http://www.codajic.org/sites/default/files/sites/www.codajic.org/files/Informe Sobre el Consumo de Drogas en las Americas Resumen Ejecutivo 2019.pdf.</w:t>
      </w:r>
    </w:p>
    <w:p w14:paraId="326CA714"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Jara, A. 2019. “Los otros políticos que han vinculado a parlamentarios con el consumo de drogas”. https://www.latercera.com/politica/noticia/los-otros-politicos-vinculado-parlamentarios-consumo-drogas/860612/.</w:t>
      </w:r>
    </w:p>
    <w:p w14:paraId="0D52877B"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Kuckartz, Udo. 2014. “Qualitative Text Analysis: A Guide to Methods, Practice &amp; Using Software”. https://methods.sagepub.com/book/qualitative-text-analysis.</w:t>
      </w:r>
    </w:p>
    <w:p w14:paraId="32242BA9"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Lancaster, Kari, Alison Ritter, y Hal Colebatch. 2014. “Problems, policy and politics: making sense of Australia’s ‘ice epidemic’”. </w:t>
      </w:r>
      <w:r w:rsidRPr="00D82AC3">
        <w:rPr>
          <w:rFonts w:cs="Times New Roman"/>
          <w:i/>
          <w:iCs/>
          <w:noProof/>
          <w:sz w:val="22"/>
          <w:szCs w:val="24"/>
        </w:rPr>
        <w:t>Policy Studies</w:t>
      </w:r>
      <w:r w:rsidRPr="00D82AC3">
        <w:rPr>
          <w:rFonts w:cs="Times New Roman"/>
          <w:noProof/>
          <w:sz w:val="22"/>
          <w:szCs w:val="24"/>
        </w:rPr>
        <w:t xml:space="preserve"> 35(2): 147–71. https://doi.org/10.1080/01442872.2013.875144.</w:t>
      </w:r>
    </w:p>
    <w:p w14:paraId="30ABD227"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Long, Norman. 2003. </w:t>
      </w:r>
      <w:r w:rsidRPr="00D82AC3">
        <w:rPr>
          <w:rFonts w:cs="Times New Roman"/>
          <w:i/>
          <w:iCs/>
          <w:noProof/>
          <w:sz w:val="22"/>
          <w:szCs w:val="24"/>
        </w:rPr>
        <w:t>Development sociology: actor perspectives</w:t>
      </w:r>
      <w:r w:rsidRPr="00D82AC3">
        <w:rPr>
          <w:rFonts w:cs="Times New Roman"/>
          <w:noProof/>
          <w:sz w:val="22"/>
          <w:szCs w:val="24"/>
        </w:rPr>
        <w:t>. Routledge.</w:t>
      </w:r>
    </w:p>
    <w:p w14:paraId="4AAA0140"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Mason, J. 2002. </w:t>
      </w:r>
      <w:r w:rsidRPr="00D82AC3">
        <w:rPr>
          <w:rFonts w:cs="Times New Roman"/>
          <w:i/>
          <w:iCs/>
          <w:noProof/>
          <w:sz w:val="22"/>
          <w:szCs w:val="24"/>
        </w:rPr>
        <w:t>Qualitative Researching</w:t>
      </w:r>
      <w:r w:rsidRPr="00D82AC3">
        <w:rPr>
          <w:rFonts w:cs="Times New Roman"/>
          <w:noProof/>
          <w:sz w:val="22"/>
          <w:szCs w:val="24"/>
        </w:rPr>
        <w:t>. SAGE Publications. https://books.google.cl/books?id=gW5su96QHL0C.</w:t>
      </w:r>
    </w:p>
    <w:p w14:paraId="76FEE15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Medina, Rosgaby. 2022. </w:t>
      </w:r>
      <w:r w:rsidRPr="00D82AC3">
        <w:rPr>
          <w:rFonts w:cs="Times New Roman"/>
          <w:i/>
          <w:iCs/>
          <w:noProof/>
          <w:sz w:val="22"/>
          <w:szCs w:val="24"/>
        </w:rPr>
        <w:t>Estadísticas de la situación digital de Chile en el 2021-2022</w:t>
      </w:r>
      <w:r w:rsidRPr="00D82AC3">
        <w:rPr>
          <w:rFonts w:cs="Times New Roman"/>
          <w:noProof/>
          <w:sz w:val="22"/>
          <w:szCs w:val="24"/>
        </w:rPr>
        <w:t>. Medellín, Colombia. https://branch.com.co/marketing-digital/estadisticas-de-la-situacion-digital-de-chile-en-el-2021-2022/.</w:t>
      </w:r>
    </w:p>
    <w:p w14:paraId="2B17D8CB"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Minsterio del Interior. 2006. “Decreto-1215 23-JUN-2007 ESTABLECE NORMAS QUE REGULAN LAS MEDIDAS DE PREVENCION DEL CONSUMO DE DROGAS EN LOS ORGANOS DE LA ADMINISTRACION DEL ESTADO, ASI COMO EL PROCEDIMIENTO DE CONTROL DE CONSUMO APLICABLE A LAS PERSONAS QUE INDICA, CONFORME A LO ESTABL”. https://www.bcn.cl/leychile/navegar?idNorma=262070.</w:t>
      </w:r>
    </w:p>
    <w:p w14:paraId="4CE4A5E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Nicholls, James, y John Greenaway. 2015. “What is the problem?: Evidence, politics and alcohol policy in England and Wales, 2010–2014”. </w:t>
      </w:r>
      <w:r w:rsidRPr="00D82AC3">
        <w:rPr>
          <w:rFonts w:cs="Times New Roman"/>
          <w:i/>
          <w:iCs/>
          <w:noProof/>
          <w:sz w:val="22"/>
          <w:szCs w:val="24"/>
        </w:rPr>
        <w:t>Drugs: Education, Prevention and Policy</w:t>
      </w:r>
      <w:r w:rsidRPr="00D82AC3">
        <w:rPr>
          <w:rFonts w:cs="Times New Roman"/>
          <w:noProof/>
          <w:sz w:val="22"/>
          <w:szCs w:val="24"/>
        </w:rPr>
        <w:t xml:space="preserve"> 22(2): 135–42. https://doi.org/10.3109/09687637.2014.993923.</w:t>
      </w:r>
    </w:p>
    <w:p w14:paraId="7ABD9E07"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van Ostaijen, Mark, y Shivant Jhagroe. 2015. “‘Get those voices at the table!’: Interview with Deborah Stone”. </w:t>
      </w:r>
      <w:r w:rsidRPr="00D82AC3">
        <w:rPr>
          <w:rFonts w:cs="Times New Roman"/>
          <w:i/>
          <w:iCs/>
          <w:noProof/>
          <w:sz w:val="22"/>
          <w:szCs w:val="24"/>
        </w:rPr>
        <w:t>Policy Sciences</w:t>
      </w:r>
      <w:r w:rsidRPr="00D82AC3">
        <w:rPr>
          <w:rFonts w:cs="Times New Roman"/>
          <w:noProof/>
          <w:sz w:val="22"/>
          <w:szCs w:val="24"/>
        </w:rPr>
        <w:t xml:space="preserve"> 48(1): 127–33. https://doi.org/10.1007/s11077-015-9214-0.</w:t>
      </w:r>
    </w:p>
    <w:p w14:paraId="57647032"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Pacific Island Times News Staff. 2021. “Bill proposes to mandate drug testing for political candidates”. </w:t>
      </w:r>
      <w:r w:rsidRPr="00D82AC3">
        <w:rPr>
          <w:rFonts w:cs="Times New Roman"/>
          <w:i/>
          <w:iCs/>
          <w:noProof/>
          <w:sz w:val="22"/>
          <w:szCs w:val="24"/>
        </w:rPr>
        <w:t>Pacific Island Times</w:t>
      </w:r>
      <w:r w:rsidRPr="00D82AC3">
        <w:rPr>
          <w:rFonts w:cs="Times New Roman"/>
          <w:noProof/>
          <w:sz w:val="22"/>
          <w:szCs w:val="24"/>
        </w:rPr>
        <w:t>. https://www.pacificislandtimes.com/post/bill-proposes-to-mandate-drug-testing-for-political-candidates.</w:t>
      </w:r>
    </w:p>
    <w:p w14:paraId="43311F8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Parsons, Wayne. 2007. “MESO-ANÁLISIS Análisis de la definición del problema, el establecimiento de la agenda y la formulación de las políticas públicas”. En </w:t>
      </w:r>
      <w:r w:rsidRPr="00D82AC3">
        <w:rPr>
          <w:rFonts w:cs="Times New Roman"/>
          <w:i/>
          <w:iCs/>
          <w:noProof/>
          <w:sz w:val="22"/>
          <w:szCs w:val="24"/>
        </w:rPr>
        <w:t>Políticas públicas: una introducción a la teoría y práctica del análisis de políticas públicas</w:t>
      </w:r>
      <w:r w:rsidRPr="00D82AC3">
        <w:rPr>
          <w:rFonts w:cs="Times New Roman"/>
          <w:noProof/>
          <w:sz w:val="22"/>
          <w:szCs w:val="24"/>
        </w:rPr>
        <w:t>, eds. A. Miño y A. Dávila. Buenos Aires, Argentina: FLACSO México DF.</w:t>
      </w:r>
    </w:p>
    <w:p w14:paraId="4E93776D"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Ronzani, Telmo Mota. 2018. “The Context of Drug Use in the Consumer Society”. En </w:t>
      </w:r>
      <w:r w:rsidRPr="00D82AC3">
        <w:rPr>
          <w:rFonts w:cs="Times New Roman"/>
          <w:i/>
          <w:iCs/>
          <w:noProof/>
          <w:sz w:val="22"/>
          <w:szCs w:val="24"/>
        </w:rPr>
        <w:t>Drugs and Social Context: Social Perspectives on the Use of Alcohol and Other Drugs</w:t>
      </w:r>
      <w:r w:rsidRPr="00D82AC3">
        <w:rPr>
          <w:rFonts w:cs="Times New Roman"/>
          <w:noProof/>
          <w:sz w:val="22"/>
          <w:szCs w:val="24"/>
        </w:rPr>
        <w:t>, ed. Telmo Mota Ronzani. Cham: Springer International Publishing, 3–13. https://doi.org/10.1007/978-3-319-72446-1_1.</w:t>
      </w:r>
    </w:p>
    <w:p w14:paraId="0A597455"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Schneider, Anne, y Helen Ingram. 1993. “Social Construction of Target Populations: Implications for Politics and Policy”. </w:t>
      </w:r>
      <w:r w:rsidRPr="00D82AC3">
        <w:rPr>
          <w:rFonts w:cs="Times New Roman"/>
          <w:i/>
          <w:iCs/>
          <w:noProof/>
          <w:sz w:val="22"/>
          <w:szCs w:val="24"/>
        </w:rPr>
        <w:t>American Political Science Review</w:t>
      </w:r>
      <w:r w:rsidRPr="00D82AC3">
        <w:rPr>
          <w:rFonts w:cs="Times New Roman"/>
          <w:noProof/>
          <w:sz w:val="22"/>
          <w:szCs w:val="24"/>
        </w:rPr>
        <w:t xml:space="preserve"> 87(2): 334–47. https://doi.org/10.2307/2939044.</w:t>
      </w:r>
    </w:p>
    <w:p w14:paraId="24D08B4A"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Schreier, Margrit. 2014. “The SAGE Handbook of Qualitative Data Analysis”. </w:t>
      </w:r>
      <w:r w:rsidRPr="00D82AC3">
        <w:rPr>
          <w:rFonts w:cs="Times New Roman"/>
          <w:noProof/>
          <w:sz w:val="22"/>
          <w:szCs w:val="24"/>
        </w:rPr>
        <w:lastRenderedPageBreak/>
        <w:t>https://methods.sagepub.com/book/the-sage-handbook-of-qualitative-data-analysis.</w:t>
      </w:r>
    </w:p>
    <w:p w14:paraId="6F7C6860"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Sepúlveda, N. 2021. “Ex colaboradores de alcalde Aguilera declaran que su campaña recibió aportes de narco y que municipio pagaba a trabajadores falsos”. https://www.ciperchile.cl/2021/07/02/ex-colaboradores-de-alcalde-aguilera-declaran-que-su-campana-recibio-aportes-de-narco-y-que-municipio-pagaba-a-trabajadores-falsos/.</w:t>
      </w:r>
    </w:p>
    <w:p w14:paraId="12BD2A8E"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Servicio Nacional de Prevención y Rehabilitación de Drogas y Alcohol[SENDA]. 2022. </w:t>
      </w:r>
      <w:r w:rsidRPr="00D82AC3">
        <w:rPr>
          <w:rFonts w:cs="Times New Roman"/>
          <w:i/>
          <w:iCs/>
          <w:noProof/>
          <w:sz w:val="22"/>
          <w:szCs w:val="24"/>
        </w:rPr>
        <w:t>Décimo Cuarto Estudio Nacional de Drogas en Población General de Chile, 2020</w:t>
      </w:r>
      <w:r w:rsidRPr="00D82AC3">
        <w:rPr>
          <w:rFonts w:cs="Times New Roman"/>
          <w:noProof/>
          <w:sz w:val="22"/>
          <w:szCs w:val="24"/>
        </w:rPr>
        <w:t>. Santiago, Chile. https://www.senda.gob.cl/wp-content/uploads/2022/01/Estudio-PG2020.pdf.</w:t>
      </w:r>
    </w:p>
    <w:p w14:paraId="7E1650D7"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Stone, Deborah. 1989. “Causal Stories and the Formation of Policy Agendas”. </w:t>
      </w:r>
      <w:r w:rsidRPr="00D82AC3">
        <w:rPr>
          <w:rFonts w:cs="Times New Roman"/>
          <w:i/>
          <w:iCs/>
          <w:noProof/>
          <w:sz w:val="22"/>
          <w:szCs w:val="24"/>
        </w:rPr>
        <w:t>Political Science Quarterly</w:t>
      </w:r>
      <w:r w:rsidRPr="00D82AC3">
        <w:rPr>
          <w:rFonts w:cs="Times New Roman"/>
          <w:noProof/>
          <w:sz w:val="22"/>
          <w:szCs w:val="24"/>
        </w:rPr>
        <w:t xml:space="preserve"> 104(2): 281–300. http://www.jstor.org/stable/2151585.</w:t>
      </w:r>
    </w:p>
    <w:p w14:paraId="39283E5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 2012. </w:t>
      </w:r>
      <w:r w:rsidRPr="00D82AC3">
        <w:rPr>
          <w:rFonts w:cs="Times New Roman"/>
          <w:i/>
          <w:iCs/>
          <w:noProof/>
          <w:sz w:val="22"/>
          <w:szCs w:val="24"/>
        </w:rPr>
        <w:t>Policy Paradox: The Art of Political Decision Making</w:t>
      </w:r>
      <w:r w:rsidRPr="00D82AC3">
        <w:rPr>
          <w:rFonts w:cs="Times New Roman"/>
          <w:noProof/>
          <w:sz w:val="22"/>
          <w:szCs w:val="24"/>
        </w:rPr>
        <w:t>. W.W. Norton \&amp; Company. https://books.google.cl/books?id=KxghYAAACAAJ.</w:t>
      </w:r>
    </w:p>
    <w:p w14:paraId="57EC81B8"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Unidad Especializada en Tráfico Ilícito de Estupefacientes y Sustancias Sicotrópicas. 2022. </w:t>
      </w:r>
      <w:r w:rsidRPr="00D82AC3">
        <w:rPr>
          <w:rFonts w:cs="Times New Roman"/>
          <w:i/>
          <w:iCs/>
          <w:noProof/>
          <w:sz w:val="22"/>
          <w:szCs w:val="24"/>
        </w:rPr>
        <w:t>VII INFORME ANUAL OBSERVATORIO DEL NARCOTRÁFICO</w:t>
      </w:r>
      <w:r w:rsidRPr="00D82AC3">
        <w:rPr>
          <w:rFonts w:cs="Times New Roman"/>
          <w:noProof/>
          <w:sz w:val="22"/>
          <w:szCs w:val="24"/>
        </w:rPr>
        <w:t>. Santiago, Chile. https://drive.google.com/file/d/1mKW8c8TNbS8Fsq9z3_VxhFZRpPUZZDse/view.</w:t>
      </w:r>
    </w:p>
    <w:p w14:paraId="27396230"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 xml:space="preserve">Valenzuela, E. 2010. “Política de drogas: en búsqueda de un equilibrio”. </w:t>
      </w:r>
      <w:r w:rsidRPr="00D82AC3">
        <w:rPr>
          <w:rFonts w:cs="Times New Roman"/>
          <w:i/>
          <w:iCs/>
          <w:noProof/>
          <w:sz w:val="22"/>
          <w:szCs w:val="24"/>
        </w:rPr>
        <w:t>Temas de la agenda política</w:t>
      </w:r>
      <w:r w:rsidRPr="00D82AC3">
        <w:rPr>
          <w:rFonts w:cs="Times New Roman"/>
          <w:noProof/>
          <w:sz w:val="22"/>
          <w:szCs w:val="24"/>
        </w:rPr>
        <w:t xml:space="preserve"> 37(1): 1–15. https://politicaspublicas.uc.cl/wp-content/uploads/2015/02/politica-de-drogas-en-busqyeda-de-un-equilibrio.pdf.</w:t>
      </w:r>
    </w:p>
    <w:p w14:paraId="5F7885F4"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szCs w:val="24"/>
        </w:rPr>
      </w:pPr>
      <w:r w:rsidRPr="00D82AC3">
        <w:rPr>
          <w:rFonts w:cs="Times New Roman"/>
          <w:noProof/>
          <w:sz w:val="22"/>
          <w:szCs w:val="24"/>
        </w:rPr>
        <w:t>Watkins, M. 2015. “Running for Office? Urine for a Surprise”. https://www.texastribune.org/2015/04/28/senate-approves-drug-testing-all-candidates-seekin/.</w:t>
      </w:r>
    </w:p>
    <w:p w14:paraId="2DB7DC86" w14:textId="77777777" w:rsidR="00D82AC3" w:rsidRPr="00D82AC3" w:rsidRDefault="00D82AC3" w:rsidP="00D82AC3">
      <w:pPr>
        <w:widowControl w:val="0"/>
        <w:autoSpaceDE w:val="0"/>
        <w:autoSpaceDN w:val="0"/>
        <w:adjustRightInd w:val="0"/>
        <w:spacing w:line="240" w:lineRule="auto"/>
        <w:ind w:left="480" w:hanging="480"/>
        <w:rPr>
          <w:rFonts w:cs="Times New Roman"/>
          <w:noProof/>
          <w:sz w:val="22"/>
        </w:rPr>
      </w:pPr>
      <w:r w:rsidRPr="00D82AC3">
        <w:rPr>
          <w:rFonts w:cs="Times New Roman"/>
          <w:noProof/>
          <w:sz w:val="22"/>
          <w:szCs w:val="24"/>
        </w:rPr>
        <w:t xml:space="preserve">Young, Anna, y David Atkin. “An Agenda-Setting Test of Google News World Reporting on Foreign Nations”. </w:t>
      </w:r>
      <w:r w:rsidRPr="00D82AC3">
        <w:rPr>
          <w:rFonts w:cs="Times New Roman"/>
          <w:i/>
          <w:iCs/>
          <w:noProof/>
          <w:sz w:val="22"/>
          <w:szCs w:val="24"/>
        </w:rPr>
        <w:t>Electronic News</w:t>
      </w:r>
      <w:r w:rsidRPr="00D82AC3">
        <w:rPr>
          <w:rFonts w:cs="Times New Roman"/>
          <w:noProof/>
          <w:sz w:val="22"/>
          <w:szCs w:val="24"/>
        </w:rPr>
        <w:t xml:space="preserve"> 0(0): 19312431221106376. https://doi.org/10.1177/19312431221106375.</w:t>
      </w:r>
    </w:p>
    <w:p w14:paraId="0126F5E0" w14:textId="2E4D3ABF" w:rsidR="00581F7A" w:rsidRDefault="006B27BC" w:rsidP="006D2DBE">
      <w:pPr>
        <w:spacing w:line="240" w:lineRule="auto"/>
        <w:rPr>
          <w:rFonts w:cs="Times New Roman"/>
        </w:rPr>
      </w:pPr>
      <w:r w:rsidRPr="004E1AF9">
        <w:rPr>
          <w:rFonts w:cs="Times New Roman"/>
        </w:rPr>
        <w:fldChar w:fldCharType="end"/>
      </w:r>
    </w:p>
    <w:p w14:paraId="63D378CB" w14:textId="77777777" w:rsidR="00581F7A" w:rsidRDefault="00581F7A">
      <w:pPr>
        <w:rPr>
          <w:rFonts w:cs="Times New Roman"/>
        </w:rPr>
      </w:pPr>
      <w:r>
        <w:rPr>
          <w:rFonts w:cs="Times New Roman"/>
        </w:rPr>
        <w:br w:type="page"/>
      </w:r>
    </w:p>
    <w:p w14:paraId="501CB7DA" w14:textId="78C60055" w:rsidR="00581F7A" w:rsidRDefault="00581F7A" w:rsidP="00581F7A">
      <w:pPr>
        <w:pStyle w:val="Ttulo2"/>
      </w:pPr>
      <w:r w:rsidRPr="00581F7A">
        <w:lastRenderedPageBreak/>
        <w:t>Anexo</w:t>
      </w:r>
    </w:p>
    <w:p w14:paraId="6F912534" w14:textId="6A96D79B" w:rsidR="006B27BC" w:rsidRDefault="00581F7A" w:rsidP="00581F7A">
      <w:pPr>
        <w:pStyle w:val="Ttulo3"/>
      </w:pPr>
      <w:r w:rsidRPr="00581F7A">
        <w:t>Anexo N°1: Tabla de fuentes utilizadas.</w:t>
      </w:r>
    </w:p>
    <w:tbl>
      <w:tblPr>
        <w:tblW w:w="8779" w:type="dxa"/>
        <w:tblCellMar>
          <w:top w:w="15" w:type="dxa"/>
          <w:left w:w="15" w:type="dxa"/>
          <w:bottom w:w="15" w:type="dxa"/>
          <w:right w:w="15" w:type="dxa"/>
        </w:tblCellMar>
        <w:tblLook w:val="04A0" w:firstRow="1" w:lastRow="0" w:firstColumn="1" w:lastColumn="0" w:noHBand="0" w:noVBand="1"/>
      </w:tblPr>
      <w:tblGrid>
        <w:gridCol w:w="680"/>
        <w:gridCol w:w="1295"/>
        <w:gridCol w:w="1843"/>
        <w:gridCol w:w="4961"/>
      </w:tblGrid>
      <w:tr w:rsidR="00581F7A" w:rsidRPr="00581F7A" w14:paraId="01CEF1DE" w14:textId="77777777" w:rsidTr="00581F7A">
        <w:trPr>
          <w:trHeight w:val="20"/>
        </w:trPr>
        <w:tc>
          <w:tcPr>
            <w:tcW w:w="680" w:type="dxa"/>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58F759F5" w14:textId="77777777" w:rsidR="00581F7A" w:rsidRPr="00581F7A" w:rsidRDefault="00581F7A" w:rsidP="00C94896">
            <w:pPr>
              <w:rPr>
                <w:sz w:val="20"/>
                <w:szCs w:val="18"/>
              </w:rPr>
            </w:pPr>
            <w:r w:rsidRPr="00581F7A">
              <w:rPr>
                <w:b/>
                <w:bCs/>
                <w:sz w:val="20"/>
                <w:szCs w:val="18"/>
              </w:rPr>
              <w:t>Cód.</w:t>
            </w:r>
          </w:p>
        </w:tc>
        <w:tc>
          <w:tcPr>
            <w:tcW w:w="1295" w:type="dxa"/>
            <w:tcBorders>
              <w:top w:val="single" w:sz="4" w:space="0" w:color="auto"/>
              <w:left w:val="single" w:sz="8" w:space="0" w:color="FFFFFF"/>
              <w:bottom w:val="single" w:sz="4" w:space="0" w:color="auto"/>
              <w:right w:val="single" w:sz="8" w:space="0" w:color="FFFFFF"/>
            </w:tcBorders>
          </w:tcPr>
          <w:p w14:paraId="374A872A" w14:textId="2BDA73C1" w:rsidR="00581F7A" w:rsidRPr="00581F7A" w:rsidRDefault="00581F7A" w:rsidP="00C94896">
            <w:pPr>
              <w:rPr>
                <w:b/>
                <w:bCs/>
                <w:sz w:val="20"/>
                <w:szCs w:val="18"/>
              </w:rPr>
            </w:pPr>
            <w:r w:rsidRPr="00581F7A">
              <w:rPr>
                <w:b/>
                <w:bCs/>
                <w:sz w:val="20"/>
                <w:szCs w:val="18"/>
              </w:rPr>
              <w:t>Fecha publicación</w:t>
            </w:r>
          </w:p>
        </w:tc>
        <w:tc>
          <w:tcPr>
            <w:tcW w:w="1843" w:type="dxa"/>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395AF465" w14:textId="155349FF" w:rsidR="00581F7A" w:rsidRPr="00581F7A" w:rsidRDefault="00581F7A" w:rsidP="00C94896">
            <w:pPr>
              <w:rPr>
                <w:sz w:val="20"/>
                <w:szCs w:val="18"/>
              </w:rPr>
            </w:pPr>
            <w:r w:rsidRPr="00581F7A">
              <w:rPr>
                <w:b/>
                <w:bCs/>
                <w:sz w:val="20"/>
                <w:szCs w:val="18"/>
              </w:rPr>
              <w:t>Título</w:t>
            </w:r>
          </w:p>
        </w:tc>
        <w:tc>
          <w:tcPr>
            <w:tcW w:w="4961" w:type="dxa"/>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5538DEFA" w14:textId="4803D742" w:rsidR="00581F7A" w:rsidRPr="00581F7A" w:rsidRDefault="00581F7A" w:rsidP="00C94896">
            <w:pPr>
              <w:rPr>
                <w:sz w:val="20"/>
                <w:szCs w:val="18"/>
              </w:rPr>
            </w:pPr>
            <w:r w:rsidRPr="00581F7A">
              <w:rPr>
                <w:b/>
                <w:bCs/>
                <w:sz w:val="20"/>
                <w:szCs w:val="18"/>
              </w:rPr>
              <w:t>URL</w:t>
            </w:r>
          </w:p>
        </w:tc>
      </w:tr>
      <w:tr w:rsidR="00581F7A" w:rsidRPr="00581F7A" w14:paraId="029952DC" w14:textId="77777777" w:rsidTr="00581F7A">
        <w:trPr>
          <w:trHeight w:val="20"/>
        </w:trPr>
        <w:tc>
          <w:tcPr>
            <w:tcW w:w="680" w:type="dxa"/>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tcPr>
          <w:p w14:paraId="7B218B57" w14:textId="35C990E5" w:rsidR="00581F7A" w:rsidRPr="00581F7A" w:rsidRDefault="00581F7A" w:rsidP="00C94896">
            <w:pPr>
              <w:rPr>
                <w:sz w:val="20"/>
                <w:szCs w:val="18"/>
              </w:rPr>
            </w:pPr>
            <w:r w:rsidRPr="00581F7A">
              <w:rPr>
                <w:sz w:val="20"/>
                <w:szCs w:val="18"/>
              </w:rPr>
              <w:t>A01</w:t>
            </w:r>
          </w:p>
        </w:tc>
        <w:tc>
          <w:tcPr>
            <w:tcW w:w="1295" w:type="dxa"/>
            <w:tcBorders>
              <w:top w:val="single" w:sz="4" w:space="0" w:color="auto"/>
              <w:left w:val="single" w:sz="12" w:space="0" w:color="FFFFFF"/>
              <w:bottom w:val="single" w:sz="4" w:space="0" w:color="auto"/>
              <w:right w:val="single" w:sz="12" w:space="0" w:color="FFFFFF"/>
            </w:tcBorders>
          </w:tcPr>
          <w:p w14:paraId="713BFA8B" w14:textId="452191C9" w:rsidR="00581F7A" w:rsidRPr="00581F7A" w:rsidRDefault="00581F7A" w:rsidP="00C94896">
            <w:pPr>
              <w:rPr>
                <w:sz w:val="20"/>
                <w:szCs w:val="18"/>
              </w:rPr>
            </w:pPr>
            <w:r w:rsidRPr="00581F7A">
              <w:rPr>
                <w:sz w:val="20"/>
                <w:szCs w:val="18"/>
              </w:rPr>
              <w:t>11/14/2022</w:t>
            </w:r>
          </w:p>
        </w:tc>
        <w:tc>
          <w:tcPr>
            <w:tcW w:w="1843" w:type="dxa"/>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76231EED" w14:textId="413033B2" w:rsidR="00581F7A" w:rsidRPr="00581F7A" w:rsidRDefault="00581F7A" w:rsidP="00C94896">
            <w:pPr>
              <w:rPr>
                <w:sz w:val="20"/>
                <w:szCs w:val="18"/>
              </w:rPr>
            </w:pPr>
            <w:r w:rsidRPr="00581F7A">
              <w:rPr>
                <w:sz w:val="20"/>
                <w:szCs w:val="18"/>
              </w:rPr>
              <w:t>Test de drogas: segundo grupo de diputados no arroja positivos y dos parlamentarias no se presentaron a la muestra</w:t>
            </w:r>
          </w:p>
        </w:tc>
        <w:tc>
          <w:tcPr>
            <w:tcW w:w="4961" w:type="dxa"/>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3BD8AE09" w14:textId="38640F84" w:rsidR="00581F7A" w:rsidRPr="00581F7A" w:rsidRDefault="00581F7A" w:rsidP="00C94896">
            <w:pPr>
              <w:rPr>
                <w:sz w:val="20"/>
                <w:szCs w:val="18"/>
              </w:rPr>
            </w:pPr>
            <w:r w:rsidRPr="00581F7A">
              <w:rPr>
                <w:sz w:val="20"/>
                <w:szCs w:val="18"/>
              </w:rPr>
              <w:t>https://www.latercera.com/politica/noticia/test-de-drogas-segundo-grupo-de-diputados-no-arroja-positivos-y-dos-parlamentarias-no-se-presentaron-a-la-muestra/JXVENHZ23NF5RNM77M63HIAR4Q/</w:t>
            </w:r>
          </w:p>
        </w:tc>
      </w:tr>
    </w:tbl>
    <w:p w14:paraId="26DDAECC" w14:textId="21878E65" w:rsidR="00581F7A" w:rsidRDefault="00581F7A" w:rsidP="00581F7A"/>
    <w:p w14:paraId="11A08EEA" w14:textId="77777777" w:rsidR="00581F7A" w:rsidRPr="00581F7A" w:rsidRDefault="00581F7A" w:rsidP="00581F7A">
      <w:pPr>
        <w:pStyle w:val="Ttulo3"/>
      </w:pPr>
      <w:r w:rsidRPr="00581F7A">
        <w:t>Anexo N°2: Marco de codificación, Especificación del ámbito de influencia</w:t>
      </w:r>
    </w:p>
    <w:tbl>
      <w:tblPr>
        <w:tblW w:w="0" w:type="auto"/>
        <w:tblCellMar>
          <w:top w:w="15" w:type="dxa"/>
          <w:left w:w="15" w:type="dxa"/>
          <w:bottom w:w="15" w:type="dxa"/>
          <w:right w:w="15" w:type="dxa"/>
        </w:tblCellMar>
        <w:tblLook w:val="04A0" w:firstRow="1" w:lastRow="0" w:firstColumn="1" w:lastColumn="0" w:noHBand="0" w:noVBand="1"/>
      </w:tblPr>
      <w:tblGrid>
        <w:gridCol w:w="687"/>
        <w:gridCol w:w="1268"/>
        <w:gridCol w:w="1414"/>
        <w:gridCol w:w="1814"/>
        <w:gridCol w:w="2467"/>
      </w:tblGrid>
      <w:tr w:rsidR="00581F7A" w:rsidRPr="00581F7A" w14:paraId="09AF2C2C" w14:textId="77777777" w:rsidTr="00581F7A">
        <w:trPr>
          <w:trHeight w:val="170"/>
        </w:trPr>
        <w:tc>
          <w:tcPr>
            <w:tcW w:w="0" w:type="auto"/>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303EC24F" w14:textId="77777777" w:rsidR="00581F7A" w:rsidRPr="00581F7A" w:rsidRDefault="00581F7A" w:rsidP="00581F7A">
            <w:r w:rsidRPr="00581F7A">
              <w:rPr>
                <w:b/>
                <w:bCs/>
              </w:rPr>
              <w:t>Cód.</w:t>
            </w:r>
          </w:p>
        </w:tc>
        <w:tc>
          <w:tcPr>
            <w:tcW w:w="0" w:type="auto"/>
            <w:tcBorders>
              <w:top w:val="single" w:sz="4" w:space="0" w:color="auto"/>
              <w:left w:val="single" w:sz="8" w:space="0" w:color="FFFFFF"/>
              <w:bottom w:val="single" w:sz="4" w:space="0" w:color="auto"/>
              <w:right w:val="single" w:sz="8" w:space="0" w:color="FFFFFF"/>
            </w:tcBorders>
            <w:shd w:val="clear" w:color="auto" w:fill="auto"/>
            <w:tcMar>
              <w:top w:w="100" w:type="dxa"/>
              <w:left w:w="100" w:type="dxa"/>
              <w:bottom w:w="100" w:type="dxa"/>
              <w:right w:w="100" w:type="dxa"/>
            </w:tcMar>
            <w:hideMark/>
          </w:tcPr>
          <w:p w14:paraId="72B10A9E" w14:textId="77777777" w:rsidR="00581F7A" w:rsidRPr="00581F7A" w:rsidRDefault="00581F7A" w:rsidP="00581F7A">
            <w:r w:rsidRPr="00581F7A">
              <w:rPr>
                <w:b/>
                <w:bCs/>
              </w:rPr>
              <w:t>Subcódigo</w:t>
            </w:r>
          </w:p>
        </w:tc>
        <w:tc>
          <w:tcPr>
            <w:tcW w:w="0" w:type="auto"/>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0CF138E7" w14:textId="77777777" w:rsidR="00581F7A" w:rsidRPr="00581F7A" w:rsidRDefault="00581F7A" w:rsidP="00581F7A">
            <w:r w:rsidRPr="00581F7A">
              <w:rPr>
                <w:b/>
                <w:bCs/>
              </w:rPr>
              <w:t>Descripción</w:t>
            </w:r>
          </w:p>
        </w:tc>
        <w:tc>
          <w:tcPr>
            <w:tcW w:w="0" w:type="auto"/>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1D209FCE" w14:textId="77777777" w:rsidR="00581F7A" w:rsidRPr="00581F7A" w:rsidRDefault="00581F7A" w:rsidP="00581F7A">
            <w:r w:rsidRPr="00581F7A">
              <w:rPr>
                <w:b/>
                <w:bCs/>
              </w:rPr>
              <w:t>Ejemplificación</w:t>
            </w:r>
          </w:p>
        </w:tc>
        <w:tc>
          <w:tcPr>
            <w:tcW w:w="0" w:type="auto"/>
            <w:tcBorders>
              <w:top w:val="single" w:sz="4" w:space="0" w:color="auto"/>
              <w:left w:val="single" w:sz="8" w:space="0" w:color="FFFFFF"/>
              <w:bottom w:val="single" w:sz="4" w:space="0" w:color="auto"/>
              <w:right w:val="single" w:sz="8" w:space="0" w:color="FFFFFF"/>
            </w:tcBorders>
            <w:shd w:val="clear" w:color="auto" w:fill="auto"/>
            <w:tcMar>
              <w:top w:w="20" w:type="dxa"/>
              <w:left w:w="100" w:type="dxa"/>
              <w:bottom w:w="100" w:type="dxa"/>
              <w:right w:w="100" w:type="dxa"/>
            </w:tcMar>
            <w:hideMark/>
          </w:tcPr>
          <w:p w14:paraId="079F69EC" w14:textId="77777777" w:rsidR="00581F7A" w:rsidRPr="00581F7A" w:rsidRDefault="00581F7A" w:rsidP="00581F7A">
            <w:r w:rsidRPr="00581F7A">
              <w:rPr>
                <w:b/>
                <w:bCs/>
              </w:rPr>
              <w:t>Reglas de codificación</w:t>
            </w:r>
          </w:p>
        </w:tc>
      </w:tr>
      <w:tr w:rsidR="00581F7A" w:rsidRPr="00581F7A" w14:paraId="2DD5D1A5" w14:textId="77777777" w:rsidTr="00581F7A">
        <w:trPr>
          <w:trHeight w:val="567"/>
        </w:trPr>
        <w:tc>
          <w:tcPr>
            <w:tcW w:w="0" w:type="auto"/>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tcPr>
          <w:p w14:paraId="203E589F" w14:textId="3D6FE874" w:rsidR="00581F7A" w:rsidRPr="00581F7A" w:rsidRDefault="00581F7A" w:rsidP="00581F7A"/>
        </w:tc>
        <w:tc>
          <w:tcPr>
            <w:tcW w:w="0" w:type="auto"/>
            <w:tcBorders>
              <w:top w:val="single" w:sz="4" w:space="0" w:color="auto"/>
              <w:left w:val="single" w:sz="12" w:space="0" w:color="FFFFFF"/>
              <w:bottom w:val="single" w:sz="4" w:space="0" w:color="auto"/>
              <w:right w:val="single" w:sz="12" w:space="0" w:color="FFFFFF"/>
            </w:tcBorders>
            <w:shd w:val="clear" w:color="auto" w:fill="auto"/>
            <w:tcMar>
              <w:top w:w="100" w:type="dxa"/>
              <w:left w:w="100" w:type="dxa"/>
              <w:bottom w:w="100" w:type="dxa"/>
              <w:right w:w="100" w:type="dxa"/>
            </w:tcMar>
            <w:hideMark/>
          </w:tcPr>
          <w:p w14:paraId="12DA8DED" w14:textId="093573B9" w:rsidR="00581F7A" w:rsidRPr="00581F7A" w:rsidRDefault="00581F7A" w:rsidP="00581F7A"/>
        </w:tc>
        <w:tc>
          <w:tcPr>
            <w:tcW w:w="0" w:type="auto"/>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65837F7B" w14:textId="3C5F6422" w:rsidR="00581F7A" w:rsidRPr="00581F7A" w:rsidRDefault="00581F7A" w:rsidP="00581F7A">
            <w:r>
              <w:t>XXXXX</w:t>
            </w:r>
          </w:p>
        </w:tc>
        <w:tc>
          <w:tcPr>
            <w:tcW w:w="0" w:type="auto"/>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298DC789" w14:textId="5F7318B9" w:rsidR="00581F7A" w:rsidRPr="00581F7A" w:rsidRDefault="00581F7A" w:rsidP="00581F7A">
            <w:r>
              <w:t>XXXXX</w:t>
            </w:r>
          </w:p>
        </w:tc>
        <w:tc>
          <w:tcPr>
            <w:tcW w:w="0" w:type="auto"/>
            <w:tcBorders>
              <w:top w:val="single" w:sz="4" w:space="0" w:color="auto"/>
              <w:left w:val="single" w:sz="12" w:space="0" w:color="FFFFFF"/>
              <w:bottom w:val="single" w:sz="4" w:space="0" w:color="auto"/>
              <w:right w:val="single" w:sz="12" w:space="0" w:color="FFFFFF"/>
            </w:tcBorders>
            <w:shd w:val="clear" w:color="auto" w:fill="auto"/>
            <w:tcMar>
              <w:top w:w="80" w:type="dxa"/>
              <w:left w:w="140" w:type="dxa"/>
              <w:bottom w:w="80" w:type="dxa"/>
              <w:right w:w="140" w:type="dxa"/>
            </w:tcMar>
            <w:hideMark/>
          </w:tcPr>
          <w:p w14:paraId="3F2C9ED3" w14:textId="1351588F" w:rsidR="00581F7A" w:rsidRPr="00581F7A" w:rsidRDefault="00581F7A" w:rsidP="00581F7A">
            <w:r>
              <w:t>XXXXXX</w:t>
            </w:r>
          </w:p>
        </w:tc>
      </w:tr>
    </w:tbl>
    <w:p w14:paraId="686E7AB3" w14:textId="77777777" w:rsidR="00581F7A" w:rsidRPr="00581F7A" w:rsidRDefault="00581F7A" w:rsidP="00581F7A"/>
    <w:sectPr w:rsidR="00581F7A" w:rsidRPr="00581F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drés González Santa Cruz" w:date="2022-12-25T20:16:00Z" w:initials="AGSC">
    <w:p w14:paraId="59A62455" w14:textId="6F0DDA35" w:rsidR="008253E9" w:rsidRDefault="008253E9">
      <w:pPr>
        <w:pStyle w:val="Textocomentario"/>
      </w:pPr>
      <w:r>
        <w:rPr>
          <w:rStyle w:val="Refdecomentario"/>
        </w:rPr>
        <w:annotationRef/>
      </w:r>
      <w:hyperlink r:id="rId1" w:history="1">
        <w:r>
          <w:rPr>
            <w:rStyle w:val="Hipervnculo"/>
          </w:rPr>
          <w:t>Políticas, Evaluación - Documentos de Google</w:t>
        </w:r>
      </w:hyperlink>
    </w:p>
  </w:comment>
  <w:comment w:id="2" w:author="Andrés González Santa Cruz" w:date="2022-12-25T20:18:00Z" w:initials="AGSC">
    <w:p w14:paraId="13756D7B" w14:textId="77777777" w:rsidR="00150702" w:rsidRDefault="00150702" w:rsidP="00150702">
      <w:pPr>
        <w:pStyle w:val="Textocomentario"/>
      </w:pPr>
      <w:r>
        <w:rPr>
          <w:rStyle w:val="Refdecomentario"/>
        </w:rPr>
        <w:annotationRef/>
      </w:r>
      <w:r>
        <w:t xml:space="preserve">- </w:t>
      </w:r>
      <w:r w:rsidRPr="00150702">
        <w:rPr>
          <w:b/>
          <w:bCs/>
        </w:rPr>
        <w:t>Macarena</w:t>
      </w:r>
      <w:r>
        <w:t>: Pregunta capciosa, por qué es un problema de salud pública. Dar más relevancia a ese marco. Dar más claridad. Ver cuáles son los encuadres que se hacen más de SP o seguridad</w:t>
      </w:r>
    </w:p>
    <w:p w14:paraId="1AF5CCFF" w14:textId="77777777" w:rsidR="00150702" w:rsidRDefault="00150702" w:rsidP="00150702">
      <w:pPr>
        <w:pStyle w:val="Textocomentario"/>
      </w:pPr>
      <w:r>
        <w:t xml:space="preserve">- </w:t>
      </w:r>
      <w:r w:rsidRPr="00150702">
        <w:rPr>
          <w:b/>
          <w:bCs/>
        </w:rPr>
        <w:t>Soledad</w:t>
      </w:r>
      <w:r>
        <w:t>: Interesante trabajo, luces trabajo, no meterse en las libertades civiles, sino mirar cuál es el objetivo de la ley. Porque en este caso es super líquido. Cuál es el objetivo. Identificar los distintos encuadres (ej., ), ver cuáles son conflictivos. Test* , indicar que es lenguaje natural.</w:t>
      </w:r>
    </w:p>
    <w:p w14:paraId="62C606C9" w14:textId="77777777" w:rsidR="00150702" w:rsidRDefault="00150702" w:rsidP="00150702">
      <w:pPr>
        <w:pStyle w:val="Textocomentario"/>
      </w:pPr>
      <w:r>
        <w:t xml:space="preserve">- </w:t>
      </w:r>
      <w:r w:rsidRPr="00150702">
        <w:rPr>
          <w:b/>
          <w:bCs/>
        </w:rPr>
        <w:t>Claudia</w:t>
      </w:r>
      <w:r>
        <w:t>: No sé si es efectiva esa ley. Se buscaron todos los subterfugios, casi es nuestro código. Buscaron certificado</w:t>
      </w:r>
    </w:p>
    <w:p w14:paraId="31AA0705" w14:textId="61FF370B" w:rsidR="00150702" w:rsidRDefault="00150702" w:rsidP="00150702">
      <w:pPr>
        <w:pStyle w:val="Textocomentario"/>
      </w:pPr>
      <w:r>
        <w:t xml:space="preserve">- </w:t>
      </w:r>
      <w:r w:rsidRPr="00150702">
        <w:rPr>
          <w:b/>
          <w:bCs/>
        </w:rPr>
        <w:t>Camilo</w:t>
      </w:r>
      <w:r>
        <w:t xml:space="preserve">: Transparencia, vínculo en San Ramón, ¿has encontrado no para el trabajo?, ¿otras fuentes de </w:t>
      </w:r>
      <w:proofErr w:type="spellStart"/>
      <w:r>
        <w:t>info</w:t>
      </w:r>
      <w:proofErr w:type="spellEnd"/>
      <w:r>
        <w:t>? Hay una pauta</w:t>
      </w:r>
    </w:p>
  </w:comment>
  <w:comment w:id="3" w:author="Andrés González Santa Cruz" w:date="2022-12-27T15:12:00Z" w:initials="AGSC">
    <w:p w14:paraId="6DB1E47E" w14:textId="4CC40EAF" w:rsidR="00D55CA1" w:rsidRDefault="00D55CA1">
      <w:pPr>
        <w:pStyle w:val="Textocomentario"/>
      </w:pPr>
      <w:r>
        <w:rPr>
          <w:rStyle w:val="Refdecomentario"/>
        </w:rPr>
        <w:annotationRef/>
      </w:r>
      <w:r w:rsidRPr="00D55CA1">
        <w:t>https://docs.google.com/presentation/d/1cHEjsG1GpMKSC_QJ9f2gBOE_XYjVs7aSV7HfQZqyCZ4/edit#slide=id.g1abb942c4d1_1_0</w:t>
      </w:r>
    </w:p>
  </w:comment>
  <w:comment w:id="4" w:author="Andrés González Santa Cruz" w:date="2022-12-25T19:38:00Z" w:initials="AGSC">
    <w:p w14:paraId="379CD125" w14:textId="1237E5BD" w:rsidR="00A05B5B" w:rsidRPr="00B7413E" w:rsidRDefault="00A05B5B">
      <w:pPr>
        <w:pStyle w:val="Textocomentario"/>
        <w:rPr>
          <w:b/>
          <w:bCs/>
        </w:rPr>
      </w:pPr>
      <w:r w:rsidRPr="00B7413E">
        <w:rPr>
          <w:rStyle w:val="Refdecomentario"/>
          <w:b/>
          <w:bCs/>
        </w:rPr>
        <w:annotationRef/>
      </w:r>
      <w:r w:rsidRPr="00B7413E">
        <w:rPr>
          <w:b/>
          <w:bCs/>
        </w:rPr>
        <w:t xml:space="preserve">Toda la </w:t>
      </w:r>
      <w:proofErr w:type="spellStart"/>
      <w:r w:rsidRPr="00B7413E">
        <w:rPr>
          <w:b/>
          <w:bCs/>
        </w:rPr>
        <w:t>info</w:t>
      </w:r>
      <w:proofErr w:type="spellEnd"/>
      <w:r w:rsidRPr="00B7413E">
        <w:rPr>
          <w:b/>
          <w:bCs/>
        </w:rPr>
        <w:t xml:space="preserve"> de la </w:t>
      </w:r>
      <w:proofErr w:type="spellStart"/>
      <w:r w:rsidRPr="00B7413E">
        <w:rPr>
          <w:b/>
          <w:bCs/>
        </w:rPr>
        <w:t>intro</w:t>
      </w:r>
      <w:proofErr w:type="spellEnd"/>
      <w:r w:rsidRPr="00B7413E">
        <w:rPr>
          <w:b/>
          <w:bCs/>
        </w:rPr>
        <w:t xml:space="preserve"> es </w:t>
      </w:r>
      <w:proofErr w:type="spellStart"/>
      <w:r w:rsidRPr="00B7413E">
        <w:rPr>
          <w:b/>
          <w:bCs/>
        </w:rPr>
        <w:t>util</w:t>
      </w:r>
      <w:proofErr w:type="spellEnd"/>
      <w:r w:rsidRPr="00B7413E">
        <w:rPr>
          <w:b/>
          <w:bCs/>
        </w:rPr>
        <w:t xml:space="preserve">, pero gran parte la </w:t>
      </w:r>
      <w:proofErr w:type="spellStart"/>
      <w:r w:rsidRPr="00B7413E">
        <w:rPr>
          <w:b/>
          <w:bCs/>
        </w:rPr>
        <w:t>moveria</w:t>
      </w:r>
      <w:proofErr w:type="spellEnd"/>
      <w:r w:rsidRPr="00B7413E">
        <w:rPr>
          <w:b/>
          <w:bCs/>
        </w:rPr>
        <w:t xml:space="preserve"> al marco </w:t>
      </w:r>
      <w:proofErr w:type="spellStart"/>
      <w:r w:rsidRPr="00B7413E">
        <w:rPr>
          <w:b/>
          <w:bCs/>
        </w:rPr>
        <w:t>teorico</w:t>
      </w:r>
      <w:proofErr w:type="spellEnd"/>
      <w:r w:rsidRPr="00B7413E">
        <w:rPr>
          <w:b/>
          <w:bCs/>
        </w:rPr>
        <w:t xml:space="preserve"> (sugiero incluir una </w:t>
      </w:r>
      <w:proofErr w:type="spellStart"/>
      <w:r w:rsidRPr="00B7413E">
        <w:rPr>
          <w:b/>
          <w:bCs/>
        </w:rPr>
        <w:t>seccion</w:t>
      </w:r>
      <w:proofErr w:type="spellEnd"/>
      <w:r w:rsidRPr="00B7413E">
        <w:rPr>
          <w:b/>
          <w:bCs/>
        </w:rPr>
        <w:t xml:space="preserve"> de marco </w:t>
      </w:r>
      <w:proofErr w:type="spellStart"/>
      <w:r w:rsidRPr="00B7413E">
        <w:rPr>
          <w:b/>
          <w:bCs/>
        </w:rPr>
        <w:t>teorico</w:t>
      </w:r>
      <w:proofErr w:type="spellEnd"/>
      <w:r w:rsidRPr="00B7413E">
        <w:rPr>
          <w:b/>
          <w:bCs/>
        </w:rPr>
        <w:t xml:space="preserve">). De acuerdo a un libro </w:t>
      </w:r>
      <w:proofErr w:type="spellStart"/>
      <w:r w:rsidRPr="00B7413E">
        <w:rPr>
          <w:b/>
          <w:bCs/>
        </w:rPr>
        <w:t>qe</w:t>
      </w:r>
      <w:proofErr w:type="spellEnd"/>
      <w:r w:rsidRPr="00B7413E">
        <w:rPr>
          <w:b/>
          <w:bCs/>
        </w:rPr>
        <w:t xml:space="preserve"> tengo a mano "</w:t>
      </w:r>
      <w:proofErr w:type="spellStart"/>
      <w:r w:rsidRPr="00B7413E">
        <w:rPr>
          <w:b/>
          <w:bCs/>
          <w:highlight w:val="white"/>
        </w:rPr>
        <w:t>an</w:t>
      </w:r>
      <w:proofErr w:type="spellEnd"/>
      <w:r w:rsidRPr="00B7413E">
        <w:rPr>
          <w:b/>
          <w:bCs/>
          <w:highlight w:val="white"/>
        </w:rPr>
        <w:t xml:space="preserve"> </w:t>
      </w:r>
      <w:proofErr w:type="spellStart"/>
      <w:r w:rsidRPr="00B7413E">
        <w:rPr>
          <w:b/>
          <w:bCs/>
          <w:highlight w:val="white"/>
        </w:rPr>
        <w:t>effective</w:t>
      </w:r>
      <w:proofErr w:type="spellEnd"/>
      <w:r w:rsidRPr="00B7413E">
        <w:rPr>
          <w:b/>
          <w:bCs/>
          <w:highlight w:val="white"/>
        </w:rPr>
        <w:t xml:space="preserve"> </w:t>
      </w:r>
      <w:proofErr w:type="spellStart"/>
      <w:r w:rsidRPr="00B7413E">
        <w:rPr>
          <w:b/>
          <w:bCs/>
          <w:highlight w:val="white"/>
        </w:rPr>
        <w:t>Introduction</w:t>
      </w:r>
      <w:proofErr w:type="spellEnd"/>
      <w:r w:rsidRPr="00B7413E">
        <w:rPr>
          <w:b/>
          <w:bCs/>
          <w:highlight w:val="white"/>
        </w:rPr>
        <w:t xml:space="preserve">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particularly</w:t>
      </w:r>
      <w:proofErr w:type="spellEnd"/>
      <w:r w:rsidRPr="00B7413E">
        <w:rPr>
          <w:b/>
          <w:bCs/>
          <w:highlight w:val="white"/>
        </w:rPr>
        <w:t xml:space="preserve"> </w:t>
      </w:r>
      <w:proofErr w:type="spellStart"/>
      <w:r w:rsidRPr="00B7413E">
        <w:rPr>
          <w:b/>
          <w:bCs/>
          <w:highlight w:val="white"/>
        </w:rPr>
        <w:t>important</w:t>
      </w:r>
      <w:proofErr w:type="spellEnd"/>
      <w:r w:rsidRPr="00B7413E">
        <w:rPr>
          <w:b/>
          <w:bCs/>
          <w:highlight w:val="white"/>
        </w:rPr>
        <w:t xml:space="preserve">. </w:t>
      </w:r>
      <w:proofErr w:type="spellStart"/>
      <w:r w:rsidRPr="00B7413E">
        <w:rPr>
          <w:b/>
          <w:bCs/>
          <w:highlight w:val="white"/>
        </w:rPr>
        <w:t>Referees</w:t>
      </w:r>
      <w:proofErr w:type="spellEnd"/>
      <w:r w:rsidRPr="00B7413E">
        <w:rPr>
          <w:b/>
          <w:bCs/>
          <w:highlight w:val="white"/>
        </w:rPr>
        <w:t xml:space="preserve"> are </w:t>
      </w:r>
      <w:proofErr w:type="spellStart"/>
      <w:r w:rsidRPr="00B7413E">
        <w:rPr>
          <w:b/>
          <w:bCs/>
          <w:highlight w:val="white"/>
        </w:rPr>
        <w:t>likely</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look </w:t>
      </w:r>
      <w:proofErr w:type="spellStart"/>
      <w:r w:rsidRPr="00B7413E">
        <w:rPr>
          <w:b/>
          <w:bCs/>
          <w:highlight w:val="white"/>
        </w:rPr>
        <w:t>here</w:t>
      </w:r>
      <w:proofErr w:type="spellEnd"/>
      <w:r w:rsidRPr="00B7413E">
        <w:rPr>
          <w:b/>
          <w:bCs/>
          <w:highlight w:val="white"/>
        </w:rPr>
        <w:t xml:space="preserve"> </w:t>
      </w:r>
      <w:proofErr w:type="spellStart"/>
      <w:r w:rsidRPr="00B7413E">
        <w:rPr>
          <w:b/>
          <w:bCs/>
          <w:highlight w:val="white"/>
        </w:rPr>
        <w:t>for</w:t>
      </w:r>
      <w:proofErr w:type="spellEnd"/>
      <w:r w:rsidRPr="00B7413E">
        <w:rPr>
          <w:b/>
          <w:bCs/>
          <w:highlight w:val="white"/>
        </w:rPr>
        <w:t xml:space="preserve"> </w:t>
      </w:r>
      <w:proofErr w:type="spellStart"/>
      <w:r w:rsidRPr="00B7413E">
        <w:rPr>
          <w:b/>
          <w:bCs/>
          <w:highlight w:val="white"/>
        </w:rPr>
        <w:t>evidence</w:t>
      </w:r>
      <w:proofErr w:type="spellEnd"/>
      <w:r w:rsidRPr="00B7413E">
        <w:rPr>
          <w:b/>
          <w:bCs/>
          <w:highlight w:val="white"/>
        </w:rPr>
        <w:t xml:space="preserve"> </w:t>
      </w:r>
      <w:proofErr w:type="spellStart"/>
      <w:r w:rsidRPr="00B7413E">
        <w:rPr>
          <w:b/>
          <w:bCs/>
          <w:highlight w:val="white"/>
        </w:rPr>
        <w:t>to</w:t>
      </w:r>
      <w:proofErr w:type="spellEnd"/>
      <w:r w:rsidRPr="00B7413E">
        <w:rPr>
          <w:b/>
          <w:bCs/>
          <w:highlight w:val="white"/>
        </w:rPr>
        <w:t xml:space="preserve"> </w:t>
      </w:r>
      <w:proofErr w:type="spellStart"/>
      <w:r w:rsidRPr="00B7413E">
        <w:rPr>
          <w:b/>
          <w:bCs/>
          <w:highlight w:val="white"/>
        </w:rPr>
        <w:t>answer</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following</w:t>
      </w:r>
      <w:proofErr w:type="spellEnd"/>
      <w:r w:rsidRPr="00B7413E">
        <w:rPr>
          <w:b/>
          <w:bCs/>
          <w:highlight w:val="white"/>
        </w:rPr>
        <w:t xml:space="preserve"> questions:1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new?2 </w:t>
      </w:r>
      <w:proofErr w:type="spellStart"/>
      <w:r w:rsidRPr="00B7413E">
        <w:rPr>
          <w:b/>
          <w:bCs/>
          <w:highlight w:val="white"/>
        </w:rPr>
        <w:t>Is</w:t>
      </w:r>
      <w:proofErr w:type="spellEnd"/>
      <w:r w:rsidRPr="00B7413E">
        <w:rPr>
          <w:b/>
          <w:bCs/>
          <w:highlight w:val="white"/>
        </w:rPr>
        <w:t xml:space="preserve"> </w:t>
      </w:r>
      <w:proofErr w:type="spellStart"/>
      <w:r w:rsidRPr="00B7413E">
        <w:rPr>
          <w:b/>
          <w:bCs/>
          <w:highlight w:val="white"/>
        </w:rPr>
        <w:t>the</w:t>
      </w:r>
      <w:proofErr w:type="spellEnd"/>
      <w:r w:rsidRPr="00B7413E">
        <w:rPr>
          <w:b/>
          <w:bCs/>
          <w:highlight w:val="white"/>
        </w:rPr>
        <w:t xml:space="preserve"> </w:t>
      </w:r>
      <w:proofErr w:type="spellStart"/>
      <w:r w:rsidRPr="00B7413E">
        <w:rPr>
          <w:b/>
          <w:bCs/>
          <w:highlight w:val="white"/>
        </w:rPr>
        <w:t>contribution</w:t>
      </w:r>
      <w:proofErr w:type="spellEnd"/>
      <w:r w:rsidRPr="00B7413E">
        <w:rPr>
          <w:b/>
          <w:bCs/>
          <w:highlight w:val="white"/>
        </w:rPr>
        <w:t xml:space="preserve"> </w:t>
      </w:r>
      <w:proofErr w:type="spellStart"/>
      <w:r w:rsidRPr="00B7413E">
        <w:rPr>
          <w:b/>
          <w:bCs/>
          <w:highlight w:val="white"/>
        </w:rPr>
        <w:t>significant</w:t>
      </w:r>
      <w:proofErr w:type="spellEnd"/>
      <w:r w:rsidRPr="00B7413E">
        <w:rPr>
          <w:b/>
          <w:bCs/>
          <w:highlight w:val="white"/>
        </w:rPr>
        <w:t xml:space="preserve">?" creo que falta </w:t>
      </w:r>
      <w:proofErr w:type="spellStart"/>
      <w:r w:rsidRPr="00B7413E">
        <w:rPr>
          <w:b/>
          <w:bCs/>
          <w:highlight w:val="white"/>
        </w:rPr>
        <w:t>info</w:t>
      </w:r>
      <w:proofErr w:type="spellEnd"/>
      <w:r w:rsidRPr="00B7413E">
        <w:rPr>
          <w:b/>
          <w:bCs/>
          <w:highlight w:val="white"/>
        </w:rPr>
        <w:t xml:space="preserve"> para responder a estas dos preguntas. </w:t>
      </w:r>
      <w:proofErr w:type="spellStart"/>
      <w:r w:rsidRPr="00B7413E">
        <w:rPr>
          <w:b/>
          <w:bCs/>
          <w:highlight w:val="white"/>
        </w:rPr>
        <w:t>Tambien</w:t>
      </w:r>
      <w:proofErr w:type="spellEnd"/>
      <w:r w:rsidRPr="00B7413E">
        <w:rPr>
          <w:b/>
          <w:bCs/>
          <w:highlight w:val="white"/>
        </w:rPr>
        <w:t xml:space="preserve"> creo que hace falta enunciar en la </w:t>
      </w:r>
      <w:proofErr w:type="spellStart"/>
      <w:r w:rsidRPr="00B7413E">
        <w:rPr>
          <w:b/>
          <w:bCs/>
          <w:highlight w:val="white"/>
        </w:rPr>
        <w:t>intro</w:t>
      </w:r>
      <w:proofErr w:type="spellEnd"/>
      <w:r w:rsidRPr="00B7413E">
        <w:rPr>
          <w:b/>
          <w:bCs/>
          <w:highlight w:val="white"/>
        </w:rPr>
        <w:t xml:space="preserve"> los objetivos/foco del paper.</w:t>
      </w:r>
    </w:p>
  </w:comment>
  <w:comment w:id="5" w:author="Andrés González Santa Cruz" w:date="2022-12-27T17:35:00Z" w:initials="AGSC">
    <w:p w14:paraId="74AF49B5" w14:textId="4EAA41AC" w:rsidR="00BC1D64" w:rsidRDefault="00BC1D64">
      <w:pPr>
        <w:pStyle w:val="Textocomentario"/>
      </w:pPr>
      <w:r>
        <w:rPr>
          <w:rStyle w:val="Refdecomentario"/>
        </w:rPr>
        <w:annotationRef/>
      </w:r>
      <w:r w:rsidRPr="00BC1D64">
        <w:t>https://www.latercera.com/la-tercera-pm/noticia/el-test-de-drogas-y-la-ofensiva-de-la-udi-y-jiles-que-incomoda-a-la-camara-de-diputados/OKARUP5GCFHGDGQMDZNQWANZRE/</w:t>
      </w:r>
    </w:p>
  </w:comment>
  <w:comment w:id="6" w:author="Andrés González Santa Cruz" w:date="2022-12-25T19:52:00Z" w:initials="AGSC">
    <w:p w14:paraId="7F53BEC8" w14:textId="77777777" w:rsidR="008445A3" w:rsidRDefault="008445A3" w:rsidP="008445A3">
      <w:pPr>
        <w:pStyle w:val="Textocomentario"/>
      </w:pPr>
      <w:r>
        <w:rPr>
          <w:rStyle w:val="Refdecomentario"/>
        </w:rPr>
        <w:annotationRef/>
      </w:r>
      <w:r>
        <w:rPr>
          <w:rStyle w:val="Refdecomentario"/>
        </w:rPr>
        <w:annotationRef/>
      </w:r>
      <w:r>
        <w:t xml:space="preserve">Me queda la duda o creo que debieras explicar </w:t>
      </w:r>
      <w:proofErr w:type="spellStart"/>
      <w:r>
        <w:t>como</w:t>
      </w:r>
      <w:proofErr w:type="spellEnd"/>
      <w:r>
        <w:t xml:space="preserve"> nota al pie </w:t>
      </w:r>
      <w:proofErr w:type="spellStart"/>
      <w:r>
        <w:t>el porqué</w:t>
      </w:r>
      <w:proofErr w:type="spellEnd"/>
      <w:r>
        <w:t xml:space="preserve"> una iniciativa como esta podría entenderse como una "política"</w:t>
      </w:r>
    </w:p>
    <w:p w14:paraId="7AF9D2BE" w14:textId="4ACB0647" w:rsidR="008445A3" w:rsidRDefault="008445A3">
      <w:pPr>
        <w:pStyle w:val="Textocomentario"/>
      </w:pPr>
    </w:p>
  </w:comment>
  <w:comment w:id="7" w:author="Andrés González Santa Cruz" w:date="2022-12-25T19:47:00Z" w:initials="AGSC">
    <w:p w14:paraId="645D10FD" w14:textId="77777777" w:rsidR="002B5E2C" w:rsidRDefault="002B5E2C" w:rsidP="002B5E2C">
      <w:pPr>
        <w:pStyle w:val="Textocomentario"/>
      </w:pPr>
      <w:r>
        <w:rPr>
          <w:rStyle w:val="Refdecomentario"/>
        </w:rPr>
        <w:annotationRef/>
      </w:r>
      <w:r>
        <w:rPr>
          <w:rStyle w:val="Refdecomentario"/>
        </w:rPr>
        <w:annotationRef/>
      </w:r>
      <w:r>
        <w:t>No entiendo la relación de este punto (estrategias para influir en audiencias) con el anterior (como se define que algo es un problema)</w:t>
      </w:r>
    </w:p>
    <w:p w14:paraId="6161B038" w14:textId="77777777" w:rsidR="002B5E2C" w:rsidRDefault="002B5E2C" w:rsidP="002B5E2C">
      <w:pPr>
        <w:pStyle w:val="Textocomentario"/>
      </w:pPr>
    </w:p>
  </w:comment>
  <w:comment w:id="8" w:author="Andrés González Santa Cruz" w:date="2022-12-25T20:03:00Z" w:initials="AGSC">
    <w:p w14:paraId="7BB24D46" w14:textId="77777777" w:rsidR="002B5E2C" w:rsidRDefault="002B5E2C" w:rsidP="002B5E2C">
      <w:pPr>
        <w:pStyle w:val="Textocomentario"/>
      </w:pPr>
      <w:r>
        <w:rPr>
          <w:rStyle w:val="Refdecomentario"/>
        </w:rPr>
        <w:annotationRef/>
      </w:r>
      <w:r>
        <w:rPr>
          <w:rStyle w:val="Refdecomentario"/>
        </w:rPr>
        <w:annotationRef/>
      </w:r>
      <w:r>
        <w:t>Por qué es útil importante mencionar estas dimensiones del debate y cómo se utilizarán en este trabajo?</w:t>
      </w:r>
    </w:p>
  </w:comment>
  <w:comment w:id="9" w:author="Andrés González Santa Cruz" w:date="2022-12-25T19:52:00Z" w:initials="AGSC">
    <w:p w14:paraId="5CB2C0CE" w14:textId="77777777" w:rsidR="00510D9F" w:rsidRDefault="00510D9F" w:rsidP="00510D9F">
      <w:pPr>
        <w:pStyle w:val="Textocomentario"/>
      </w:pPr>
      <w:r>
        <w:rPr>
          <w:rStyle w:val="Refdecomentario"/>
        </w:rPr>
        <w:annotationRef/>
      </w:r>
      <w:r>
        <w:t>Me pasa que esperaría encontrarme con objetivos redactados como objetivos, del tipo:</w:t>
      </w:r>
    </w:p>
    <w:p w14:paraId="509B7BD2" w14:textId="77777777" w:rsidR="00510D9F" w:rsidRDefault="00510D9F" w:rsidP="00510D9F">
      <w:pPr>
        <w:pStyle w:val="Textocomentario"/>
      </w:pPr>
      <w:r>
        <w:t>-Examinar el diseño (</w:t>
      </w:r>
      <w:proofErr w:type="spellStart"/>
      <w:r>
        <w:t>definicion</w:t>
      </w:r>
      <w:proofErr w:type="spellEnd"/>
      <w:r>
        <w:t xml:space="preserve"> de problema, objetivos, </w:t>
      </w:r>
      <w:proofErr w:type="spellStart"/>
      <w:r>
        <w:t>etc</w:t>
      </w:r>
      <w:proofErr w:type="spellEnd"/>
      <w:r>
        <w:t xml:space="preserve">) de la política chilena de regulación al consumo de drogas por parte de parlamentarios desde el esquema conceptual </w:t>
      </w:r>
      <w:proofErr w:type="spellStart"/>
      <w:r>
        <w:t>xx</w:t>
      </w:r>
      <w:proofErr w:type="spellEnd"/>
      <w:r>
        <w:t xml:space="preserve"> de la </w:t>
      </w:r>
      <w:proofErr w:type="spellStart"/>
      <w:r>
        <w:t>teoria</w:t>
      </w:r>
      <w:proofErr w:type="spellEnd"/>
      <w:r>
        <w:t xml:space="preserve"> </w:t>
      </w:r>
      <w:proofErr w:type="spellStart"/>
      <w:r>
        <w:t>xx</w:t>
      </w:r>
      <w:proofErr w:type="spellEnd"/>
      <w:r>
        <w:t>.</w:t>
      </w:r>
    </w:p>
  </w:comment>
  <w:comment w:id="10" w:author="Andrés González Santa Cruz" w:date="2022-12-27T18:09:00Z" w:initials="AGSC">
    <w:p w14:paraId="503AE627" w14:textId="35FD2A51" w:rsidR="007F571A" w:rsidRDefault="007F571A">
      <w:pPr>
        <w:pStyle w:val="Textocomentario"/>
      </w:pPr>
      <w:r>
        <w:rPr>
          <w:rStyle w:val="Refdecomentario"/>
        </w:rPr>
        <w:annotationRef/>
      </w:r>
      <w:r>
        <w:t xml:space="preserve">Agregar </w:t>
      </w:r>
      <w:proofErr w:type="spellStart"/>
      <w:r>
        <w:t>qie</w:t>
      </w:r>
      <w:proofErr w:type="spellEnd"/>
      <w:r>
        <w:t xml:space="preserve"> ´</w:t>
      </w:r>
      <w:proofErr w:type="spellStart"/>
      <w:r>
        <w:t>psnoticias</w:t>
      </w:r>
      <w:proofErr w:type="spellEnd"/>
      <w:r>
        <w:t xml:space="preserve"> en las que no hay </w:t>
      </w:r>
    </w:p>
  </w:comment>
  <w:comment w:id="11" w:author="Andrés González Santa Cruz" w:date="2022-12-27T18:12:00Z" w:initials="AGSC">
    <w:p w14:paraId="4EE864C7" w14:textId="28B1264D" w:rsidR="00E040EC" w:rsidRDefault="00E040EC">
      <w:pPr>
        <w:pStyle w:val="Textocomentario"/>
      </w:pPr>
      <w:r w:rsidRPr="00E040EC">
        <w:rPr>
          <w:rStyle w:val="Refdecomentario"/>
          <w:highlight w:val="yellow"/>
        </w:rPr>
        <w:annotationRef/>
      </w:r>
      <w:r w:rsidRPr="00E040EC">
        <w:rPr>
          <w:rFonts w:cs="Times New Roman"/>
          <w:szCs w:val="24"/>
          <w:highlight w:val="yellow"/>
        </w:rPr>
        <w:t xml:space="preserve">Posteriormente y luego de una revisión, se decide descartar aquellos artículos en los que no hay declaraciones directas o indirectas (ej., sólo se describen acciones de parlamentarios), sumado a declaraciones de otros actores de la sociedad civil (ej., grupos de opinión, think-tanks, exparlamentarios, </w:t>
      </w:r>
      <w:proofErr w:type="spellStart"/>
      <w:r w:rsidRPr="00E040EC">
        <w:rPr>
          <w:rFonts w:cs="Times New Roman"/>
          <w:szCs w:val="24"/>
          <w:highlight w:val="yellow"/>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A62455" w15:done="0"/>
  <w15:commentEx w15:paraId="31AA0705" w15:paraIdParent="59A62455" w15:done="0"/>
  <w15:commentEx w15:paraId="6DB1E47E" w15:paraIdParent="59A62455" w15:done="0"/>
  <w15:commentEx w15:paraId="379CD125" w15:done="0"/>
  <w15:commentEx w15:paraId="74AF49B5" w15:done="0"/>
  <w15:commentEx w15:paraId="7AF9D2BE" w15:done="0"/>
  <w15:commentEx w15:paraId="6161B038" w15:done="0"/>
  <w15:commentEx w15:paraId="7BB24D46" w15:done="0"/>
  <w15:commentEx w15:paraId="509B7BD2" w15:done="0"/>
  <w15:commentEx w15:paraId="503AE627" w15:done="0"/>
  <w15:commentEx w15:paraId="4EE864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32E35" w16cex:dateUtc="2022-12-25T23:16:00Z"/>
  <w16cex:commentExtensible w16cex:durableId="27532EC1" w16cex:dateUtc="2022-12-25T23:18:00Z"/>
  <w16cex:commentExtensible w16cex:durableId="275589CE" w16cex:dateUtc="2022-12-27T18:12:00Z"/>
  <w16cex:commentExtensible w16cex:durableId="2753252C" w16cex:dateUtc="2022-12-25T22:38:00Z"/>
  <w16cex:commentExtensible w16cex:durableId="2755AB63" w16cex:dateUtc="2022-12-27T20:35:00Z"/>
  <w16cex:commentExtensible w16cex:durableId="2753286E" w16cex:dateUtc="2022-12-25T22:52:00Z"/>
  <w16cex:commentExtensible w16cex:durableId="2753275D" w16cex:dateUtc="2022-12-25T22:47:00Z"/>
  <w16cex:commentExtensible w16cex:durableId="27532B1D" w16cex:dateUtc="2022-12-25T23:03:00Z"/>
  <w16cex:commentExtensible w16cex:durableId="2753287C" w16cex:dateUtc="2022-12-25T22:52:00Z"/>
  <w16cex:commentExtensible w16cex:durableId="2755B350" w16cex:dateUtc="2022-12-27T21:09:00Z"/>
  <w16cex:commentExtensible w16cex:durableId="2755B3FD" w16cex:dateUtc="2022-12-27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A62455" w16cid:durableId="27532E35"/>
  <w16cid:commentId w16cid:paraId="31AA0705" w16cid:durableId="27532EC1"/>
  <w16cid:commentId w16cid:paraId="6DB1E47E" w16cid:durableId="275589CE"/>
  <w16cid:commentId w16cid:paraId="379CD125" w16cid:durableId="2753252C"/>
  <w16cid:commentId w16cid:paraId="74AF49B5" w16cid:durableId="2755AB63"/>
  <w16cid:commentId w16cid:paraId="7AF9D2BE" w16cid:durableId="2753286E"/>
  <w16cid:commentId w16cid:paraId="6161B038" w16cid:durableId="2753275D"/>
  <w16cid:commentId w16cid:paraId="7BB24D46" w16cid:durableId="27532B1D"/>
  <w16cid:commentId w16cid:paraId="509B7BD2" w16cid:durableId="2753287C"/>
  <w16cid:commentId w16cid:paraId="503AE627" w16cid:durableId="2755B350"/>
  <w16cid:commentId w16cid:paraId="4EE864C7" w16cid:durableId="2755B3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547"/>
    <w:multiLevelType w:val="hybridMultilevel"/>
    <w:tmpl w:val="044C3B72"/>
    <w:lvl w:ilvl="0" w:tplc="8FC64936">
      <w:start w:val="39"/>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A5528C"/>
    <w:multiLevelType w:val="multilevel"/>
    <w:tmpl w:val="33BC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0296"/>
    <w:multiLevelType w:val="hybridMultilevel"/>
    <w:tmpl w:val="E1F2B0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CB0345F"/>
    <w:multiLevelType w:val="multilevel"/>
    <w:tmpl w:val="CCE0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727AC"/>
    <w:multiLevelType w:val="multilevel"/>
    <w:tmpl w:val="4BD4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37C4E"/>
    <w:multiLevelType w:val="hybridMultilevel"/>
    <w:tmpl w:val="4BD6E9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
  </w:num>
  <w:num w:numId="5">
    <w:abstractNumId w:val="1"/>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és González Santa Cruz">
    <w15:presenceInfo w15:providerId="Windows Live" w15:userId="0f261097151cd0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99C"/>
    <w:rsid w:val="000111AA"/>
    <w:rsid w:val="00016421"/>
    <w:rsid w:val="000614E3"/>
    <w:rsid w:val="00070ED2"/>
    <w:rsid w:val="00081FC4"/>
    <w:rsid w:val="00090BB3"/>
    <w:rsid w:val="000D41D9"/>
    <w:rsid w:val="000D4E77"/>
    <w:rsid w:val="000E2E57"/>
    <w:rsid w:val="00150702"/>
    <w:rsid w:val="00160036"/>
    <w:rsid w:val="001755FA"/>
    <w:rsid w:val="00196037"/>
    <w:rsid w:val="001F5D09"/>
    <w:rsid w:val="00287992"/>
    <w:rsid w:val="002B5E2C"/>
    <w:rsid w:val="002F0775"/>
    <w:rsid w:val="00302464"/>
    <w:rsid w:val="00313D75"/>
    <w:rsid w:val="00323345"/>
    <w:rsid w:val="00327985"/>
    <w:rsid w:val="003337E7"/>
    <w:rsid w:val="003452D9"/>
    <w:rsid w:val="003827C5"/>
    <w:rsid w:val="0039706F"/>
    <w:rsid w:val="003D1161"/>
    <w:rsid w:val="003F719A"/>
    <w:rsid w:val="00440BBB"/>
    <w:rsid w:val="00452B4A"/>
    <w:rsid w:val="00461349"/>
    <w:rsid w:val="004953AA"/>
    <w:rsid w:val="004A2158"/>
    <w:rsid w:val="004E1AF9"/>
    <w:rsid w:val="004F710F"/>
    <w:rsid w:val="00510D9F"/>
    <w:rsid w:val="00511B4E"/>
    <w:rsid w:val="005147F3"/>
    <w:rsid w:val="00581F7A"/>
    <w:rsid w:val="005A2DA4"/>
    <w:rsid w:val="005B75F5"/>
    <w:rsid w:val="006232CA"/>
    <w:rsid w:val="006620DF"/>
    <w:rsid w:val="0066720F"/>
    <w:rsid w:val="00696913"/>
    <w:rsid w:val="006B27BC"/>
    <w:rsid w:val="006D24D7"/>
    <w:rsid w:val="006D2DBE"/>
    <w:rsid w:val="006D4F04"/>
    <w:rsid w:val="0072275C"/>
    <w:rsid w:val="00727E52"/>
    <w:rsid w:val="00736798"/>
    <w:rsid w:val="00774C03"/>
    <w:rsid w:val="00787421"/>
    <w:rsid w:val="007B3256"/>
    <w:rsid w:val="007B66E2"/>
    <w:rsid w:val="007B7B32"/>
    <w:rsid w:val="007E53D6"/>
    <w:rsid w:val="007F571A"/>
    <w:rsid w:val="00804BEC"/>
    <w:rsid w:val="00812000"/>
    <w:rsid w:val="00815646"/>
    <w:rsid w:val="008253E9"/>
    <w:rsid w:val="008445A3"/>
    <w:rsid w:val="00882446"/>
    <w:rsid w:val="008871E4"/>
    <w:rsid w:val="008F7A73"/>
    <w:rsid w:val="009518B1"/>
    <w:rsid w:val="00957FFE"/>
    <w:rsid w:val="009706F8"/>
    <w:rsid w:val="009C3A12"/>
    <w:rsid w:val="00A05B5B"/>
    <w:rsid w:val="00A12C40"/>
    <w:rsid w:val="00A166E1"/>
    <w:rsid w:val="00A3367D"/>
    <w:rsid w:val="00A511F2"/>
    <w:rsid w:val="00A95911"/>
    <w:rsid w:val="00B07FFD"/>
    <w:rsid w:val="00B648B1"/>
    <w:rsid w:val="00B66D23"/>
    <w:rsid w:val="00B7413E"/>
    <w:rsid w:val="00B74BCD"/>
    <w:rsid w:val="00B82888"/>
    <w:rsid w:val="00B93CDD"/>
    <w:rsid w:val="00BB1B3B"/>
    <w:rsid w:val="00BB7BB5"/>
    <w:rsid w:val="00BC1D64"/>
    <w:rsid w:val="00BE77FE"/>
    <w:rsid w:val="00C35796"/>
    <w:rsid w:val="00C738F8"/>
    <w:rsid w:val="00C9099C"/>
    <w:rsid w:val="00C94120"/>
    <w:rsid w:val="00CA0B81"/>
    <w:rsid w:val="00CD7A3E"/>
    <w:rsid w:val="00CE7D1E"/>
    <w:rsid w:val="00CF2E51"/>
    <w:rsid w:val="00D05666"/>
    <w:rsid w:val="00D44EA3"/>
    <w:rsid w:val="00D55CA1"/>
    <w:rsid w:val="00D572F1"/>
    <w:rsid w:val="00D82AC3"/>
    <w:rsid w:val="00DB1B51"/>
    <w:rsid w:val="00DD0A0E"/>
    <w:rsid w:val="00DD694E"/>
    <w:rsid w:val="00E040EC"/>
    <w:rsid w:val="00E8794F"/>
    <w:rsid w:val="00ED7D89"/>
    <w:rsid w:val="00EE6A0D"/>
    <w:rsid w:val="00F3114E"/>
    <w:rsid w:val="00F86A7C"/>
    <w:rsid w:val="00FA13B4"/>
    <w:rsid w:val="00FF2D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448AE"/>
  <w15:chartTrackingRefBased/>
  <w15:docId w15:val="{680E2D1C-5405-4A6A-855F-B5F43FF0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F7A"/>
    <w:rPr>
      <w:rFonts w:ascii="Times New Roman" w:hAnsi="Times New Roman"/>
      <w:sz w:val="24"/>
    </w:rPr>
  </w:style>
  <w:style w:type="paragraph" w:styleId="Ttulo1">
    <w:name w:val="heading 1"/>
    <w:basedOn w:val="Normal"/>
    <w:next w:val="Normal"/>
    <w:link w:val="Ttulo1Car"/>
    <w:uiPriority w:val="9"/>
    <w:qFormat/>
    <w:rsid w:val="00CF2E51"/>
    <w:pPr>
      <w:keepNext/>
      <w:keepLines/>
      <w:spacing w:before="240" w:after="0"/>
      <w:outlineLvl w:val="0"/>
    </w:pPr>
    <w:rPr>
      <w:rFonts w:eastAsiaTheme="majorEastAsia" w:cs="Times New Roman"/>
      <w:color w:val="2F5496" w:themeColor="accent1" w:themeShade="BF"/>
      <w:sz w:val="32"/>
      <w:szCs w:val="32"/>
    </w:rPr>
  </w:style>
  <w:style w:type="paragraph" w:styleId="Ttulo2">
    <w:name w:val="heading 2"/>
    <w:basedOn w:val="Normal"/>
    <w:next w:val="Normal"/>
    <w:link w:val="Ttulo2Car"/>
    <w:uiPriority w:val="9"/>
    <w:unhideWhenUsed/>
    <w:qFormat/>
    <w:rsid w:val="00CF2E51"/>
    <w:pPr>
      <w:keepNext/>
      <w:keepLines/>
      <w:spacing w:before="40" w:after="0"/>
      <w:outlineLvl w:val="1"/>
    </w:pPr>
    <w:rPr>
      <w:rFonts w:eastAsiaTheme="majorEastAsia" w:cs="Times New Roman"/>
      <w:color w:val="2F5496" w:themeColor="accent1" w:themeShade="BF"/>
      <w:sz w:val="26"/>
      <w:szCs w:val="26"/>
    </w:rPr>
  </w:style>
  <w:style w:type="paragraph" w:styleId="Ttulo3">
    <w:name w:val="heading 3"/>
    <w:basedOn w:val="Normal"/>
    <w:next w:val="Normal"/>
    <w:link w:val="Ttulo3Car"/>
    <w:uiPriority w:val="9"/>
    <w:unhideWhenUsed/>
    <w:qFormat/>
    <w:rsid w:val="00CF2E51"/>
    <w:pPr>
      <w:keepNext/>
      <w:keepLines/>
      <w:spacing w:before="40" w:after="0"/>
      <w:outlineLvl w:val="2"/>
    </w:pPr>
    <w:rPr>
      <w:rFonts w:eastAsiaTheme="majorEastAsia" w:cs="Times New Roman"/>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E51"/>
    <w:rPr>
      <w:rFonts w:ascii="Times New Roman" w:eastAsiaTheme="majorEastAsia" w:hAnsi="Times New Roman" w:cs="Times New Roman"/>
      <w:color w:val="2F5496" w:themeColor="accent1" w:themeShade="BF"/>
      <w:sz w:val="26"/>
      <w:szCs w:val="26"/>
    </w:rPr>
  </w:style>
  <w:style w:type="paragraph" w:styleId="Prrafodelista">
    <w:name w:val="List Paragraph"/>
    <w:basedOn w:val="Normal"/>
    <w:uiPriority w:val="34"/>
    <w:qFormat/>
    <w:rsid w:val="00C9099C"/>
    <w:pPr>
      <w:ind w:left="720"/>
      <w:contextualSpacing/>
    </w:pPr>
  </w:style>
  <w:style w:type="character" w:customStyle="1" w:styleId="Ttulo3Car">
    <w:name w:val="Título 3 Car"/>
    <w:basedOn w:val="Fuentedeprrafopredeter"/>
    <w:link w:val="Ttulo3"/>
    <w:uiPriority w:val="9"/>
    <w:rsid w:val="00CF2E51"/>
    <w:rPr>
      <w:rFonts w:ascii="Times New Roman" w:eastAsiaTheme="majorEastAsia" w:hAnsi="Times New Roman" w:cs="Times New Roman"/>
      <w:color w:val="1F3763" w:themeColor="accent1" w:themeShade="7F"/>
      <w:sz w:val="24"/>
      <w:szCs w:val="24"/>
    </w:rPr>
  </w:style>
  <w:style w:type="character" w:customStyle="1" w:styleId="Ttulo1Car">
    <w:name w:val="Título 1 Car"/>
    <w:basedOn w:val="Fuentedeprrafopredeter"/>
    <w:link w:val="Ttulo1"/>
    <w:uiPriority w:val="9"/>
    <w:rsid w:val="00CF2E51"/>
    <w:rPr>
      <w:rFonts w:ascii="Times New Roman" w:eastAsiaTheme="majorEastAsia" w:hAnsi="Times New Roman" w:cs="Times New Roman"/>
      <w:color w:val="2F5496" w:themeColor="accent1" w:themeShade="BF"/>
      <w:sz w:val="32"/>
      <w:szCs w:val="32"/>
    </w:rPr>
  </w:style>
  <w:style w:type="character" w:styleId="Refdecomentario">
    <w:name w:val="annotation reference"/>
    <w:basedOn w:val="Fuentedeprrafopredeter"/>
    <w:uiPriority w:val="99"/>
    <w:semiHidden/>
    <w:unhideWhenUsed/>
    <w:rsid w:val="00C94120"/>
    <w:rPr>
      <w:sz w:val="16"/>
      <w:szCs w:val="16"/>
    </w:rPr>
  </w:style>
  <w:style w:type="paragraph" w:styleId="Textocomentario">
    <w:name w:val="annotation text"/>
    <w:basedOn w:val="Normal"/>
    <w:link w:val="TextocomentarioCar"/>
    <w:uiPriority w:val="99"/>
    <w:unhideWhenUsed/>
    <w:rsid w:val="00C94120"/>
    <w:pPr>
      <w:spacing w:line="240" w:lineRule="auto"/>
    </w:pPr>
    <w:rPr>
      <w:sz w:val="20"/>
      <w:szCs w:val="20"/>
    </w:rPr>
  </w:style>
  <w:style w:type="character" w:customStyle="1" w:styleId="TextocomentarioCar">
    <w:name w:val="Texto comentario Car"/>
    <w:basedOn w:val="Fuentedeprrafopredeter"/>
    <w:link w:val="Textocomentario"/>
    <w:uiPriority w:val="99"/>
    <w:rsid w:val="00C94120"/>
    <w:rPr>
      <w:sz w:val="20"/>
      <w:szCs w:val="20"/>
    </w:rPr>
  </w:style>
  <w:style w:type="paragraph" w:styleId="Asuntodelcomentario">
    <w:name w:val="annotation subject"/>
    <w:basedOn w:val="Textocomentario"/>
    <w:next w:val="Textocomentario"/>
    <w:link w:val="AsuntodelcomentarioCar"/>
    <w:uiPriority w:val="99"/>
    <w:semiHidden/>
    <w:unhideWhenUsed/>
    <w:rsid w:val="00C94120"/>
    <w:rPr>
      <w:b/>
      <w:bCs/>
    </w:rPr>
  </w:style>
  <w:style w:type="character" w:customStyle="1" w:styleId="AsuntodelcomentarioCar">
    <w:name w:val="Asunto del comentario Car"/>
    <w:basedOn w:val="TextocomentarioCar"/>
    <w:link w:val="Asuntodelcomentario"/>
    <w:uiPriority w:val="99"/>
    <w:semiHidden/>
    <w:rsid w:val="00C94120"/>
    <w:rPr>
      <w:b/>
      <w:bCs/>
      <w:sz w:val="20"/>
      <w:szCs w:val="20"/>
    </w:rPr>
  </w:style>
  <w:style w:type="character" w:styleId="Hipervnculo">
    <w:name w:val="Hyperlink"/>
    <w:basedOn w:val="Fuentedeprrafopredeter"/>
    <w:uiPriority w:val="99"/>
    <w:unhideWhenUsed/>
    <w:rsid w:val="007B66E2"/>
    <w:rPr>
      <w:color w:val="0563C1" w:themeColor="hyperlink"/>
      <w:u w:val="single"/>
    </w:rPr>
  </w:style>
  <w:style w:type="character" w:styleId="Mencinsinresolver">
    <w:name w:val="Unresolved Mention"/>
    <w:basedOn w:val="Fuentedeprrafopredeter"/>
    <w:uiPriority w:val="99"/>
    <w:semiHidden/>
    <w:unhideWhenUsed/>
    <w:rsid w:val="007B66E2"/>
    <w:rPr>
      <w:color w:val="605E5C"/>
      <w:shd w:val="clear" w:color="auto" w:fill="E1DFDD"/>
    </w:rPr>
  </w:style>
  <w:style w:type="paragraph" w:styleId="NormalWeb">
    <w:name w:val="Normal (Web)"/>
    <w:basedOn w:val="Normal"/>
    <w:uiPriority w:val="99"/>
    <w:semiHidden/>
    <w:unhideWhenUsed/>
    <w:rsid w:val="00812000"/>
    <w:pPr>
      <w:spacing w:before="100" w:beforeAutospacing="1" w:after="100" w:afterAutospacing="1" w:line="240" w:lineRule="auto"/>
    </w:pPr>
    <w:rPr>
      <w:rFonts w:eastAsia="Times New Roman" w:cs="Times New Roman"/>
      <w:szCs w:val="24"/>
      <w:lang w:eastAsia="es-CL"/>
    </w:rPr>
  </w:style>
  <w:style w:type="table" w:styleId="Tablaconcuadrcula">
    <w:name w:val="Table Grid"/>
    <w:basedOn w:val="Tablanormal"/>
    <w:uiPriority w:val="39"/>
    <w:rsid w:val="000E2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4376">
      <w:bodyDiv w:val="1"/>
      <w:marLeft w:val="0"/>
      <w:marRight w:val="0"/>
      <w:marTop w:val="0"/>
      <w:marBottom w:val="0"/>
      <w:divBdr>
        <w:top w:val="none" w:sz="0" w:space="0" w:color="auto"/>
        <w:left w:val="none" w:sz="0" w:space="0" w:color="auto"/>
        <w:bottom w:val="none" w:sz="0" w:space="0" w:color="auto"/>
        <w:right w:val="none" w:sz="0" w:space="0" w:color="auto"/>
      </w:divBdr>
    </w:div>
    <w:div w:id="254435547">
      <w:bodyDiv w:val="1"/>
      <w:marLeft w:val="0"/>
      <w:marRight w:val="0"/>
      <w:marTop w:val="0"/>
      <w:marBottom w:val="0"/>
      <w:divBdr>
        <w:top w:val="none" w:sz="0" w:space="0" w:color="auto"/>
        <w:left w:val="none" w:sz="0" w:space="0" w:color="auto"/>
        <w:bottom w:val="none" w:sz="0" w:space="0" w:color="auto"/>
        <w:right w:val="none" w:sz="0" w:space="0" w:color="auto"/>
      </w:divBdr>
    </w:div>
    <w:div w:id="254675449">
      <w:bodyDiv w:val="1"/>
      <w:marLeft w:val="0"/>
      <w:marRight w:val="0"/>
      <w:marTop w:val="0"/>
      <w:marBottom w:val="0"/>
      <w:divBdr>
        <w:top w:val="none" w:sz="0" w:space="0" w:color="auto"/>
        <w:left w:val="none" w:sz="0" w:space="0" w:color="auto"/>
        <w:bottom w:val="none" w:sz="0" w:space="0" w:color="auto"/>
        <w:right w:val="none" w:sz="0" w:space="0" w:color="auto"/>
      </w:divBdr>
    </w:div>
    <w:div w:id="256528064">
      <w:bodyDiv w:val="1"/>
      <w:marLeft w:val="0"/>
      <w:marRight w:val="0"/>
      <w:marTop w:val="0"/>
      <w:marBottom w:val="0"/>
      <w:divBdr>
        <w:top w:val="none" w:sz="0" w:space="0" w:color="auto"/>
        <w:left w:val="none" w:sz="0" w:space="0" w:color="auto"/>
        <w:bottom w:val="none" w:sz="0" w:space="0" w:color="auto"/>
        <w:right w:val="none" w:sz="0" w:space="0" w:color="auto"/>
      </w:divBdr>
    </w:div>
    <w:div w:id="391124640">
      <w:bodyDiv w:val="1"/>
      <w:marLeft w:val="0"/>
      <w:marRight w:val="0"/>
      <w:marTop w:val="0"/>
      <w:marBottom w:val="0"/>
      <w:divBdr>
        <w:top w:val="none" w:sz="0" w:space="0" w:color="auto"/>
        <w:left w:val="none" w:sz="0" w:space="0" w:color="auto"/>
        <w:bottom w:val="none" w:sz="0" w:space="0" w:color="auto"/>
        <w:right w:val="none" w:sz="0" w:space="0" w:color="auto"/>
      </w:divBdr>
    </w:div>
    <w:div w:id="470561256">
      <w:bodyDiv w:val="1"/>
      <w:marLeft w:val="0"/>
      <w:marRight w:val="0"/>
      <w:marTop w:val="0"/>
      <w:marBottom w:val="0"/>
      <w:divBdr>
        <w:top w:val="none" w:sz="0" w:space="0" w:color="auto"/>
        <w:left w:val="none" w:sz="0" w:space="0" w:color="auto"/>
        <w:bottom w:val="none" w:sz="0" w:space="0" w:color="auto"/>
        <w:right w:val="none" w:sz="0" w:space="0" w:color="auto"/>
      </w:divBdr>
    </w:div>
    <w:div w:id="535121252">
      <w:bodyDiv w:val="1"/>
      <w:marLeft w:val="0"/>
      <w:marRight w:val="0"/>
      <w:marTop w:val="0"/>
      <w:marBottom w:val="0"/>
      <w:divBdr>
        <w:top w:val="none" w:sz="0" w:space="0" w:color="auto"/>
        <w:left w:val="none" w:sz="0" w:space="0" w:color="auto"/>
        <w:bottom w:val="none" w:sz="0" w:space="0" w:color="auto"/>
        <w:right w:val="none" w:sz="0" w:space="0" w:color="auto"/>
      </w:divBdr>
    </w:div>
    <w:div w:id="774328372">
      <w:bodyDiv w:val="1"/>
      <w:marLeft w:val="0"/>
      <w:marRight w:val="0"/>
      <w:marTop w:val="0"/>
      <w:marBottom w:val="0"/>
      <w:divBdr>
        <w:top w:val="none" w:sz="0" w:space="0" w:color="auto"/>
        <w:left w:val="none" w:sz="0" w:space="0" w:color="auto"/>
        <w:bottom w:val="none" w:sz="0" w:space="0" w:color="auto"/>
        <w:right w:val="none" w:sz="0" w:space="0" w:color="auto"/>
      </w:divBdr>
    </w:div>
    <w:div w:id="907762835">
      <w:bodyDiv w:val="1"/>
      <w:marLeft w:val="0"/>
      <w:marRight w:val="0"/>
      <w:marTop w:val="0"/>
      <w:marBottom w:val="0"/>
      <w:divBdr>
        <w:top w:val="none" w:sz="0" w:space="0" w:color="auto"/>
        <w:left w:val="none" w:sz="0" w:space="0" w:color="auto"/>
        <w:bottom w:val="none" w:sz="0" w:space="0" w:color="auto"/>
        <w:right w:val="none" w:sz="0" w:space="0" w:color="auto"/>
      </w:divBdr>
    </w:div>
    <w:div w:id="979849000">
      <w:bodyDiv w:val="1"/>
      <w:marLeft w:val="0"/>
      <w:marRight w:val="0"/>
      <w:marTop w:val="0"/>
      <w:marBottom w:val="0"/>
      <w:divBdr>
        <w:top w:val="none" w:sz="0" w:space="0" w:color="auto"/>
        <w:left w:val="none" w:sz="0" w:space="0" w:color="auto"/>
        <w:bottom w:val="none" w:sz="0" w:space="0" w:color="auto"/>
        <w:right w:val="none" w:sz="0" w:space="0" w:color="auto"/>
      </w:divBdr>
    </w:div>
    <w:div w:id="1186989442">
      <w:bodyDiv w:val="1"/>
      <w:marLeft w:val="0"/>
      <w:marRight w:val="0"/>
      <w:marTop w:val="0"/>
      <w:marBottom w:val="0"/>
      <w:divBdr>
        <w:top w:val="none" w:sz="0" w:space="0" w:color="auto"/>
        <w:left w:val="none" w:sz="0" w:space="0" w:color="auto"/>
        <w:bottom w:val="none" w:sz="0" w:space="0" w:color="auto"/>
        <w:right w:val="none" w:sz="0" w:space="0" w:color="auto"/>
      </w:divBdr>
    </w:div>
    <w:div w:id="1408260130">
      <w:bodyDiv w:val="1"/>
      <w:marLeft w:val="0"/>
      <w:marRight w:val="0"/>
      <w:marTop w:val="0"/>
      <w:marBottom w:val="0"/>
      <w:divBdr>
        <w:top w:val="none" w:sz="0" w:space="0" w:color="auto"/>
        <w:left w:val="none" w:sz="0" w:space="0" w:color="auto"/>
        <w:bottom w:val="none" w:sz="0" w:space="0" w:color="auto"/>
        <w:right w:val="none" w:sz="0" w:space="0" w:color="auto"/>
      </w:divBdr>
    </w:div>
    <w:div w:id="1442411706">
      <w:bodyDiv w:val="1"/>
      <w:marLeft w:val="0"/>
      <w:marRight w:val="0"/>
      <w:marTop w:val="0"/>
      <w:marBottom w:val="0"/>
      <w:divBdr>
        <w:top w:val="none" w:sz="0" w:space="0" w:color="auto"/>
        <w:left w:val="none" w:sz="0" w:space="0" w:color="auto"/>
        <w:bottom w:val="none" w:sz="0" w:space="0" w:color="auto"/>
        <w:right w:val="none" w:sz="0" w:space="0" w:color="auto"/>
      </w:divBdr>
    </w:div>
    <w:div w:id="1535922878">
      <w:bodyDiv w:val="1"/>
      <w:marLeft w:val="0"/>
      <w:marRight w:val="0"/>
      <w:marTop w:val="0"/>
      <w:marBottom w:val="0"/>
      <w:divBdr>
        <w:top w:val="none" w:sz="0" w:space="0" w:color="auto"/>
        <w:left w:val="none" w:sz="0" w:space="0" w:color="auto"/>
        <w:bottom w:val="none" w:sz="0" w:space="0" w:color="auto"/>
        <w:right w:val="none" w:sz="0" w:space="0" w:color="auto"/>
      </w:divBdr>
    </w:div>
    <w:div w:id="1611276949">
      <w:bodyDiv w:val="1"/>
      <w:marLeft w:val="0"/>
      <w:marRight w:val="0"/>
      <w:marTop w:val="0"/>
      <w:marBottom w:val="0"/>
      <w:divBdr>
        <w:top w:val="none" w:sz="0" w:space="0" w:color="auto"/>
        <w:left w:val="none" w:sz="0" w:space="0" w:color="auto"/>
        <w:bottom w:val="none" w:sz="0" w:space="0" w:color="auto"/>
        <w:right w:val="none" w:sz="0" w:space="0" w:color="auto"/>
      </w:divBdr>
      <w:divsChild>
        <w:div w:id="822620296">
          <w:marLeft w:val="0"/>
          <w:marRight w:val="0"/>
          <w:marTop w:val="0"/>
          <w:marBottom w:val="0"/>
          <w:divBdr>
            <w:top w:val="none" w:sz="0" w:space="0" w:color="auto"/>
            <w:left w:val="none" w:sz="0" w:space="0" w:color="auto"/>
            <w:bottom w:val="none" w:sz="0" w:space="0" w:color="auto"/>
            <w:right w:val="none" w:sz="0" w:space="0" w:color="auto"/>
          </w:divBdr>
          <w:divsChild>
            <w:div w:id="2117675953">
              <w:marLeft w:val="0"/>
              <w:marRight w:val="0"/>
              <w:marTop w:val="0"/>
              <w:marBottom w:val="0"/>
              <w:divBdr>
                <w:top w:val="none" w:sz="0" w:space="0" w:color="auto"/>
                <w:left w:val="none" w:sz="0" w:space="0" w:color="auto"/>
                <w:bottom w:val="none" w:sz="0" w:space="0" w:color="auto"/>
                <w:right w:val="none" w:sz="0" w:space="0" w:color="auto"/>
              </w:divBdr>
            </w:div>
          </w:divsChild>
        </w:div>
        <w:div w:id="465705221">
          <w:marLeft w:val="0"/>
          <w:marRight w:val="0"/>
          <w:marTop w:val="0"/>
          <w:marBottom w:val="0"/>
          <w:divBdr>
            <w:top w:val="none" w:sz="0" w:space="0" w:color="auto"/>
            <w:left w:val="none" w:sz="0" w:space="0" w:color="auto"/>
            <w:bottom w:val="none" w:sz="0" w:space="0" w:color="auto"/>
            <w:right w:val="none" w:sz="0" w:space="0" w:color="auto"/>
          </w:divBdr>
          <w:divsChild>
            <w:div w:id="1652253473">
              <w:marLeft w:val="0"/>
              <w:marRight w:val="0"/>
              <w:marTop w:val="0"/>
              <w:marBottom w:val="0"/>
              <w:divBdr>
                <w:top w:val="none" w:sz="0" w:space="0" w:color="auto"/>
                <w:left w:val="none" w:sz="0" w:space="0" w:color="auto"/>
                <w:bottom w:val="none" w:sz="0" w:space="0" w:color="auto"/>
                <w:right w:val="none" w:sz="0" w:space="0" w:color="auto"/>
              </w:divBdr>
              <w:divsChild>
                <w:div w:id="477773100">
                  <w:marLeft w:val="0"/>
                  <w:marRight w:val="0"/>
                  <w:marTop w:val="0"/>
                  <w:marBottom w:val="0"/>
                  <w:divBdr>
                    <w:top w:val="none" w:sz="0" w:space="0" w:color="auto"/>
                    <w:left w:val="none" w:sz="0" w:space="0" w:color="auto"/>
                    <w:bottom w:val="none" w:sz="0" w:space="0" w:color="auto"/>
                    <w:right w:val="none" w:sz="0" w:space="0" w:color="auto"/>
                  </w:divBdr>
                  <w:divsChild>
                    <w:div w:id="149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0137">
      <w:bodyDiv w:val="1"/>
      <w:marLeft w:val="0"/>
      <w:marRight w:val="0"/>
      <w:marTop w:val="0"/>
      <w:marBottom w:val="0"/>
      <w:divBdr>
        <w:top w:val="none" w:sz="0" w:space="0" w:color="auto"/>
        <w:left w:val="none" w:sz="0" w:space="0" w:color="auto"/>
        <w:bottom w:val="none" w:sz="0" w:space="0" w:color="auto"/>
        <w:right w:val="none" w:sz="0" w:space="0" w:color="auto"/>
      </w:divBdr>
    </w:div>
    <w:div w:id="1675494530">
      <w:bodyDiv w:val="1"/>
      <w:marLeft w:val="0"/>
      <w:marRight w:val="0"/>
      <w:marTop w:val="0"/>
      <w:marBottom w:val="0"/>
      <w:divBdr>
        <w:top w:val="none" w:sz="0" w:space="0" w:color="auto"/>
        <w:left w:val="none" w:sz="0" w:space="0" w:color="auto"/>
        <w:bottom w:val="none" w:sz="0" w:space="0" w:color="auto"/>
        <w:right w:val="none" w:sz="0" w:space="0" w:color="auto"/>
      </w:divBdr>
    </w:div>
    <w:div w:id="1698659853">
      <w:bodyDiv w:val="1"/>
      <w:marLeft w:val="0"/>
      <w:marRight w:val="0"/>
      <w:marTop w:val="0"/>
      <w:marBottom w:val="0"/>
      <w:divBdr>
        <w:top w:val="none" w:sz="0" w:space="0" w:color="auto"/>
        <w:left w:val="none" w:sz="0" w:space="0" w:color="auto"/>
        <w:bottom w:val="none" w:sz="0" w:space="0" w:color="auto"/>
        <w:right w:val="none" w:sz="0" w:space="0" w:color="auto"/>
      </w:divBdr>
    </w:div>
    <w:div w:id="1878814110">
      <w:bodyDiv w:val="1"/>
      <w:marLeft w:val="0"/>
      <w:marRight w:val="0"/>
      <w:marTop w:val="0"/>
      <w:marBottom w:val="0"/>
      <w:divBdr>
        <w:top w:val="none" w:sz="0" w:space="0" w:color="auto"/>
        <w:left w:val="none" w:sz="0" w:space="0" w:color="auto"/>
        <w:bottom w:val="none" w:sz="0" w:space="0" w:color="auto"/>
        <w:right w:val="none" w:sz="0" w:space="0" w:color="auto"/>
      </w:divBdr>
    </w:div>
    <w:div w:id="2011247996">
      <w:bodyDiv w:val="1"/>
      <w:marLeft w:val="0"/>
      <w:marRight w:val="0"/>
      <w:marTop w:val="0"/>
      <w:marBottom w:val="0"/>
      <w:divBdr>
        <w:top w:val="none" w:sz="0" w:space="0" w:color="auto"/>
        <w:left w:val="none" w:sz="0" w:space="0" w:color="auto"/>
        <w:bottom w:val="none" w:sz="0" w:space="0" w:color="auto"/>
        <w:right w:val="none" w:sz="0" w:space="0" w:color="auto"/>
      </w:divBdr>
    </w:div>
    <w:div w:id="2073769367">
      <w:bodyDiv w:val="1"/>
      <w:marLeft w:val="0"/>
      <w:marRight w:val="0"/>
      <w:marTop w:val="0"/>
      <w:marBottom w:val="0"/>
      <w:divBdr>
        <w:top w:val="none" w:sz="0" w:space="0" w:color="auto"/>
        <w:left w:val="none" w:sz="0" w:space="0" w:color="auto"/>
        <w:bottom w:val="none" w:sz="0" w:space="0" w:color="auto"/>
        <w:right w:val="none" w:sz="0" w:space="0" w:color="auto"/>
      </w:divBdr>
    </w:div>
    <w:div w:id="2076463961">
      <w:bodyDiv w:val="1"/>
      <w:marLeft w:val="0"/>
      <w:marRight w:val="0"/>
      <w:marTop w:val="0"/>
      <w:marBottom w:val="0"/>
      <w:divBdr>
        <w:top w:val="none" w:sz="0" w:space="0" w:color="auto"/>
        <w:left w:val="none" w:sz="0" w:space="0" w:color="auto"/>
        <w:bottom w:val="none" w:sz="0" w:space="0" w:color="auto"/>
        <w:right w:val="none" w:sz="0" w:space="0" w:color="auto"/>
      </w:divBdr>
    </w:div>
    <w:div w:id="21043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google.com/document/d/1FL34-YFJrfr4GEjYLiNiZqF47gSeZOugv0lBHKa9nRs/edi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IhIiX0Voxq_55bcJZ0E8bwFs_gGGKpUL?usp=sharing"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6615-AB53-43F4-8CD8-162F082B6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3625</TotalTime>
  <Pages>13</Pages>
  <Words>11527</Words>
  <Characters>63399</Characters>
  <Application>Microsoft Office Word</Application>
  <DocSecurity>0</DocSecurity>
  <Lines>528</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González Santa Cruz</dc:creator>
  <cp:keywords/>
  <dc:description/>
  <cp:lastModifiedBy>Andrés González Santa Cruz</cp:lastModifiedBy>
  <cp:revision>64</cp:revision>
  <dcterms:created xsi:type="dcterms:W3CDTF">2022-12-06T16:11:00Z</dcterms:created>
  <dcterms:modified xsi:type="dcterms:W3CDTF">2022-12-28T23:04:00Z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9f2c0514-5b27-36ae-b430-911a004a9b78</vt:lpwstr>
  </property>
  <property fmtid="{D5CDD505-2E9C-101B-9397-08002B2CF9AE}" pid="4" name="Mendeley Citation Style_1">
    <vt:lpwstr>http://www.zotero.org/styles/revista-de-ciencia-politica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http://csl.mendeley.com/styles/96912/apa-no-ampersand-bupna-4</vt:lpwstr>
  </property>
  <property fmtid="{D5CDD505-2E9C-101B-9397-08002B2CF9AE}" pid="10" name="Mendeley Recent Style Name 2_1">
    <vt:lpwstr>BUPNA - APA 7ª ed. (Spanish-caps-all-no &amp;)</vt:lpwstr>
  </property>
  <property fmtid="{D5CDD505-2E9C-101B-9397-08002B2CF9AE}" pid="11" name="Mendeley Recent Style Id 3_1">
    <vt:lpwstr>http://csl.mendeley.com/styles/96912/apa-no-ampersand-bupna</vt:lpwstr>
  </property>
  <property fmtid="{D5CDD505-2E9C-101B-9397-08002B2CF9AE}" pid="12" name="Mendeley Recent Style Name 3_1">
    <vt:lpwstr>BUPNA - APA 7ª ed. (Spanish-no &amp;)</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http://www.zotero.org/styles/revista-de-ciencia-politica</vt:lpwstr>
  </property>
  <property fmtid="{D5CDD505-2E9C-101B-9397-08002B2CF9AE}" pid="22" name="Mendeley Recent Style Name 8_1">
    <vt:lpwstr>Revista de Ciencia Política</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