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60F6CE" w14:textId="77777777" w:rsidR="00394A20" w:rsidRDefault="006A6363">
      <w:pPr>
        <w:pStyle w:val="Normal0"/>
        <w:rPr>
          <w:rFonts w:ascii="Calibri" w:eastAsia="Calibri" w:hAnsi="Calibri"/>
          <w:color w:val="000000"/>
          <w:sz w:val="22"/>
          <w:shd w:val="clear" w:color="auto" w:fill="D3D3D3"/>
        </w:rPr>
      </w:pPr>
      <w:r>
        <w:rPr>
          <w:rFonts w:ascii="Calibri" w:eastAsia="Calibri" w:hAnsi="Calibri"/>
          <w:b/>
          <w:color w:val="000000"/>
          <w:sz w:val="22"/>
          <w:shd w:val="clear" w:color="auto" w:fill="D3D3D3"/>
        </w:rPr>
        <w:t xml:space="preserve">Nombre: </w:t>
      </w:r>
      <w:r>
        <w:rPr>
          <w:rFonts w:ascii="Calibri" w:eastAsia="Calibri" w:hAnsi="Calibri"/>
          <w:color w:val="000000"/>
          <w:sz w:val="22"/>
          <w:shd w:val="clear" w:color="auto" w:fill="D3D3D3"/>
        </w:rPr>
        <w:t>contenido_extra</w:t>
      </w:r>
    </w:p>
    <w:p w14:paraId="59E8F960" w14:textId="77777777" w:rsidR="00394A20" w:rsidRDefault="00394A20">
      <w:pPr>
        <w:pStyle w:val="Normal0"/>
        <w:rPr>
          <w:rFonts w:ascii="Calibri" w:eastAsia="Calibri" w:hAnsi="Calibri"/>
          <w:color w:val="000000"/>
          <w:sz w:val="22"/>
          <w:shd w:val="clear" w:color="auto" w:fill="D3D3D3"/>
        </w:rPr>
      </w:pPr>
    </w:p>
    <w:p w14:paraId="59B3CF16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internos\\20132\\a02&gt; - § 1 referencia codificada  [Cobertura 1,43%]</w:t>
      </w:r>
    </w:p>
    <w:p w14:paraId="621C5874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747A55B2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Cobertura 1,43%</w:t>
      </w:r>
    </w:p>
    <w:p w14:paraId="14367BA9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0932CEC0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Por último, destacar que el examen deja fuera el consumo de alcohol, cigarro y cannabis sativa, que son consideradas drogas blandas en el reglamento.</w:t>
      </w:r>
    </w:p>
    <w:p w14:paraId="7D3252BE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0E9D4FAB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internos\\20132\\a04&gt; - § 3 referencias codificadas  [Cobertura 0,89%]</w:t>
      </w:r>
    </w:p>
    <w:p w14:paraId="44060459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35E1B122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ra 0,39%</w:t>
      </w:r>
    </w:p>
    <w:p w14:paraId="2E554749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189C7E82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Y si bien los resultados serán públicos, el informe, sin embargo, no precisará qué tipo de estupefaciente o psicotrópico es.</w:t>
      </w:r>
    </w:p>
    <w:p w14:paraId="46AE038A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1CCA9575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2 - Cobertura 0,15%</w:t>
      </w:r>
    </w:p>
    <w:p w14:paraId="22D4788E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4C21AB43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examen pesquisa 8 grupos distintos de sustancias</w:t>
      </w:r>
    </w:p>
    <w:p w14:paraId="42B414B6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118B6F20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3 - Cobertura 0,35%</w:t>
      </w:r>
    </w:p>
    <w:p w14:paraId="2D32CC68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10D88AF3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 xml:space="preserve">Ética </w:t>
      </w:r>
      <w:r>
        <w:rPr>
          <w:rFonts w:ascii="Segoe UI" w:eastAsia="Segoe UI" w:hAnsi="Segoe UI"/>
          <w:sz w:val="20"/>
        </w:rPr>
        <w:t>de la Cámara Baja, instancia que podría aplicar multas y un reproche público como medidas disciplinarias</w:t>
      </w:r>
    </w:p>
    <w:p w14:paraId="5E574599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5515D6B2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internos\\20132\\a07&gt; - § 2 referencias codificadas  [Cobertura 1,50%]</w:t>
      </w:r>
    </w:p>
    <w:p w14:paraId="41DA5BE2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7103B22F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Cobertura 0,74%</w:t>
      </w:r>
    </w:p>
    <w:p w14:paraId="35D7A10C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2C4A1976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quienes no se sometieron al test o dieron positivo con una droga ilícita o no certificada médicamente. El informe, sin embargo, no precisará qué tipo de estupefaciente o psicotrópico es.</w:t>
      </w:r>
    </w:p>
    <w:p w14:paraId="31BF7E03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1A521122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2 - Cobertura 0,76%</w:t>
      </w:r>
    </w:p>
    <w:p w14:paraId="5968093C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0737325E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fármaco con licencia médica aparecerán como negativos, al igual que todos aquellos que no hayan arrojado ningún tipo de droga. En esa línea, el examen pesquisa 8 grupos distintos de sustancias.</w:t>
      </w:r>
    </w:p>
    <w:p w14:paraId="6B940561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289F5426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internos\\20132\\a09&gt; - § 3 referencias codificada</w:t>
      </w:r>
      <w:r>
        <w:rPr>
          <w:rFonts w:ascii="Segoe UI" w:eastAsia="Segoe UI" w:hAnsi="Segoe UI"/>
          <w:sz w:val="20"/>
          <w:shd w:val="clear" w:color="auto" w:fill="D3D3D3"/>
        </w:rPr>
        <w:t>s  [Cobertura 3,23%]</w:t>
      </w:r>
    </w:p>
    <w:p w14:paraId="036BFDAA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60EF1DA6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Cobertura 2,01%</w:t>
      </w:r>
    </w:p>
    <w:p w14:paraId="505160AA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5CF64128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se acordó suprimir los incisos primero y segundo del artículo 11 por “inconstitucional”. Estos establecían que “el diputado cuyo examen arroje un resultado positivo deberá inhabilitarse de todas las vot</w:t>
      </w:r>
      <w:r>
        <w:rPr>
          <w:rFonts w:ascii="Segoe UI" w:eastAsia="Segoe UI" w:hAnsi="Segoe UI"/>
          <w:sz w:val="20"/>
        </w:rPr>
        <w:t>aciones relacionadas con la prevención y control de consumo de drogas, estupefacientes o sustancias psicotrópicas productoras de dependencia física o psíquica, capaces de provocar graves efectos tóxicos o daños considerables a la salud sin la debida autori</w:t>
      </w:r>
      <w:r>
        <w:rPr>
          <w:rFonts w:ascii="Segoe UI" w:eastAsia="Segoe UI" w:hAnsi="Segoe UI"/>
          <w:sz w:val="20"/>
        </w:rPr>
        <w:t>zación, contempladas en la ley N° 20.000″ y que “el diputado que se niegue injustificadamente a realizarse el control, tendrá como sanción adicional la establecida en el inciso precedente”,</w:t>
      </w:r>
    </w:p>
    <w:p w14:paraId="6E2E8ED8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0B2AE337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2 - Cobertura 0,48%</w:t>
      </w:r>
    </w:p>
    <w:p w14:paraId="075B7A71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5B750323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Coloma (UDI), quien propuso inter</w:t>
      </w:r>
      <w:r>
        <w:rPr>
          <w:rFonts w:ascii="Segoe UI" w:eastAsia="Segoe UI" w:hAnsi="Segoe UI"/>
          <w:sz w:val="20"/>
        </w:rPr>
        <w:t>calar en el artículo 1°, entre el vocablo “aleatorios” y la palabra “mediante”, la frase “cuyos resultados serán públicos”.</w:t>
      </w:r>
    </w:p>
    <w:p w14:paraId="3306377F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108BDE8D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3 - Cobertura 0,74%</w:t>
      </w:r>
    </w:p>
    <w:p w14:paraId="60E591C6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62164EDD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Coloma y de la diputada Pamela Jiles, quienes plantearon lo siguiente: “Todos los diputados en ejer</w:t>
      </w:r>
      <w:r>
        <w:rPr>
          <w:rFonts w:ascii="Segoe UI" w:eastAsia="Segoe UI" w:hAnsi="Segoe UI"/>
          <w:sz w:val="20"/>
        </w:rPr>
        <w:t>cicio deberán someterse a un control de drogas dentro del plazo de 30 días contados desde la fecha de aprobación del presente reglamento”.</w:t>
      </w:r>
    </w:p>
    <w:p w14:paraId="0CDC70BF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7FDDF78B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internos\\20132\\a11&gt; - § 2 referencias codificadas  [Cobertura 2,16%]</w:t>
      </w:r>
    </w:p>
    <w:p w14:paraId="016E9D7D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0B9C7FFB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Cobertura 1,70%</w:t>
      </w:r>
    </w:p>
    <w:p w14:paraId="0DE6832D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5F42FCCC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T</w:t>
      </w:r>
      <w:r>
        <w:rPr>
          <w:rFonts w:ascii="Segoe UI" w:eastAsia="Segoe UI" w:hAnsi="Segoe UI"/>
          <w:sz w:val="20"/>
        </w:rPr>
        <w:t>ambién hay una tercera opción, básicamente para los consumidores de marihuana. Dado que la cannabis tiene un uso terapéutico y medicinal, no todos están de acuerdo con judicializar este tema, camino que probablemente se materializaría a través de un recurs</w:t>
      </w:r>
      <w:r>
        <w:rPr>
          <w:rFonts w:ascii="Segoe UI" w:eastAsia="Segoe UI" w:hAnsi="Segoe UI"/>
          <w:sz w:val="20"/>
        </w:rPr>
        <w:t>o de protección ante la Corte de Apelaciones de Valparaíso.</w:t>
      </w:r>
    </w:p>
    <w:p w14:paraId="27E8FD15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3041DE0E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2 - Cobertura 0,47%</w:t>
      </w:r>
    </w:p>
    <w:p w14:paraId="69F0873D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4B812C4A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esta ventana solo aplicaría para la cannabis, que efectivamente tiene un uso medicinal,</w:t>
      </w:r>
    </w:p>
    <w:p w14:paraId="358CF9C3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7C56705F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internos\\20132\\a12&gt; - § 1 referencia codificada  [Cobertura 1</w:t>
      </w:r>
      <w:r>
        <w:rPr>
          <w:rFonts w:ascii="Segoe UI" w:eastAsia="Segoe UI" w:hAnsi="Segoe UI"/>
          <w:sz w:val="20"/>
          <w:shd w:val="clear" w:color="auto" w:fill="D3D3D3"/>
        </w:rPr>
        <w:t>,06%]</w:t>
      </w:r>
    </w:p>
    <w:p w14:paraId="1B21F81B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0137E693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Cobertura 1,06%</w:t>
      </w:r>
    </w:p>
    <w:p w14:paraId="589542CF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7130DBE2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 xml:space="preserve">Difusión de la identidad de los involucrados no puede ser usada con fines políticos o </w:t>
      </w:r>
    </w:p>
    <w:p w14:paraId="7A706CDA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periodísticos, no obstante, casos positivos quedarían expuestos indirectamente cuando aquel legislador aparezca como inhabilitado para votar normas sobre drogas</w:t>
      </w:r>
    </w:p>
    <w:p w14:paraId="460CDBDC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765B59B7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internos\\20132\\a14&gt; - § 2 referencias codificadas  [Cobertura 2,43%]</w:t>
      </w:r>
    </w:p>
    <w:p w14:paraId="298DB6AC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3CA59B42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Cobertura 1,02%</w:t>
      </w:r>
    </w:p>
    <w:p w14:paraId="38420459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57ADAE36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Este examen se transformó en norma legal, al quedar dentro de la Ley de Presupuestos de 2022, que se aprobó a finales del año pasado. Sin emb</w:t>
      </w:r>
      <w:r>
        <w:rPr>
          <w:rFonts w:ascii="Segoe UI" w:eastAsia="Segoe UI" w:hAnsi="Segoe UI"/>
          <w:sz w:val="20"/>
        </w:rPr>
        <w:t>argo, para su implementación requería de un reglamento específico, que hasta la fecha aún no está elaborado.</w:t>
      </w:r>
    </w:p>
    <w:p w14:paraId="3D012C54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710E5CC4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2 - Cobertura 1,41%</w:t>
      </w:r>
    </w:p>
    <w:p w14:paraId="4F09CBA1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45D5C637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Entre los argumentos del Frente Amplio para oponerse al cambio de la tabla estaba el hecho de que el miércoles est</w:t>
      </w:r>
      <w:r>
        <w:rPr>
          <w:rFonts w:ascii="Segoe UI" w:eastAsia="Segoe UI" w:hAnsi="Segoe UI"/>
          <w:sz w:val="20"/>
        </w:rPr>
        <w:t>aba en primer lugar de discusión el proyecto que sanciona la discriminación en los establecimientos educacionales por temas de identidad sexual y de género, materia considerada prioritaria para los parlamentarios de esa coalición</w:t>
      </w:r>
    </w:p>
    <w:p w14:paraId="352206F2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75713905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lastRenderedPageBreak/>
        <w:t>&lt;Elementos internos\\2013</w:t>
      </w:r>
      <w:r>
        <w:rPr>
          <w:rFonts w:ascii="Segoe UI" w:eastAsia="Segoe UI" w:hAnsi="Segoe UI"/>
          <w:sz w:val="20"/>
          <w:shd w:val="clear" w:color="auto" w:fill="D3D3D3"/>
        </w:rPr>
        <w:t>2\\a17&gt; - § 2 referencias codificadas  [Cobertura 2,82%]</w:t>
      </w:r>
    </w:p>
    <w:p w14:paraId="13A55D1F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49F21BBE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Cobertura 1,25%</w:t>
      </w:r>
    </w:p>
    <w:p w14:paraId="681F2BAD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0EDB7C05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la Corte de Valparaíso debió volver a pronunciarse sobre el recurso y finalmente resolvió desechar la orden de no innovar requerida por las diputadas para que los res</w:t>
      </w:r>
      <w:r>
        <w:rPr>
          <w:rFonts w:ascii="Segoe UI" w:eastAsia="Segoe UI" w:hAnsi="Segoe UI"/>
          <w:sz w:val="20"/>
        </w:rPr>
        <w:t>ultados del test no sean difundidos.</w:t>
      </w:r>
    </w:p>
    <w:p w14:paraId="15317C13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2671977B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2 - Cobertura 1,57%</w:t>
      </w:r>
    </w:p>
    <w:p w14:paraId="6ECD1476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4C96D758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alcance transitorio, por lo tanto, el recurso de protección no ha finalizado, ya que las diputadas pueden volver a insistir en la Corte Suprema, aunque por el tiempo acotado que existe a</w:t>
      </w:r>
      <w:r>
        <w:rPr>
          <w:rFonts w:ascii="Segoe UI" w:eastAsia="Segoe UI" w:hAnsi="Segoe UI"/>
          <w:sz w:val="20"/>
        </w:rPr>
        <w:t>ntes de la difusión de los resultados, no parece factible impedirlo</w:t>
      </w:r>
    </w:p>
    <w:p w14:paraId="51D03B23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3C798455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internos\\20132\\a23&gt; - § 1 referencia codificada  [Cobertura 1,32%]</w:t>
      </w:r>
    </w:p>
    <w:p w14:paraId="1CD689D2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6D720811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Cobertura 1,32%</w:t>
      </w:r>
    </w:p>
    <w:p w14:paraId="4AAC58A8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50D1EED6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El diputado Durán no asistió ese día a la cita, por lo tanto, solo se recibieron las excusas de Santibáñez y Sagardía quienes, por lo demás, son parte de las recurrentes en un recurso de protección en contra del test, escrito que este miércoles fue nuevame</w:t>
      </w:r>
      <w:r>
        <w:rPr>
          <w:rFonts w:ascii="Segoe UI" w:eastAsia="Segoe UI" w:hAnsi="Segoe UI"/>
          <w:sz w:val="20"/>
        </w:rPr>
        <w:t>nte rechazado por la Corte de Apelaciones de Valparaíso.</w:t>
      </w:r>
    </w:p>
    <w:p w14:paraId="20C45E5D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2864C85D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internos\\20132\\a31&gt; - § 1 referencia codificada  [Cobertura 2,37%]</w:t>
      </w:r>
    </w:p>
    <w:p w14:paraId="3D676290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423D12CB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Cobertura 2,37%</w:t>
      </w:r>
    </w:p>
    <w:p w14:paraId="3C06BF7A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69EC7AF8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Asimismo, la Ley Nº 18.575 decreto 1215 (Orgánica Constitucional de la Administración</w:t>
      </w:r>
      <w:r>
        <w:rPr>
          <w:rFonts w:ascii="Segoe UI" w:eastAsia="Segoe UI" w:hAnsi="Segoe UI"/>
          <w:sz w:val="20"/>
        </w:rPr>
        <w:t xml:space="preserve"> del Estado) obliga a someterse a control de consumo de sustancias o drogas estupefacientes o sicotrópicas ilegales a diferentes funcionarios del Estado.</w:t>
      </w:r>
    </w:p>
    <w:p w14:paraId="30365928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30071DF0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internos\\20132\\a32&gt; - § 1 referencia codificada  [Cobertura 0,62%]</w:t>
      </w:r>
    </w:p>
    <w:p w14:paraId="1C1441D4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502E19FD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</w:t>
      </w:r>
      <w:r>
        <w:rPr>
          <w:rFonts w:ascii="Segoe UI" w:eastAsia="Segoe UI" w:hAnsi="Segoe UI"/>
          <w:color w:val="000000"/>
          <w:sz w:val="20"/>
          <w:shd w:val="clear" w:color="auto" w:fill="D3D3D3"/>
        </w:rPr>
        <w:t>tura 0,62%</w:t>
      </w:r>
    </w:p>
    <w:p w14:paraId="13A7CCB0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2764443F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Reglamento que busca inhabilitar en futuras votaciones de temáticas de drogas a los congresistas que arrojen un examen positivo, pesquisa que no se replicará a los integrantes del Senado.</w:t>
      </w:r>
    </w:p>
    <w:p w14:paraId="4C9AE33A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6D0C06B4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internos\\20132\\a53&gt; - § 1 referencia codif</w:t>
      </w:r>
      <w:r>
        <w:rPr>
          <w:rFonts w:ascii="Segoe UI" w:eastAsia="Segoe UI" w:hAnsi="Segoe UI"/>
          <w:sz w:val="20"/>
          <w:shd w:val="clear" w:color="auto" w:fill="D3D3D3"/>
        </w:rPr>
        <w:t>icada  [Cobertura 0,63%]</w:t>
      </w:r>
    </w:p>
    <w:p w14:paraId="016A110B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5D1C8AF7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Cobertura 0,63%</w:t>
      </w:r>
    </w:p>
    <w:p w14:paraId="2B0C19DF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0A4953C9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le rogaría que me explicara cuál es la ~nalidad de esto”</w:t>
      </w:r>
    </w:p>
    <w:p w14:paraId="3A1FFC58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782089E4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internos\\20132\\a73&gt; - § 2 referencias codificadas  [Cobertura 5,97%]</w:t>
      </w:r>
    </w:p>
    <w:p w14:paraId="1356EC70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08B93ADD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Cobertura 2,57%</w:t>
      </w:r>
    </w:p>
    <w:p w14:paraId="4513F046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28F58BEA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El reportaje reveló que 63 diputados aseguraron haber consumido algún tipo de drogas en su vida, lo que representa un 40,65% de los congresis</w:t>
      </w:r>
      <w:r>
        <w:rPr>
          <w:rFonts w:ascii="Segoe UI" w:eastAsia="Segoe UI" w:hAnsi="Segoe UI"/>
          <w:sz w:val="20"/>
        </w:rPr>
        <w:t>tas.</w:t>
      </w:r>
    </w:p>
    <w:p w14:paraId="6F056BB8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3E025845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2 - Cobertura 3,40%</w:t>
      </w:r>
    </w:p>
    <w:p w14:paraId="7B013497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784B89C6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Renovación Nacional es el partido de derecha con mayor cantidad de parlamentarios que confesaron haber consumido estupefacientes (8 en total). En tanto, Evópoli cuenta con 5 y en la UDI hay 4.</w:t>
      </w:r>
    </w:p>
    <w:p w14:paraId="04F17A21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3EE6E794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internos\\20132\\b108&gt; - § 1 referencia codificada  [Cobertura 0,57%]</w:t>
      </w:r>
    </w:p>
    <w:p w14:paraId="3B4EFD52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6059037C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Cobertura 0,57%</w:t>
      </w:r>
    </w:p>
    <w:p w14:paraId="51E79DF0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3DA2DDA0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>THC (marihuana), cocaína, benzodiacepinas, anfetaminas, metanfetaminas y opiáceos.</w:t>
      </w:r>
    </w:p>
    <w:p w14:paraId="2C1D0A02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p w14:paraId="7115C21E" w14:textId="77777777" w:rsidR="00394A20" w:rsidRDefault="006A6363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  <w:r>
        <w:rPr>
          <w:rFonts w:ascii="Segoe UI" w:eastAsia="Segoe UI" w:hAnsi="Segoe UI"/>
          <w:sz w:val="20"/>
          <w:shd w:val="clear" w:color="auto" w:fill="D3D3D3"/>
        </w:rPr>
        <w:t>&lt;Elementos internos\\20132\\c119&gt; - § 1 referencia codific</w:t>
      </w:r>
      <w:r>
        <w:rPr>
          <w:rFonts w:ascii="Segoe UI" w:eastAsia="Segoe UI" w:hAnsi="Segoe UI"/>
          <w:sz w:val="20"/>
          <w:shd w:val="clear" w:color="auto" w:fill="D3D3D3"/>
        </w:rPr>
        <w:t>ada  [Cobertura 4,41%]</w:t>
      </w:r>
    </w:p>
    <w:p w14:paraId="6AC4FF78" w14:textId="77777777" w:rsidR="00394A20" w:rsidRDefault="00394A20">
      <w:pPr>
        <w:pStyle w:val="Normal0"/>
        <w:rPr>
          <w:rFonts w:ascii="Segoe UI" w:eastAsia="Segoe UI" w:hAnsi="Segoe UI"/>
          <w:sz w:val="20"/>
          <w:shd w:val="clear" w:color="auto" w:fill="D3D3D3"/>
        </w:rPr>
      </w:pPr>
    </w:p>
    <w:p w14:paraId="22898120" w14:textId="77777777" w:rsidR="00394A20" w:rsidRDefault="006A6363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  <w:r>
        <w:rPr>
          <w:rFonts w:ascii="Segoe UI" w:eastAsia="Segoe UI" w:hAnsi="Segoe UI"/>
          <w:color w:val="000000"/>
          <w:sz w:val="20"/>
          <w:shd w:val="clear" w:color="auto" w:fill="D3D3D3"/>
        </w:rPr>
        <w:t>Referencia 1 - Cobertura 4,41%</w:t>
      </w:r>
    </w:p>
    <w:p w14:paraId="102B7D13" w14:textId="77777777" w:rsidR="00394A20" w:rsidRDefault="00394A20">
      <w:pPr>
        <w:pStyle w:val="Normal0"/>
        <w:rPr>
          <w:rFonts w:ascii="Segoe UI" w:eastAsia="Segoe UI" w:hAnsi="Segoe UI"/>
          <w:color w:val="000000"/>
          <w:sz w:val="20"/>
          <w:shd w:val="clear" w:color="auto" w:fill="D3D3D3"/>
        </w:rPr>
      </w:pPr>
    </w:p>
    <w:p w14:paraId="6F69EA36" w14:textId="77777777" w:rsidR="00394A20" w:rsidRDefault="006A6363">
      <w:pPr>
        <w:pStyle w:val="Normal0"/>
        <w:rPr>
          <w:rFonts w:ascii="Segoe UI" w:eastAsia="Segoe UI" w:hAnsi="Segoe UI"/>
          <w:sz w:val="20"/>
        </w:rPr>
      </w:pPr>
      <w:r>
        <w:rPr>
          <w:rFonts w:ascii="Segoe UI" w:eastAsia="Segoe UI" w:hAnsi="Segoe UI"/>
          <w:sz w:val="20"/>
        </w:rPr>
        <w:t xml:space="preserve">deberán justi~car l as transacciones superiores a 28.000 dól ares que hayan real i zado en un mi smo mes y, si no pueden hacerlo, serán sancionados con entre el 2 por ciento y el 1 5 por ciento de su </w:t>
      </w:r>
      <w:r>
        <w:rPr>
          <w:rFonts w:ascii="Segoe UI" w:eastAsia="Segoe UI" w:hAnsi="Segoe UI"/>
          <w:sz w:val="20"/>
        </w:rPr>
        <w:t>dieta parl amentaria</w:t>
      </w:r>
    </w:p>
    <w:p w14:paraId="0F64BF2B" w14:textId="41B10C78" w:rsidR="006A6363" w:rsidRDefault="006A6363" w:rsidP="006A636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</w:rPr>
      </w:pPr>
    </w:p>
    <w:p w14:paraId="4038291E" w14:textId="1AD64F61" w:rsidR="006A6363" w:rsidRDefault="006A6363" w:rsidP="006A636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Ana María Gazmuri</w:t>
      </w:r>
    </w:p>
    <w:p w14:paraId="17996722" w14:textId="27068F38" w:rsidR="006A6363" w:rsidRPr="006A6363" w:rsidRDefault="006A6363" w:rsidP="006A636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ú</w:t>
      </w:r>
      <w:r w:rsidRPr="006A6363">
        <w:rPr>
          <w:rFonts w:ascii="Segoe UI" w:hAnsi="Segoe UI" w:cs="Segoe UI"/>
          <w:sz w:val="20"/>
        </w:rPr>
        <w:t>nica legisladora que votó en contra de este reglamento</w:t>
      </w:r>
    </w:p>
    <w:p w14:paraId="73163181" w14:textId="77777777" w:rsidR="006A6363" w:rsidRPr="006A6363" w:rsidRDefault="006A6363" w:rsidP="006A636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</w:rPr>
      </w:pPr>
    </w:p>
    <w:p w14:paraId="4D4B0F2E" w14:textId="77777777" w:rsidR="00394A20" w:rsidRDefault="00394A20">
      <w:pPr>
        <w:pStyle w:val="Normal0"/>
        <w:rPr>
          <w:rFonts w:ascii="Segoe UI" w:eastAsia="Segoe UI" w:hAnsi="Segoe UI"/>
          <w:sz w:val="20"/>
        </w:rPr>
      </w:pPr>
    </w:p>
    <w:sectPr w:rsidR="00394A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A20"/>
    <w:rsid w:val="00394A20"/>
    <w:rsid w:val="006A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8B9CD"/>
  <w15:docId w15:val="{830EB82C-B730-49A3-9097-EA0314B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1096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Andrés González Santa Cruz</cp:lastModifiedBy>
  <cp:revision>2</cp:revision>
  <dcterms:created xsi:type="dcterms:W3CDTF">2022-12-28T22:48:00Z</dcterms:created>
  <dcterms:modified xsi:type="dcterms:W3CDTF">2022-12-28T22:48:00Z</dcterms:modified>
</cp:coreProperties>
</file>