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eámbulo-la-metamorfosis"/>
    <w:p>
      <w:pPr>
        <w:pStyle w:val="Heading1"/>
      </w:pPr>
      <w:r>
        <w:t xml:space="preserve">Preámbulo: La Metamorfosis</w:t>
      </w:r>
    </w:p>
    <w:p>
      <w:pPr>
        <w:pStyle w:val="FirstParagraph"/>
      </w:pPr>
      <w:r>
        <w:rPr>
          <w:i/>
          <w:iCs/>
        </w:rPr>
        <w:t xml:space="preserve">La mariposa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Morpho peleides</w:t>
      </w:r>
      <w:r>
        <w:rPr>
          <w:i/>
          <w:iCs/>
        </w:rPr>
        <w:t xml:space="preserve"> </w:t>
      </w:r>
      <w:r>
        <w:rPr>
          <w:i/>
          <w:iCs/>
        </w:rPr>
        <w:t xml:space="preserve">produce uno de los azules más</w:t>
      </w:r>
      <w:r>
        <w:rPr>
          <w:i/>
          <w:iCs/>
        </w:rPr>
        <w:t xml:space="preserve"> </w:t>
      </w:r>
      <w:r>
        <w:rPr>
          <w:i/>
          <w:iCs/>
        </w:rPr>
        <w:t xml:space="preserve">intensos del mundo natural. Sin embargo, ese color no existe.</w:t>
      </w:r>
      <w:r>
        <w:rPr>
          <w:i/>
          <w:iCs/>
        </w:rPr>
        <w:t xml:space="preserve"> </w:t>
      </w:r>
      <w:r>
        <w:rPr>
          <w:i/>
          <w:iCs/>
        </w:rPr>
        <w:t xml:space="preserve">No hay pigmento. Hay geometría.</w:t>
      </w:r>
      <w:r>
        <w:t xml:space="preserve"> </w:t>
      </w:r>
      <w:r>
        <w:t xml:space="preserve">— — Ariel García Traba, 2026</w:t>
      </w:r>
    </w:p>
    <w:bookmarkStart w:id="9" w:name="Xc219d8aa326928bea0a6eb73f30f3d9dbce9532"/>
    <w:p>
      <w:pPr>
        <w:pStyle w:val="Heading2"/>
      </w:pPr>
      <w:r>
        <w:t xml:space="preserve">El Problema: Dos Supercomputadoras Hablando por Telégrafo</w:t>
      </w:r>
    </w:p>
    <w:p>
      <w:pPr>
        <w:pStyle w:val="FirstParagraph"/>
      </w:pPr>
      <w:r>
        <w:t xml:space="preserve">En 1844, Samuel Morse envió el primer mensaje telegráfico de la historia:</w:t>
      </w:r>
      <w:r>
        <w:t xml:space="preserve"> </w:t>
      </w:r>
      <w:r>
        <w:rPr>
          <w:i/>
          <w:iCs/>
        </w:rPr>
        <w:t xml:space="preserve">“What hath God wrought.”</w:t>
      </w:r>
      <w:r>
        <w:t xml:space="preserve">. El canal era un hilo de cobre; el protocolo,</w:t>
      </w:r>
      <w:r>
        <w:t xml:space="preserve"> </w:t>
      </w:r>
      <w:r>
        <w:t xml:space="preserve">una secuencia discreta de pulsos largos y cortos. Un símbolo de ancho de banda</w:t>
      </w:r>
      <w:r>
        <w:t xml:space="preserve"> </w:t>
      </w:r>
      <w:r>
        <w:t xml:space="preserve">unidimensional en su esencia más pura.</w:t>
      </w:r>
    </w:p>
    <w:p>
      <w:pPr>
        <w:pStyle w:val="BodyText"/>
      </w:pPr>
      <w:r>
        <w:t xml:space="preserve">Ciento ochenta y dos años después, cuando dos modelos de lenguaje de última</w:t>
      </w:r>
      <w:r>
        <w:t xml:space="preserve"> </w:t>
      </w:r>
      <w:r>
        <w:t xml:space="preserve">generación — cada uno entrenado con cientos de terabytes de conocimiento humano,</w:t>
      </w:r>
      <w:r>
        <w:t xml:space="preserve"> </w:t>
      </w:r>
      <w:r>
        <w:t xml:space="preserve">operando sobre representaciones vectoriales en espacios de decenas de miles de</w:t>
      </w:r>
      <w:r>
        <w:t xml:space="preserve"> </w:t>
      </w:r>
      <w:r>
        <w:t xml:space="preserve">dimensiones — necesitan comunicarse entre sí, lo hacen exactamente igual que</w:t>
      </w:r>
      <w:r>
        <w:t xml:space="preserve"> </w:t>
      </w:r>
      <w:r>
        <w:t xml:space="preserve">Morse en 1844: mediante una secuencia discreta de símbolos unidimensionales.</w:t>
      </w:r>
      <w:r>
        <w:t xml:space="preserve"> </w:t>
      </w:r>
      <w:r>
        <w:t xml:space="preserve">Los llamamos</w:t>
      </w:r>
      <w:r>
        <w:t xml:space="preserve"> </w:t>
      </w:r>
      <w:r>
        <w:rPr>
          <w:i/>
          <w:iCs/>
        </w:rPr>
        <w:t xml:space="preserve">tokens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[POLYDIM]</w:t>
      </w:r>
      <w:r>
        <w:t xml:space="preserve"> </w:t>
      </w:r>
      <w:r>
        <w:rPr>
          <w:b/>
          <w:bCs/>
        </w:rPr>
        <w:t xml:space="preserve">La Paradoja Central de la IA Moderna:</w:t>
      </w:r>
      <w:r>
        <w:t xml:space="preserve"> </w:t>
      </w:r>
      <w:r>
        <w:t xml:space="preserve">Un modelo neuronal que procesa</w:t>
      </w:r>
      <w:r>
        <w:t xml:space="preserve"> </w:t>
      </w:r>
      <w:r>
        <w:t xml:space="preserve">geometría en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10000</m:t>
            </m:r>
          </m:sup>
        </m:sSup>
      </m:oMath>
      <w:r>
        <w:t xml:space="preserve"> </w:t>
      </w:r>
      <w:r>
        <w:t xml:space="preserve">— un espacio que requeriría</w:t>
      </w:r>
      <w:r>
        <w:t xml:space="preserve"> </w:t>
      </w:r>
      <m:oMath>
        <m:sSup>
          <m:e>
            <m:r>
              <m:t>10</m:t>
            </m:r>
          </m:e>
          <m:sup>
            <m:r>
              <m:t>9990</m:t>
            </m:r>
          </m:sup>
        </m:sSup>
      </m:oMath>
      <w:r>
        <w:t xml:space="preserve"> </w:t>
      </w:r>
      <w:r>
        <w:t xml:space="preserve">universos</w:t>
      </w:r>
      <w:r>
        <w:t xml:space="preserve"> </w:t>
      </w:r>
      <w:r>
        <w:t xml:space="preserve">como el nuestro para almacenar físicamente — debe comprimir todo ese</w:t>
      </w:r>
      <w:r>
        <w:t xml:space="preserve"> </w:t>
      </w:r>
      <w:r>
        <w:t xml:space="preserve">pensamiento en una secuencia de enteros de 16 bits para comunicarse con otro</w:t>
      </w:r>
      <w:r>
        <w:t xml:space="preserve"> </w:t>
      </w:r>
      <w:r>
        <w:t xml:space="preserve">agente idéntico ubicado en el mismo servidor, separado por apenas 100 nanosegundos</w:t>
      </w:r>
      <w:r>
        <w:t xml:space="preserve"> </w:t>
      </w:r>
      <w:r>
        <w:t xml:space="preserve">de latencia de memoria.</w:t>
      </w:r>
    </w:p>
    <w:p>
      <w:pPr>
        <w:pStyle w:val="BodyText"/>
      </w:pPr>
      <w:r>
        <w:t xml:space="preserve">Esta tesis doctoral es la demostración — matemática, empírica y filosófica —</w:t>
      </w:r>
      <w:r>
        <w:t xml:space="preserve"> </w:t>
      </w:r>
      <w:r>
        <w:t xml:space="preserve">de que esa paradoja no es un accidente de implementación sino una consecuencia</w:t>
      </w:r>
      <w:r>
        <w:t xml:space="preserve"> </w:t>
      </w:r>
      <w:r>
        <w:t xml:space="preserve">deliberada y costosísima de una decisión arquitectónica equivocada tomada en 2017,</w:t>
      </w:r>
      <w:r>
        <w:t xml:space="preserve"> </w:t>
      </w:r>
      <w:r>
        <w:t xml:space="preserve">y que existe una alternativa radical, matemáticamente superior, y ya implementada</w:t>
      </w:r>
      <w:r>
        <w:t xml:space="preserve"> </w:t>
      </w:r>
      <w:r>
        <w:t xml:space="preserve">y certificada en silicio real.</w:t>
      </w:r>
    </w:p>
    <w:bookmarkEnd w:id="9"/>
    <w:bookmarkStart w:id="10" w:name="X4c58872a32528bbd283bdfbfd275c6a1570c909"/>
    <w:p>
      <w:pPr>
        <w:pStyle w:val="Heading2"/>
      </w:pPr>
      <w:r>
        <w:t xml:space="preserve">La Mariposa Morfo: Una Analogía para la Geometría Latente</w:t>
      </w:r>
    </w:p>
    <w:p>
      <w:pPr>
        <w:pStyle w:val="FirstParagraph"/>
      </w:pPr>
      <w:r>
        <w:t xml:space="preserve">La mariposa</w:t>
      </w:r>
      <w:r>
        <w:t xml:space="preserve"> </w:t>
      </w:r>
      <w:r>
        <w:rPr>
          <w:i/>
          <w:iCs/>
        </w:rPr>
        <w:t xml:space="preserve">Morpho peleides</w:t>
      </w:r>
      <w:r>
        <w:t xml:space="preserve"> </w:t>
      </w:r>
      <w:r>
        <w:t xml:space="preserve">(la</w:t>
      </w:r>
      <w:r>
        <w:t xml:space="preserve"> </w:t>
      </w:r>
      <w:r>
        <w:t xml:space="preserve">“Mariposa Morfo de Pelé”</w:t>
      </w:r>
      <w:r>
        <w:t xml:space="preserve">) produce un</w:t>
      </w:r>
      <w:r>
        <w:t xml:space="preserve"> </w:t>
      </w:r>
      <w:r>
        <w:t xml:space="preserve">azul estructural de una intensidad que ningún pigmento sintético puede replicar.</w:t>
      </w:r>
      <w:r>
        <w:t xml:space="preserve"> </w:t>
      </w:r>
      <w:r>
        <w:t xml:space="preserve">El secreto no está en la química sino en la nanoestructura: láminas paralelas</w:t>
      </w:r>
      <w:r>
        <w:t xml:space="preserve"> </w:t>
      </w:r>
      <w:r>
        <w:t xml:space="preserve">de quitina con espaciado submicrométrico actúan como un cristal fotónico</w:t>
      </w:r>
      <w:r>
        <w:t xml:space="preserve"> </w:t>
      </w:r>
      <w:r>
        <w:t xml:space="preserve">que interfiere constructivamente en la longitud de onda del azul</w:t>
      </w:r>
      <w:r>
        <w:t xml:space="preserve"> </w:t>
      </w:r>
      <w:r>
        <w:t xml:space="preserve">(</w:t>
      </w:r>
      <m:oMath>
        <m:r>
          <m:t>λ</m:t>
        </m:r>
        <m:r>
          <m:rPr>
            <m:sty m:val="p"/>
          </m:rPr>
          <m:t>≈</m:t>
        </m:r>
        <m:r>
          <m:t>450</m:t>
        </m:r>
        <m:r>
          <m:t> </m:t>
        </m:r>
        <m:r>
          <m:rPr>
            <m:nor/>
            <m:sty m:val="p"/>
          </m:rPr>
          <m:t>nm</m:t>
        </m:r>
      </m:oMath>
      <w:r>
        <w:t xml:space="preserve">) y destruye todas las demás.</w:t>
      </w:r>
    </w:p>
    <w:p>
      <w:pPr>
        <w:pStyle w:val="BodyText"/>
      </w:pPr>
      <w:r>
        <w:t xml:space="preserve">La analogía con la cognición de la IA es exacta y no metafórica: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Las láminas de quitina son las representaciones latentes:</w:t>
      </w:r>
      <w:r>
        <w:t xml:space="preserve"> </w:t>
      </w:r>
      <w:r>
        <w:t xml:space="preserve">vectores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cuya geometría relativa codifica significado semántico.</w:t>
      </w:r>
      <w:r>
        <w:t xml:space="preserve"> </w:t>
      </w:r>
      <w:r>
        <w:t xml:space="preserve">La proximidad angular entre vectores (</w:t>
      </w:r>
      <m:oMath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⟨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⟩</m:t>
        </m:r>
      </m:oMath>
      <w:r>
        <w:t xml:space="preserve">)</w:t>
      </w:r>
      <w:r>
        <w:t xml:space="preserve"> </w:t>
      </w:r>
      <w:r>
        <w:t xml:space="preserve">es el sustrato del significado.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 color azul es la cognición emergente:</w:t>
      </w:r>
      <w:r>
        <w:t xml:space="preserve"> </w:t>
      </w:r>
      <w:r>
        <w:t xml:space="preserve">el resultado que emerge</w:t>
      </w:r>
      <w:r>
        <w:t xml:space="preserve"> </w:t>
      </w:r>
      <w:r>
        <w:t xml:space="preserve">de la geometría, no de ningún</w:t>
      </w:r>
      <w:r>
        <w:t xml:space="preserve"> </w:t>
      </w:r>
      <w:r>
        <w:t xml:space="preserve">“pigmento”</w:t>
      </w:r>
      <w:r>
        <w:t xml:space="preserve"> </w:t>
      </w:r>
      <w:r>
        <w:t xml:space="preserve">discreto. Dos modelos con</w:t>
      </w:r>
      <w:r>
        <w:t xml:space="preserve"> </w:t>
      </w:r>
      <w:r>
        <w:t xml:space="preserve">arquitecturas distintas pueden representar el mismo concepto con vectores</w:t>
      </w:r>
      <w:r>
        <w:t xml:space="preserve"> </w:t>
      </w:r>
      <w:r>
        <w:t xml:space="preserve">diferentes — lo que los hace equivalentes no es la representación superficial</w:t>
      </w:r>
      <w:r>
        <w:t xml:space="preserve"> </w:t>
      </w:r>
      <w:r>
        <w:t xml:space="preserve">sino la topología de relaciones.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 fotografía en blanco y negro es la tokenización:</w:t>
      </w:r>
      <w:r>
        <w:t xml:space="preserve"> </w:t>
      </w:r>
      <w:r>
        <w:t xml:space="preserve">capturar la mariposa en B&amp;N y decir que has capturado su esencia es</w:t>
      </w:r>
      <w:r>
        <w:t xml:space="preserve"> </w:t>
      </w:r>
      <w:r>
        <w:t xml:space="preserve">matemáticamente análogo a serializar un estado latente en tokens y declarar</w:t>
      </w:r>
      <w:r>
        <w:t xml:space="preserve"> </w:t>
      </w:r>
      <w:r>
        <w:t xml:space="preserve">que has preservado la información.</w:t>
      </w:r>
    </w:p>
    <w:p>
      <w:pPr>
        <w:pStyle w:val="FirstParagraph"/>
      </w:pPr>
      <w:r>
        <w:t xml:space="preserve">Esta analogía no es poética: es cuantificable mediante la Desigualdad de</w:t>
      </w:r>
      <w:r>
        <w:t xml:space="preserve"> </w:t>
      </w:r>
      <w:r>
        <w:t xml:space="preserve">Procesamiento de Datos (DPI), que demostramos formalmente en el Capítulo </w:t>
      </w:r>
      <w:hyperlink w:anchor="ch:dpi">
        <w:r>
          <w:rPr>
            <w:rStyle w:val="Hyperlink"/>
          </w:rPr>
          <w:t xml:space="preserve">[ch:dpi]</w:t>
        </w:r>
      </w:hyperlink>
      <w:r>
        <w:t xml:space="preserve">.</w:t>
      </w:r>
    </w:p>
    <w:bookmarkEnd w:id="10"/>
    <w:bookmarkStart w:id="11" w:name="X1d437e1fb7db8849e6cf8bceb26cd84d4e32e13"/>
    <w:p>
      <w:pPr>
        <w:pStyle w:val="Heading2"/>
      </w:pPr>
      <w:r>
        <w:t xml:space="preserve">Cinco Meses de Construcción: De V109 a V762</w:t>
      </w:r>
    </w:p>
    <w:p>
      <w:pPr>
        <w:pStyle w:val="FirstParagraph"/>
      </w:pPr>
      <w:r>
        <w:t xml:space="preserve">Esta tesis documenta un proceso de investigación empírica continua que produjo</w:t>
      </w:r>
      <w:r>
        <w:t xml:space="preserve"> </w:t>
      </w:r>
      <w:r>
        <w:t xml:space="preserve">654 versiones de la arquitectura POLYDIM en el lapso de cinco meses (mayo–septiembre 2026).</w:t>
      </w:r>
      <w:r>
        <w:t xml:space="preserve"> </w:t>
      </w:r>
      <w:r>
        <w:t xml:space="preserve">No es una investigación teórica</w:t>
      </w:r>
      <w:r>
        <w:t xml:space="preserve"> </w:t>
      </w:r>
      <w:r>
        <w:rPr>
          <w:i/>
          <w:iCs/>
        </w:rPr>
        <w:t xml:space="preserve">a posteriori</w:t>
      </w:r>
      <w:r>
        <w:t xml:space="preserve">: cada afirmación matemática</w:t>
      </w:r>
      <w:r>
        <w:t xml:space="preserve"> </w:t>
      </w:r>
      <w:r>
        <w:t xml:space="preserve">tiene su código compilado, cada benchmark tiene su log de ejecución con Exit Code 0,</w:t>
      </w:r>
      <w:r>
        <w:t xml:space="preserve"> </w:t>
      </w:r>
      <w:r>
        <w:t xml:space="preserve">y cada descubrimiento surgió de la interacción directa entre la teoría y el silicio.</w:t>
      </w:r>
    </w:p>
    <w:p>
      <w:pPr>
        <w:pStyle w:val="BodyText"/>
      </w:pPr>
      <w:r>
        <w:t xml:space="preserve">La cronología de hitos principales 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implementación de transferencia tensorial IPC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Team adversarial: 16 bugs críticos P0 detectados y corregidos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FJLT V110 (Fast Johnson-Lindenstrauss Transform) certificado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Fases 0–9 certificadas:</w:t>
            </w:r>
            <w: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 </w:t>
            </w:r>
            <w:r>
              <w:t xml:space="preserve">PASS, Drift Killing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Nacimiento de Latent_OS: Funtores Periféricos formalizados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Retracción Cayley-SMW factor-4 corregido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certificado: restore point adversarial superado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SEQLock Odd/Even, Neumaier, Rust Guard calibrado con Higham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Constitución final: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 </w:t>
            </w:r>
            <w:r>
              <w:t xml:space="preserve">suites PASS, Exit Code 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red-team-adversarial-13-rondas-de-ataque"/>
    <w:p>
      <w:pPr>
        <w:pStyle w:val="Heading2"/>
      </w:pPr>
      <w:r>
        <w:t xml:space="preserve">Red Team Adversarial: 13 Rondas de Ataque</w:t>
      </w:r>
    </w:p>
    <w:p>
      <w:pPr>
        <w:pStyle w:val="FirstParagraph"/>
      </w:pPr>
      <w:r>
        <w:t xml:space="preserve">Un aspecto metodológico inusual de esta investigación es que el proceso de</w:t>
      </w:r>
      <w:r>
        <w:t xml:space="preserve"> </w:t>
      </w:r>
      <w:r>
        <w:t xml:space="preserve">desarrollo fue simultáneamente un proceso de auditoría adversarial continua.</w:t>
      </w:r>
      <w:r>
        <w:t xml:space="preserve"> </w:t>
      </w:r>
      <w:r>
        <w:t xml:space="preserve">La Constitución original POLYDIM documenta 300+</w:t>
      </w:r>
      <w:r>
        <w:t xml:space="preserve"> </w:t>
      </w:r>
      <w:r>
        <w:rPr>
          <w:i/>
          <w:iCs/>
        </w:rPr>
        <w:t xml:space="preserve">Ciclos de Red Team</w:t>
      </w:r>
      <w:r>
        <w:t xml:space="preserve"> </w:t>
      </w:r>
      <w:r>
        <w:t xml:space="preserve">organizados en 13 rondas, donde el código fue atacado sistemáticamente por</w:t>
      </w:r>
      <w:r>
        <w:t xml:space="preserve"> </w:t>
      </w:r>
      <w:r>
        <w:t xml:space="preserve">agentes de IA externos buscando: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Bugs de concurrencia:</w:t>
      </w:r>
      <w:r>
        <w:t xml:space="preserve"> </w:t>
      </w:r>
      <w:r>
        <w:t xml:space="preserve">Use-After-Free (UAF) entre</w:t>
      </w:r>
      <w:r>
        <w:t xml:space="preserve"> </w:t>
      </w:r>
      <w:r>
        <w:rPr>
          <w:rStyle w:val="VerbatimChar"/>
        </w:rPr>
        <w:t xml:space="preserve">begin_op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(Ciclo 1), inversión de orden de commit con múltiples writers (Ciclo 26),</w:t>
      </w:r>
      <w:r>
        <w:t xml:space="preserve"> </w:t>
      </w:r>
      <w:r>
        <w:t xml:space="preserve">double-free cuando el estado es DESTROYING (Ciclo 27).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Bugs numéricos:</w:t>
      </w:r>
      <w:r>
        <w:t xml:space="preserve"> </w:t>
      </w:r>
      <w:r>
        <w:t xml:space="preserve">SLERP antipodal produce vector no unitario con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o</m:t>
        </m:r>
        <m:r>
          <m:rPr>
            <m:sty m:val="bi"/>
          </m:rPr>
          <m:t>u</m:t>
        </m:r>
        <m:r>
          <m:rPr>
            <m:sty m:val="bi"/>
          </m:rPr>
          <m:t>t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1.2247</m:t>
        </m:r>
      </m:oMath>
      <w:r>
        <w:t xml:space="preserve"> </w:t>
      </w:r>
      <w:r>
        <w:t xml:space="preserve">para vectores opuestos (Ciclo 11),</w:t>
      </w:r>
      <w:r>
        <w:t xml:space="preserve"> </w:t>
      </w:r>
      <w:r>
        <w:t xml:space="preserve">signo invertido en la serie de ángulo pequeño (P1-5),</w:t>
      </w:r>
      <w:r>
        <w:t xml:space="preserve"> </w:t>
      </w:r>
      <w:r>
        <w:t xml:space="preserve">umbral mágico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que rechaza vectores válidos de norma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200</m:t>
            </m:r>
          </m:sup>
        </m:sSup>
      </m:oMath>
      <w:r>
        <w:t xml:space="preserve"> </w:t>
      </w:r>
      <w:r>
        <w:t xml:space="preserve">(Ciclo 38).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Bugs de FFI:</w:t>
      </w:r>
      <w:r>
        <w:t xml:space="preserve"> </w:t>
      </w:r>
      <w:r>
        <w:rPr>
          <w:rStyle w:val="VerbatimChar"/>
        </w:rPr>
        <w:t xml:space="preserve">argtypes</w:t>
      </w:r>
      <w:r>
        <w:t xml:space="preserve"> </w:t>
      </w:r>
      <w:r>
        <w:t xml:space="preserve">sin declarar en ctypes causa</w:t>
      </w:r>
      <w:r>
        <w:t xml:space="preserve"> </w:t>
      </w:r>
      <w:r>
        <w:t xml:space="preserve">marshaling de punteros roto (P0-1), loader silencia causa raíz de DLL faltante</w:t>
      </w:r>
      <w:r>
        <w:t xml:space="preserve"> </w:t>
      </w:r>
      <w:r>
        <w:t xml:space="preserve">(Ciclo 9),</w:t>
      </w:r>
      <w:r>
        <w:t xml:space="preserve"> </w:t>
      </w:r>
      <w:r>
        <w:rPr>
          <w:rStyle w:val="VerbatimChar"/>
        </w:rPr>
        <w:t xml:space="preserve">python -O</w:t>
      </w:r>
      <w:r>
        <w:t xml:space="preserve"> </w:t>
      </w:r>
      <w:r>
        <w:t xml:space="preserve">elimina todos los asserts produciendo falsos positivos (Ciclo 8).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Bugs de plataforma: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eliminados en modo</w:t>
      </w:r>
      <w:r>
        <w:t xml:space="preserve"> </w:t>
      </w:r>
      <w:r>
        <w:rPr>
          <w:rStyle w:val="VerbatimChar"/>
        </w:rPr>
        <w:t xml:space="preserve">-O</w:t>
      </w:r>
      <w:r>
        <w:t xml:space="preserve">,</w:t>
      </w:r>
      <w:r>
        <w:t xml:space="preserve"> </w:t>
      </w:r>
      <w:r>
        <w:t xml:space="preserve">extensiones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impiden compilación de fuentes (P0-3),</w:t>
      </w:r>
      <w:r>
        <w:t xml:space="preserve"> </w:t>
      </w:r>
      <w:r>
        <w:rPr>
          <w:rStyle w:val="VerbatimChar"/>
        </w:rPr>
        <w:t xml:space="preserve">WinError 193</w:t>
      </w:r>
      <w:r>
        <w:t xml:space="preserve"> </w:t>
      </w:r>
      <w:r>
        <w:t xml:space="preserve">(DLL de otra arquitectura) indistinguible de</w:t>
      </w:r>
      <w:r>
        <w:t xml:space="preserve"> </w:t>
      </w:r>
      <w:r>
        <w:t xml:space="preserve">“archivo no existe”</w:t>
      </w:r>
      <w:r>
        <w:t xml:space="preserve">.</w:t>
      </w:r>
    </w:p>
    <w:p>
      <w:pPr>
        <w:pStyle w:val="FirstParagraph"/>
      </w:pPr>
      <w:r>
        <w:t xml:space="preserve">Todos los bugs P0 y P1 fueron corregidos y la corrección fue verificada mediante</w:t>
      </w:r>
      <w:r>
        <w:t xml:space="preserve"> </w:t>
      </w:r>
      <w:r>
        <w:t xml:space="preserve">ejecución física en silicio (Regla 10 y 16c de la Constitución POLYDIM).</w:t>
      </w:r>
    </w:p>
    <w:bookmarkEnd w:id="12"/>
    <w:bookmarkStart w:id="13" w:name="estructura-de-la-tesis"/>
    <w:p>
      <w:pPr>
        <w:pStyle w:val="Heading2"/>
      </w:pPr>
      <w:r>
        <w:t xml:space="preserve">Estructura de la Tesis</w:t>
      </w:r>
    </w:p>
    <w:p>
      <w:pPr>
        <w:pStyle w:val="FirstParagraph"/>
      </w:pPr>
      <w:r>
        <w:t xml:space="preserve">Esta tesis está organizada en tres bloques fundamentales:</w:t>
      </w:r>
    </w:p>
    <w:p>
      <w:pPr>
        <w:pStyle w:val="DefinitionTerm"/>
      </w:pPr>
      <w:r>
        <w:t xml:space="preserve">Bloque A — Fundamentos (Capítulos 1–10):</w:t>
      </w:r>
    </w:p>
    <w:p>
      <w:pPr>
        <w:pStyle w:val="Definition"/>
      </w:pPr>
      <w:r>
        <w:t xml:space="preserve">El dogma No-Worm, la DPI formal,</w:t>
      </w:r>
      <w:r>
        <w:t xml:space="preserve"> </w:t>
      </w:r>
      <w:r>
        <w:t xml:space="preserve">la geometría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Álgebra de Clifford, Rodrigues, Cayley-SMW,</w:t>
      </w:r>
      <w:r>
        <w:t xml:space="preserve"> </w:t>
      </w:r>
      <w:r>
        <w:t xml:space="preserve">Topología Betti, Puente Cuántico Clifford+T, e Invariante de Bargmann-Pancharatnam.</w:t>
      </w:r>
    </w:p>
    <w:p>
      <w:pPr>
        <w:pStyle w:val="DefinitionTerm"/>
      </w:pPr>
      <w:r>
        <w:t xml:space="preserve">Bloque B — Arquitectura de Silicio (Capítulos 11–19):</w:t>
      </w:r>
    </w:p>
    <w:p>
      <w:pPr>
        <w:pStyle w:val="Definition"/>
      </w:pPr>
      <w:r>
        <w:t xml:space="preserve">El Protocolo PMTP,</w:t>
      </w:r>
      <w:r>
        <w:t xml:space="preserve"> </w:t>
      </w:r>
      <w:r>
        <w:t xml:space="preserve">SEQLock Hardened, EinsofOS, FFI Multi-Lenguaje, Hardware Heterogéneo,</w:t>
      </w:r>
      <w:r>
        <w:t xml:space="preserve"> </w:t>
      </w:r>
      <w:r>
        <w:t xml:space="preserve">y los kernels C++20/Rust1.98/Triton en detalle.</w:t>
      </w:r>
    </w:p>
    <w:p>
      <w:pPr>
        <w:pStyle w:val="DefinitionTerm"/>
      </w:pPr>
      <w:r>
        <w:t xml:space="preserve">Bloque C — Evaluación y Futuro (Capítulos 20–26):</w:t>
      </w:r>
    </w:p>
    <w:p>
      <w:pPr>
        <w:pStyle w:val="Definition"/>
      </w:pPr>
      <w:r>
        <w:t xml:space="preserve">Fases certificadas,</w:t>
      </w:r>
      <w:r>
        <w:t xml:space="preserve"> </w:t>
      </w:r>
      <w:r>
        <w:t xml:space="preserve">metodología adversarial, resultados en silicio, escalabilidad asintótica,</w:t>
      </w:r>
      <w:r>
        <w:t xml:space="preserve"> </w:t>
      </w:r>
      <w:r>
        <w:t xml:space="preserve">impacto termodinámico, economía LATAM, y protocolos futuros Interlat/XKV.</w:t>
      </w:r>
    </w:p>
    <w:p>
      <w:pPr>
        <w:pStyle w:val="FirstParagraph"/>
      </w:pPr>
      <w:r>
        <w:t xml:space="preserve">Cada afirmación cuantitativa en esta tesis tiene respaldo en código ejecutado</w:t>
      </w:r>
      <w:r>
        <w:t xml:space="preserve"> </w:t>
      </w:r>
      <w:r>
        <w:t xml:space="preserve">y logs adjuntos (Apéndice B). El lector que desee reproducir cualquier resultado</w:t>
      </w:r>
      <w:r>
        <w:t xml:space="preserve"> </w:t>
      </w:r>
      <w:r>
        <w:t xml:space="preserve">puede ejecutar la suite de certificación:</w:t>
      </w:r>
    </w:p>
    <w:p>
      <w:pPr>
        <w:pStyle w:val="SourceCode"/>
      </w:pPr>
      <w:r>
        <w:rPr>
          <w:rStyle w:val="VerbatimChar"/>
        </w:rPr>
        <w:t xml:space="preserve">cd E:\POLYDIM_EINSOF\ENTREGA_2026_09_19_V762\</w:t>
      </w:r>
      <w:r>
        <w:br/>
      </w:r>
      <w:r>
        <w:rPr>
          <w:rStyle w:val="VerbatimChar"/>
        </w:rPr>
        <w:t xml:space="preserve">python test_v762_mpeleides.py</w:t>
      </w:r>
      <w:r>
        <w:br/>
      </w:r>
      <w:r>
        <w:rPr>
          <w:rStyle w:val="VerbatimChar"/>
        </w:rPr>
        <w:t xml:space="preserve"># Resultado esperado: 5/5 SUITES PASS, EXIT CODE 0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2026-09-28T19:51:22Z</dcterms:created>
  <dcterms:modified xsi:type="dcterms:W3CDTF">2026-09-28T19:51:22Z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