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" w:name="X054af2565e1da630daa82cf8290b38b8578dd36"/>
    <w:p>
      <w:pPr>
        <w:pStyle w:val="Heading1"/>
      </w:pPr>
      <w:r>
        <w:t xml:space="preserve">La Variedad Esférica</w:t>
      </w:r>
      <w:r>
        <w:t xml:space="preserve"> </w:t>
      </w:r>
      <m:oMath>
        <m:sSup>
          <m:e>
            <m:r>
              <m:t>S</m:t>
            </m:r>
          </m:e>
          <m:sup>
            <m:r>
              <m:t>D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: Geometría del Espacio Latente</w:t>
      </w:r>
    </w:p>
    <w:p>
      <w:pPr>
        <w:pStyle w:val="FirstParagraph"/>
      </w:pPr>
      <w:r>
        <w:rPr>
          <w:i/>
          <w:iCs/>
        </w:rPr>
        <w:t xml:space="preserve">La hiperesfera no es solo el dominio de los embeddings normalizados.</w:t>
      </w:r>
      <w:r>
        <w:br/>
      </w:r>
      <w:r>
        <w:rPr>
          <w:i/>
          <w:iCs/>
        </w:rPr>
        <w:t xml:space="preserve">Es el espacio natural de toda distribución de probabilidad cuando</w:t>
      </w:r>
      <w:r>
        <w:br/>
      </w:r>
      <w:r>
        <w:rPr>
          <w:i/>
          <w:iCs/>
        </w:rPr>
        <w:t xml:space="preserve">la entropía está obligada a ser máxima.</w:t>
      </w:r>
      <w:r>
        <w:t xml:space="preserve"> </w:t>
      </w:r>
      <w:r>
        <w:t xml:space="preserve">— — Geometría Diferencial Aplicada a IA</w:t>
      </w:r>
    </w:p>
    <w:bookmarkStart w:id="11" w:name="X2578251d595139dc1defd066bad9a0df8b72e53"/>
    <w:p>
      <w:pPr>
        <w:pStyle w:val="Heading2"/>
      </w:pPr>
      <w:r>
        <w:t xml:space="preserve">¿Por Qué</w:t>
      </w:r>
      <w:r>
        <w:t xml:space="preserve"> </w:t>
      </w:r>
      <m:oMath>
        <m:sSup>
          <m:e>
            <m:r>
              <m:t>S</m:t>
            </m:r>
          </m:e>
          <m:sup>
            <m:r>
              <m:t>D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? Motivación desde Primeros Principios</w:t>
      </w:r>
    </w:p>
    <w:bookmarkStart w:id="9" w:name="Xdcd7122ea98ac2299fbd5f4c9692e2e9eeb1ca7"/>
    <w:p>
      <w:pPr>
        <w:pStyle w:val="Heading3"/>
      </w:pPr>
      <w:r>
        <w:t xml:space="preserve">Normalización como Restricción Geométrica</w:t>
      </w:r>
    </w:p>
    <w:p>
      <w:pPr>
        <w:pStyle w:val="FirstParagraph"/>
      </w:pPr>
      <w:r>
        <w:t xml:space="preserve">Los modelos de lenguaje modernos aplican normalización de capa (</w:t>
      </w:r>
      <w:r>
        <w:rPr>
          <w:i/>
          <w:iCs/>
        </w:rPr>
        <w:t xml:space="preserve">LayerNorm</w:t>
      </w:r>
      <w:r>
        <w:t xml:space="preserve">)</w:t>
      </w:r>
      <w:r>
        <w:t xml:space="preserve"> </w:t>
      </w:r>
      <w:r>
        <w:t xml:space="preserve">en cada bloque transformer. Formalmente, LayerNorm proyecta el estado hacia</w:t>
      </w:r>
      <w:r>
        <w:t xml:space="preserve"> </w:t>
      </w:r>
      <w:r>
        <w:t xml:space="preserve">la variedad: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h</m:t>
              </m:r>
            </m:e>
            <m:sub>
              <m:r>
                <m:rPr>
                  <m:nor/>
                  <m:sty m:val="p"/>
                </m:rPr>
                <m:t>norm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b"/>
                </m:rPr>
                <m:t>1</m:t>
              </m:r>
            </m:num>
            <m:den>
              <m:r>
                <m:t>σ</m:t>
              </m:r>
            </m:den>
          </m:f>
          <m:r>
            <m:rPr>
              <m:sty m:val="p"/>
            </m:rPr>
            <m:t>⋅</m:t>
          </m:r>
          <m:r>
            <m:t>γ</m:t>
          </m:r>
          <m:r>
            <m:rPr>
              <m:sty m:val="p"/>
            </m:rPr>
            <m:t>+</m:t>
          </m:r>
          <m:r>
            <m:t>β</m:t>
          </m:r>
        </m:oMath>
      </m:oMathPara>
    </w:p>
    <w:p>
      <w:pPr>
        <w:pStyle w:val="FirstParagraph"/>
      </w:pPr>
      <w:r>
        <w:t xml:space="preserve">donde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D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h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y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D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h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Cuando</w:t>
      </w:r>
      <w:r>
        <w:t xml:space="preserve"> </w:t>
      </w:r>
      <m:oMath>
        <m:r>
          <m:t>γ</m:t>
        </m:r>
        <m:r>
          <m:rPr>
            <m:sty m:val="p"/>
          </m:rPr>
          <m:t>=</m:t>
        </m:r>
        <m:r>
          <m:rPr>
            <m:sty m:val="b"/>
          </m:rPr>
          <m:t>1</m:t>
        </m:r>
      </m:oMath>
      <w:r>
        <w:t xml:space="preserve"> </w:t>
      </w:r>
      <w:r>
        <w:t xml:space="preserve">y</w:t>
      </w:r>
      <w:r>
        <w:t xml:space="preserve"> </w:t>
      </w:r>
      <m:oMath>
        <m:r>
          <m:t>β</m:t>
        </m:r>
        <m:r>
          <m:rPr>
            <m:sty m:val="p"/>
          </m:rPr>
          <m:t>=</m:t>
        </m:r>
        <m:r>
          <m:rPr>
            <m:sty m:val="b"/>
          </m:rPr>
          <m:t>0</m:t>
        </m:r>
      </m:oMath>
      <w:r>
        <w:t xml:space="preserve">, esto fuerza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rPr>
                <m:nor/>
                <m:sty m:val="p"/>
              </m:rPr>
              <m:t>norm</m:t>
            </m:r>
          </m:sub>
        </m:sSub>
        <m:r>
          <m:rPr>
            <m:sty m:val="p"/>
          </m:rPr>
          <m:t>∈</m:t>
        </m:r>
        <m:sSup>
          <m:e>
            <m:r>
              <m:t>S</m:t>
            </m:r>
          </m:e>
          <m:sup>
            <m:r>
              <m:t>D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en el sentido de que</w:t>
      </w:r>
      <w:r>
        <w:t xml:space="preserve"> </w:t>
      </w:r>
      <m:oMath>
        <m:r>
          <m:rPr>
            <m:sty m:val="p"/>
          </m:rPr>
          <m:t>∥</m:t>
        </m:r>
        <m:r>
          <m:rPr>
            <m:sty m:val="bi"/>
          </m:rPr>
          <m:t>h</m:t>
        </m:r>
        <m:sSub>
          <m:e>
            <m:r>
              <m:rPr>
                <m:sty m:val="p"/>
              </m:rPr>
              <m:t>∥</m:t>
            </m:r>
          </m:e>
          <m:sub>
            <m:r>
              <m:rPr>
                <m:nor/>
                <m:sty m:val="p"/>
              </m:rPr>
              <m:t>norm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D</m:t>
            </m:r>
          </m:e>
        </m:rad>
      </m:oMath>
      <w:r>
        <w:t xml:space="preserve"> </w:t>
      </w:r>
      <w:r>
        <w:t xml:space="preserve">(sobre la esfera de radio</w:t>
      </w:r>
      <w:r>
        <w:t xml:space="preserve"> </w:t>
      </w:r>
      <m:oMath>
        <m:rad>
          <m:radPr>
            <m:degHide m:val="on"/>
          </m:radPr>
          <m:deg/>
          <m:e>
            <m:r>
              <m:t>D</m:t>
            </m:r>
          </m:e>
        </m:rad>
      </m:oMath>
      <w:r>
        <w:t xml:space="preserve">).</w:t>
      </w:r>
      <w:r>
        <w:t xml:space="preserve"> </w:t>
      </w:r>
      <w:r>
        <w:t xml:space="preserve">Bajo reescalado</w:t>
      </w:r>
      <w:r>
        <w:t xml:space="preserve"> </w:t>
      </w:r>
      <m:oMath>
        <m:acc>
          <m:accPr>
            <m:chr m:val="̃"/>
          </m:accPr>
          <m:e>
            <m:r>
              <m:rPr>
                <m:sty m:val="bi"/>
              </m:rPr>
              <m:t>h</m:t>
            </m:r>
          </m:e>
        </m:acc>
        <m:r>
          <m:rPr>
            <m:sty m:val="p"/>
          </m:rPr>
          <m:t>=</m:t>
        </m:r>
        <m:sSub>
          <m:e>
            <m:r>
              <m:rPr>
                <m:sty m:val="bi"/>
              </m:rPr>
              <m:t>h</m:t>
            </m:r>
          </m:e>
          <m:sub>
            <m:r>
              <m:rPr>
                <m:nor/>
                <m:sty m:val="p"/>
              </m:rPr>
              <m:t>norm</m:t>
            </m:r>
          </m:sub>
        </m:sSub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D</m:t>
            </m:r>
          </m:e>
        </m:rad>
      </m:oMath>
      <w:r>
        <w:t xml:space="preserve">, el estado vive en</w:t>
      </w:r>
      <w:r>
        <w:t xml:space="preserve"> </w:t>
      </w:r>
      <m:oMath>
        <m:sSup>
          <m:e>
            <m:r>
              <m:t>S</m:t>
            </m:r>
          </m:e>
          <m:sup>
            <m:r>
              <m:t>D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9"/>
    <w:bookmarkStart w:id="10" w:name="máxima-entropía-sobre-la-esfera"/>
    <w:p>
      <w:pPr>
        <w:pStyle w:val="Heading3"/>
      </w:pPr>
      <w:r>
        <w:t xml:space="preserve">Máxima Entropía sobre la Esfera</w:t>
      </w:r>
    </w:p>
    <w:p>
      <w:pPr>
        <w:pStyle w:val="FirstParagraph"/>
      </w:pPr>
      <w:r>
        <w:t xml:space="preserve">El principio de máxima entropía establece que, bajo la única restricción de</w:t>
      </w:r>
      <w:r>
        <w:t xml:space="preserve"> </w:t>
      </w:r>
      <w:r>
        <w:t xml:space="preserve">que</w:t>
      </w:r>
      <w:r>
        <w:t xml:space="preserve"> </w:t>
      </w:r>
      <m:oMath>
        <m:r>
          <m:rPr>
            <m:sty m:val="p"/>
          </m:rPr>
          <m:t>∥</m:t>
        </m:r>
        <m:r>
          <m:rPr>
            <m:sty m:val="bi"/>
          </m:rPr>
          <m:t>h</m:t>
        </m:r>
        <m:r>
          <m:rPr>
            <m:sty m:val="p"/>
          </m:rPr>
          <m:t>∥</m:t>
        </m:r>
        <m:r>
          <m:rPr>
            <m:sty m:val="p"/>
          </m:rPr>
          <m:t>=</m:t>
        </m:r>
        <m:r>
          <m:t>1</m:t>
        </m:r>
      </m:oMath>
      <w:r>
        <w:t xml:space="preserve">, la distribución de máxima entropía sobre</w:t>
      </w:r>
      <w:r>
        <w:t xml:space="preserve"> </w:t>
      </w:r>
      <m:oMath>
        <m:sSup>
          <m:e>
            <m:r>
              <m:t>S</m:t>
            </m:r>
          </m:e>
          <m:sup>
            <m:r>
              <m:t>D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es la distribución uniforme sobre la hiperesfera — la</w:t>
      </w:r>
      <w:r>
        <w:t xml:space="preserve"> </w:t>
      </w:r>
      <w:r>
        <w:rPr>
          <w:i/>
          <w:iCs/>
        </w:rPr>
        <w:t xml:space="preserve">distribución vonMises-Fisher</w:t>
      </w:r>
      <w:r>
        <w:t xml:space="preserve"> </w:t>
      </w:r>
      <w:r>
        <w:t xml:space="preserve">con concentración</w:t>
      </w:r>
      <w:r>
        <w:t xml:space="preserve"> </w:t>
      </w:r>
      <m:oMath>
        <m:r>
          <m:t>κ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Esto tiene una implicación profunda:</w:t>
      </w:r>
      <w:r>
        <w:t xml:space="preserve"> </w:t>
      </w:r>
      <w:r>
        <w:rPr>
          <w:i/>
          <w:iCs/>
        </w:rPr>
        <w:t xml:space="preserve">si no tenemos información adicional</w:t>
      </w:r>
      <w:r>
        <w:rPr>
          <w:i/>
          <w:iCs/>
        </w:rPr>
        <w:t xml:space="preserve"> </w:t>
      </w:r>
      <w:r>
        <w:rPr>
          <w:i/>
          <w:iCs/>
        </w:rPr>
        <w:t xml:space="preserve">sobre el estado latente, la asunción más conservadora es que está distribuido</w:t>
      </w:r>
      <w:r>
        <w:rPr>
          <w:i/>
          <w:iCs/>
        </w:rPr>
        <w:t xml:space="preserve"> </w:t>
      </w:r>
      <w:r>
        <w:rPr>
          <w:i/>
          <w:iCs/>
        </w:rPr>
        <w:t xml:space="preserve">uniformemente sobre</w:t>
      </w:r>
      <w:r>
        <w:rPr>
          <w:i/>
          <w:iCs/>
        </w:rPr>
        <w:t xml:space="preserve"> </w:t>
      </w:r>
      <m:oMath>
        <m:sSup>
          <m:e>
            <m:r>
              <m:t>S</m:t>
            </m:r>
          </m:e>
          <m:sup>
            <m:r>
              <m:t>D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 Esta es la base geométrica correcta para el diseño</w:t>
      </w:r>
      <w:r>
        <w:t xml:space="preserve"> </w:t>
      </w:r>
      <w:r>
        <w:t xml:space="preserve">del Protocolo PMTP.</w:t>
      </w:r>
    </w:p>
    <w:bookmarkEnd w:id="10"/>
    <w:bookmarkEnd w:id="11"/>
    <w:bookmarkStart w:id="15" w:name="geometría-diferencial-de-sd-1"/>
    <w:p>
      <w:pPr>
        <w:pStyle w:val="Heading2"/>
      </w:pPr>
      <w:r>
        <w:t xml:space="preserve">Geometría Diferencial de</w:t>
      </w:r>
      <w:r>
        <w:t xml:space="preserve"> </w:t>
      </w:r>
      <m:oMath>
        <m:sSup>
          <m:e>
            <m:r>
              <m:t>S</m:t>
            </m:r>
          </m:e>
          <m:sup>
            <m:r>
              <m:t>D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</w:p>
    <w:bookmarkStart w:id="12" w:name="definición-y-estructura-topológica"/>
    <w:p>
      <w:pPr>
        <w:pStyle w:val="Heading3"/>
      </w:pPr>
      <w:r>
        <w:t xml:space="preserve">Definición y Estructura Topológica</w:t>
      </w:r>
    </w:p>
    <w:p>
      <w:pPr>
        <w:pStyle w:val="FirstParagraph"/>
      </w:pPr>
      <w:r>
        <w:t xml:space="preserve">La</w:t>
      </w:r>
      <w:r>
        <w:t xml:space="preserve"> </w:t>
      </w: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-esfera unitaria es el subconjunto de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D</m:t>
            </m:r>
          </m:sup>
        </m:sSup>
      </m:oMath>
      <w:r>
        <w:t xml:space="preserve"> </w:t>
      </w:r>
      <w:r>
        <w:t xml:space="preserve">dado por: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S</m:t>
              </m:r>
            </m:e>
            <m:sup>
              <m:r>
                <m:t>D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{</m:t>
          </m:r>
          <m:r>
            <m:rPr>
              <m:sty m:val="bi"/>
            </m:rPr>
            <m:t>x</m:t>
          </m:r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D</m:t>
              </m:r>
            </m:sup>
          </m:sSup>
          <m:r>
            <m:rPr>
              <m:sty m:val="p"/>
            </m:rPr>
            <m:t>:</m:t>
          </m:r>
          <m:r>
            <m:rPr>
              <m:sty m:val="p"/>
            </m:rPr>
            <m:t>∥</m:t>
          </m:r>
          <m:sSub>
            <m:e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∥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}</m:t>
          </m:r>
        </m:oMath>
      </m:oMathPara>
    </w:p>
    <w:p>
      <w:pPr>
        <w:pStyle w:val="FirstParagraph"/>
      </w:pPr>
      <w:r>
        <w:t xml:space="preserve">Como variedad diferenciable,</w:t>
      </w:r>
      <w:r>
        <w:t xml:space="preserve"> </w:t>
      </w:r>
      <m:oMath>
        <m:sSup>
          <m:e>
            <m:r>
              <m:t>S</m:t>
            </m:r>
          </m:e>
          <m:sup>
            <m:r>
              <m:t>D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tiene dimensión</w:t>
      </w:r>
      <w:r>
        <w:t xml:space="preserve"> </w:t>
      </w:r>
      <m:oMath>
        <m:r>
          <m:t>D</m:t>
        </m:r>
        <m:r>
          <m:rPr>
            <m:sty m:val="p"/>
          </m:rPr>
          <m:t>−</m:t>
        </m:r>
        <m:r>
          <m:t>1</m:t>
        </m:r>
      </m:oMath>
      <w:r>
        <w:t xml:space="preserve">, es compacta,</w:t>
      </w:r>
      <w:r>
        <w:t xml:space="preserve"> </w:t>
      </w:r>
      <w:r>
        <w:t xml:space="preserve">sin frontera, y para</w:t>
      </w:r>
      <w:r>
        <w:t xml:space="preserve"> </w:t>
      </w:r>
      <m:oMath>
        <m:r>
          <m:t>D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es doblemente conexa (</w:t>
      </w:r>
      <m:oMath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sSup>
          <m:e>
            <m:r>
              <m:t>S</m:t>
            </m:r>
          </m:e>
          <m:sup>
            <m:r>
              <m:t>D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para</w:t>
      </w:r>
      <w:r>
        <w:t xml:space="preserve"> </w:t>
      </w:r>
      <m:oMath>
        <m:r>
          <m:t>D</m:t>
        </m:r>
        <m:r>
          <m:rPr>
            <m:sty m:val="p"/>
          </m:rPr>
          <m:t>≥</m:t>
        </m:r>
        <m:r>
          <m:t>3</m:t>
        </m:r>
      </m:oMath>
      <w:r>
        <w:t xml:space="preserve">).</w:t>
      </w:r>
    </w:p>
    <w:bookmarkEnd w:id="12"/>
    <w:bookmarkStart w:id="13" w:name="métrica-de-riemann-y-geodésicas"/>
    <w:p>
      <w:pPr>
        <w:pStyle w:val="Heading3"/>
      </w:pPr>
      <w:r>
        <w:t xml:space="preserve">Métrica de Riemann y Geodésicas</w:t>
      </w:r>
    </w:p>
    <w:p>
      <w:pPr>
        <w:pStyle w:val="FirstParagraph"/>
      </w:pPr>
      <w:r>
        <w:t xml:space="preserve">La métrica de Riemann inducida en</w:t>
      </w:r>
      <w:r>
        <w:t xml:space="preserve"> </w:t>
      </w:r>
      <m:oMath>
        <m:sSup>
          <m:e>
            <m:r>
              <m:t>S</m:t>
            </m:r>
          </m:e>
          <m:sup>
            <m:r>
              <m:t>D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desde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D</m:t>
            </m:r>
          </m:sup>
        </m:sSup>
      </m:oMath>
      <w:r>
        <w:t xml:space="preserve"> </w:t>
      </w:r>
      <w:r>
        <w:t xml:space="preserve">(métrica redonda) en</w:t>
      </w:r>
      <w:r>
        <w:t xml:space="preserve"> </w:t>
      </w:r>
      <w:r>
        <w:t xml:space="preserve">un punto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∈</m:t>
        </m:r>
        <m:sSup>
          <m:e>
            <m:r>
              <m:t>S</m:t>
            </m:r>
          </m:e>
          <m:sup>
            <m:r>
              <m:t>D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actúa sobre el espacio tangente: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rPr>
                  <m:sty m:val="bi"/>
                </m:rPr>
                <m:t>p</m:t>
              </m:r>
            </m:sub>
          </m:sSub>
          <m:sSup>
            <m:e>
              <m:r>
                <m:t>S</m:t>
              </m:r>
            </m:e>
            <m:sup>
              <m:r>
                <m:t>D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{</m:t>
          </m:r>
          <m:r>
            <m:rPr>
              <m:sty m:val="bi"/>
            </m:rPr>
            <m:t>v</m:t>
          </m:r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D</m:t>
              </m:r>
            </m:sup>
          </m:sSup>
          <m:r>
            <m:rPr>
              <m:sty m:val="p"/>
            </m:rPr>
            <m:t>:</m:t>
          </m:r>
          <m:r>
            <m:rPr>
              <m:sty m:val="p"/>
            </m:rPr>
            <m:t>⟨</m:t>
          </m:r>
          <m:r>
            <m:rPr>
              <m:sty m:val="bi"/>
            </m:rPr>
            <m:t>v</m:t>
          </m:r>
          <m:r>
            <m:rPr>
              <m:sty m:val="p"/>
            </m:rPr>
            <m:t>,</m:t>
          </m:r>
          <m:r>
            <m:rPr>
              <m:sty m:val="bi"/>
            </m:rPr>
            <m:t>p</m:t>
          </m:r>
          <m:r>
            <m:rPr>
              <m:sty m:val="p"/>
            </m:rPr>
            <m:t>⟩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}</m:t>
          </m:r>
        </m:oMath>
      </m:oMathPara>
    </w:p>
    <w:p>
      <w:pPr>
        <w:pStyle w:val="FirstParagraph"/>
      </w:pPr>
      <w:r>
        <w:t xml:space="preserve">El producto interior inducido es:</w:t>
      </w:r>
      <w:r>
        <w:t xml:space="preserve"> </w:t>
      </w:r>
      <m:oMath>
        <m:sSub>
          <m:e>
            <m:r>
              <m:t>g</m:t>
            </m:r>
          </m:e>
          <m:sub>
            <m:r>
              <m:rPr>
                <m:sty m:val="bi"/>
              </m:rPr>
              <m:t>p</m:t>
            </m:r>
          </m:sub>
        </m:sSub>
        <m:r>
          <m:rPr>
            <m:sty m:val="p"/>
          </m:rPr>
          <m:t>(</m:t>
        </m:r>
        <m:r>
          <m:rPr>
            <m:sty m:val="bi"/>
          </m:rPr>
          <m:t>u</m:t>
        </m:r>
        <m:r>
          <m:rPr>
            <m:sty m:val="p"/>
          </m:rPr>
          <m:t>,</m:t>
        </m:r>
        <m:r>
          <m:rPr>
            <m:sty m:val="bi"/>
          </m:rPr>
          <m:t>v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⟨</m:t>
        </m:r>
        <m:r>
          <m:rPr>
            <m:sty m:val="bi"/>
          </m:rPr>
          <m:t>u</m:t>
        </m:r>
        <m:r>
          <m:rPr>
            <m:sty m:val="p"/>
          </m:rPr>
          <m:t>,</m:t>
        </m:r>
        <m:r>
          <m:rPr>
            <m:sty m:val="bi"/>
          </m:rPr>
          <m:t>v</m:t>
        </m:r>
        <m:r>
          <m:rPr>
            <m:sty m:val="p"/>
          </m:rPr>
          <m:t>⟩</m:t>
        </m:r>
      </m:oMath>
      <w:r>
        <w:t xml:space="preserve"> </w:t>
      </w:r>
      <w:r>
        <w:t xml:space="preserve">para</w:t>
      </w:r>
      <w:r>
        <w:t xml:space="preserve"> </w:t>
      </w:r>
      <m:oMath>
        <m:r>
          <m:rPr>
            <m:sty m:val="bi"/>
          </m:rPr>
          <m:t>u</m:t>
        </m:r>
        <m:r>
          <m:rPr>
            <m:sty m:val="p"/>
          </m:rPr>
          <m:t>,</m:t>
        </m:r>
        <m:r>
          <m:rPr>
            <m:sty m:val="bi"/>
          </m:rPr>
          <m:t>v</m:t>
        </m:r>
        <m:r>
          <m:rPr>
            <m:sty m:val="p"/>
          </m:rPr>
          <m:t>∈</m:t>
        </m:r>
        <m:sSub>
          <m:e>
            <m:r>
              <m:t>T</m:t>
            </m:r>
          </m:e>
          <m:sub>
            <m:r>
              <m:rPr>
                <m:sty m:val="bi"/>
              </m:rPr>
              <m:t>p</m:t>
            </m:r>
          </m:sub>
        </m:sSub>
        <m:sSup>
          <m:e>
            <m:r>
              <m:t>S</m:t>
            </m:r>
          </m:e>
          <m:sup>
            <m:r>
              <m:t>D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Las geodésicas sobre</w:t>
      </w:r>
      <w:r>
        <w:t xml:space="preserve"> </w:t>
      </w:r>
      <m:oMath>
        <m:sSup>
          <m:e>
            <m:r>
              <m:t>S</m:t>
            </m:r>
          </m:e>
          <m:sup>
            <m:r>
              <m:t>D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son los</w:t>
      </w:r>
      <w:r>
        <w:t xml:space="preserve"> </w:t>
      </w:r>
      <w:r>
        <w:rPr>
          <w:i/>
          <w:iCs/>
        </w:rPr>
        <w:t xml:space="preserve">grandes círculos</w:t>
      </w:r>
      <w:r>
        <w:t xml:space="preserve">: intersecciones</w:t>
      </w:r>
      <w:r>
        <w:t xml:space="preserve"> </w:t>
      </w:r>
      <w:r>
        <w:t xml:space="preserve">de la esfera con planos que pasan por el origen. La geodésica que conecta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,</m:t>
        </m:r>
        <m:r>
          <m:rPr>
            <m:sty m:val="bi"/>
          </m:rPr>
          <m:t>q</m:t>
        </m:r>
        <m:r>
          <m:rPr>
            <m:sty m:val="p"/>
          </m:rPr>
          <m:t>∈</m:t>
        </m:r>
        <m:sSup>
          <m:e>
            <m:r>
              <m:t>S</m:t>
            </m:r>
          </m:e>
          <m:sup>
            <m:r>
              <m:t>D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con</w:t>
      </w:r>
      <w:r>
        <w:t xml:space="preserve"> </w:t>
      </w:r>
      <m:oMath>
        <m:r>
          <m:rPr>
            <m:sty m:val="p"/>
          </m:rPr>
          <m:t>⟨</m:t>
        </m:r>
        <m:r>
          <m:rPr>
            <m:sty m:val="bi"/>
          </m:rPr>
          <m:t>p</m:t>
        </m:r>
        <m:r>
          <m:rPr>
            <m:sty m:val="p"/>
          </m:rPr>
          <m:t>,</m:t>
        </m:r>
        <m:r>
          <m:rPr>
            <m:sty m:val="bi"/>
          </m:rPr>
          <m:t>q</m:t>
        </m:r>
        <m:r>
          <m:rPr>
            <m:sty m:val="p"/>
          </m:rPr>
          <m:t>⟩</m:t>
        </m:r>
        <m:r>
          <m:rPr>
            <m:sty m:val="p"/>
          </m:rPr>
          <m:t>≠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es:</w:t>
      </w:r>
    </w:p>
    <w:p>
      <w:pPr>
        <w:pStyle w:val="BodyText"/>
      </w:pPr>
      <m:oMathPara>
        <m:oMathParaPr>
          <m:jc m:val="center"/>
        </m:oMathParaPr>
        <m:oMath>
          <m:r>
            <m:t>γ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rPr>
                  <m:sty m:val="bi"/>
                </m:rPr>
                <m:t>q</m:t>
              </m:r>
            </m:num>
            <m:den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Ω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Ω</m:t>
          </m:r>
          <m:r>
            <m:rPr>
              <m:sty m:val="p"/>
            </m:rPr>
            <m:t>=</m:t>
          </m:r>
          <m:r>
            <m:rPr>
              <m:sty m:val="p"/>
            </m:rPr>
            <m:t>arccos</m:t>
          </m:r>
          <m:r>
            <m:rPr>
              <m:sty m:val="p"/>
            </m:rPr>
            <m:t>⟨</m:t>
          </m:r>
          <m:r>
            <m:rPr>
              <m:sty m:val="bi"/>
            </m:rPr>
            <m:t>p</m:t>
          </m:r>
          <m:r>
            <m:rPr>
              <m:sty m:val="p"/>
            </m:rPr>
            <m:t>,</m:t>
          </m:r>
          <m:r>
            <m:rPr>
              <m:sty m:val="bi"/>
            </m:rPr>
            <m:t>q</m:t>
          </m:r>
          <m:r>
            <m:rPr>
              <m:sty m:val="p"/>
            </m:rPr>
            <m:t>⟩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π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Esta es la fórmula SLERP (</w:t>
      </w:r>
      <w:r>
        <w:rPr>
          <w:i/>
          <w:iCs/>
        </w:rPr>
        <w:t xml:space="preserve">Spherical Linear Interpolation</w:t>
      </w:r>
      <w:r>
        <w:t xml:space="preserve">), fundamental</w:t>
      </w:r>
      <w:r>
        <w:t xml:space="preserve"> </w:t>
      </w:r>
      <w:r>
        <w:t xml:space="preserve">en el kernel C++ de POLYDIM.</w:t>
      </w:r>
    </w:p>
    <w:bookmarkEnd w:id="13"/>
    <w:bookmarkStart w:id="14" w:name="curvatura-seccional"/>
    <w:p>
      <w:pPr>
        <w:pStyle w:val="Heading3"/>
      </w:pPr>
      <w:r>
        <w:t xml:space="preserve">Curvatura Seccional</w:t>
      </w:r>
    </w:p>
    <w:p>
      <w:pPr>
        <w:pStyle w:val="FirstParagraph"/>
      </w:pPr>
      <w:r>
        <w:t xml:space="preserve">La curvatura seccional de</w:t>
      </w:r>
      <w:r>
        <w:t xml:space="preserve"> </w:t>
      </w:r>
      <m:oMath>
        <m:sSup>
          <m:e>
            <m:r>
              <m:t>S</m:t>
            </m:r>
          </m:e>
          <m:sup>
            <m:r>
              <m:t>D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con la métrica redonda es constante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en todos los planos tangentes. Esta curvatura positiva tiene consecuencias críticas:</w:t>
      </w:r>
    </w:p>
    <w:p>
      <w:pPr>
        <w:numPr>
          <w:ilvl w:val="0"/>
          <w:numId w:val="1001"/>
        </w:numPr>
      </w:pPr>
      <w:r>
        <w:t xml:space="preserve">La distancia geodésica máxima entre dos puntos es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(los puntos antipodales).</w:t>
      </w:r>
    </w:p>
    <w:p>
      <w:pPr>
        <w:numPr>
          <w:ilvl w:val="0"/>
          <w:numId w:val="1001"/>
        </w:numPr>
      </w:pPr>
      <w:r>
        <w:t xml:space="preserve">Los triángulos geodésicos tienen suma de ángulos</w:t>
      </w:r>
      <w:r>
        <w:t xml:space="preserve"> </w:t>
      </w:r>
      <m:oMath>
        <m:r>
          <m:rPr>
            <m:sty m:val="p"/>
          </m:rPr>
          <m:t>&gt;</m:t>
        </m:r>
        <m:r>
          <m:t>π</m:t>
        </m:r>
      </m:oMath>
      <w:r>
        <w:t xml:space="preserve"> </w:t>
      </w:r>
      <w:r>
        <w:t xml:space="preserve">(geometría elíptica).</w:t>
      </w:r>
    </w:p>
    <w:p>
      <w:pPr>
        <w:numPr>
          <w:ilvl w:val="0"/>
          <w:numId w:val="1001"/>
        </w:numPr>
      </w:pPr>
      <w:r>
        <w:t xml:space="preserve">El Teorema de Comparación de Rauch garantiza que la función exponencial</w:t>
      </w:r>
      <w:r>
        <w:t xml:space="preserve"> </w:t>
      </w:r>
      <m:oMath>
        <m:sSub>
          <m:e>
            <m:r>
              <m:rPr>
                <m:sty m:val="p"/>
              </m:rPr>
              <m:t>exp</m:t>
            </m:r>
          </m:e>
          <m:sub>
            <m:r>
              <m:rPr>
                <m:sty m:val="bi"/>
              </m:rPr>
              <m:t>p</m:t>
            </m:r>
          </m:sub>
        </m:sSub>
        <m:r>
          <m:rPr>
            <m:sty m:val="p"/>
          </m:rPr>
          <m:t>:</m:t>
        </m:r>
        <m:sSub>
          <m:e>
            <m:r>
              <m:t>T</m:t>
            </m:r>
          </m:e>
          <m:sub>
            <m:r>
              <m:rPr>
                <m:sty m:val="bi"/>
              </m:rPr>
              <m:t>p</m:t>
            </m:r>
          </m:sub>
        </m:sSub>
        <m:sSup>
          <m:e>
            <m:r>
              <m:t>S</m:t>
            </m:r>
          </m:e>
          <m:sup>
            <m:r>
              <m:t>D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→</m:t>
        </m:r>
        <m:sSup>
          <m:e>
            <m:r>
              <m:t>S</m:t>
            </m:r>
          </m:e>
          <m:sup>
            <m:r>
              <m:t>D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es un difeomorfismo</w:t>
      </w:r>
      <w:r>
        <w:t xml:space="preserve"> </w:t>
      </w:r>
      <w:r>
        <w:t xml:space="preserve">local en la bola</w:t>
      </w:r>
      <w:r>
        <w:t xml:space="preserve"> </w:t>
      </w:r>
      <m:oMath>
        <m:r>
          <m:t>B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⊂</m:t>
        </m:r>
        <m:sSub>
          <m:e>
            <m:r>
              <m:t>T</m:t>
            </m:r>
          </m:e>
          <m:sub>
            <m:r>
              <m:rPr>
                <m:sty m:val="bi"/>
              </m:rPr>
              <m:t>p</m:t>
            </m:r>
          </m:sub>
        </m:sSub>
        <m:sSup>
          <m:e>
            <m:r>
              <m:t>S</m:t>
            </m:r>
          </m:e>
          <m:sup>
            <m:r>
              <m:t>D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14"/>
    <w:bookmarkEnd w:id="15"/>
    <w:bookmarkStart w:id="16" w:name="el-grupo-de-isometrías-od"/>
    <w:p>
      <w:pPr>
        <w:pStyle w:val="Heading2"/>
      </w:pPr>
      <w:r>
        <w:t xml:space="preserve">El Grupo de Isometrías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El grupo ortogonal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</m:oMath>
      <w:r>
        <w:t xml:space="preserve"> </w:t>
      </w:r>
      <w:r>
        <w:t xml:space="preserve">es el grupo de transformaciones lineales</w:t>
      </w:r>
      <w:r>
        <w:t xml:space="preserve"> </w:t>
      </w:r>
      <m:oMath>
        <m:r>
          <m:t>R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D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D</m:t>
            </m:r>
          </m:sup>
        </m:sSup>
      </m:oMath>
      <w:r>
        <w:t xml:space="preserve"> </w:t>
      </w:r>
      <w:r>
        <w:t xml:space="preserve">que preservan el producto interior:</w:t>
      </w:r>
    </w:p>
    <w:p>
      <w:pPr>
        <w:pStyle w:val="BodyText"/>
      </w:pPr>
      <m:oMathPara>
        <m:oMathParaPr>
          <m:jc m:val="center"/>
        </m:oMathParaPr>
        <m:oMath>
          <m:r>
            <m:t>O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{</m:t>
          </m:r>
          <m:r>
            <m:t>R</m:t>
          </m:r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D</m:t>
              </m:r>
              <m:r>
                <m:rPr>
                  <m:sty m:val="p"/>
                </m:rPr>
                <m:t>×</m:t>
              </m:r>
              <m:r>
                <m:t>D</m:t>
              </m:r>
            </m:sup>
          </m:sSup>
          <m:r>
            <m:rPr>
              <m:sty m:val="p"/>
            </m:rPr>
            <m:t>:</m:t>
          </m:r>
          <m:sSup>
            <m:e>
              <m:r>
                <m:t>R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R</m:t>
          </m:r>
          <m:r>
            <m:rPr>
              <m:sty m:val="p"/>
            </m:rPr>
            <m:t>=</m:t>
          </m:r>
          <m:r>
            <m:t>R</m:t>
          </m:r>
          <m:sSup>
            <m:e>
              <m:r>
                <m:t>R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sSub>
            <m:e>
              <m:r>
                <m:t>I</m:t>
              </m:r>
            </m:e>
            <m:sub>
              <m:r>
                <m:t>D</m:t>
              </m:r>
            </m:sub>
          </m:sSub>
          <m:r>
            <m:rPr>
              <m:sty m:val="p"/>
            </m:rPr>
            <m:t>}</m:t>
          </m:r>
        </m:oMath>
      </m:oMathPara>
    </w:p>
    <w:p>
      <w:pPr>
        <w:pStyle w:val="FirstParagraph"/>
      </w:pPr>
      <w:r>
        <w:t xml:space="preserve">Su subgrupo de rotaciones (determinante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) es</w:t>
      </w:r>
      <w:r>
        <w:t xml:space="preserve"> </w:t>
      </w:r>
      <m:oMath>
        <m:r>
          <m:t>S</m:t>
        </m:r>
        <m:r>
          <m:t>O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t>O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</m:oMath>
      <w:r>
        <w:t xml:space="preserve"> </w:t>
      </w:r>
      <w:r>
        <w:t xml:space="preserve">actúa sobre</w:t>
      </w:r>
      <w:r>
        <w:t xml:space="preserve"> </w:t>
      </w:r>
      <m:oMath>
        <m:sSup>
          <m:e>
            <m:r>
              <m:t>S</m:t>
            </m:r>
          </m:e>
          <m:sup>
            <m:r>
              <m:t>D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de forma isométrica y transitiva: para todo</w:t>
      </w:r>
      <w:r>
        <w:t xml:space="preserve"> </w:t>
      </w:r>
      <m:oMath>
        <m:r>
          <m:t>R</m:t>
        </m:r>
        <m:r>
          <m:rPr>
            <m:sty m:val="p"/>
          </m:rPr>
          <m:t>∈</m:t>
        </m:r>
        <m:r>
          <m:t>O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</m:oMath>
      <w:r>
        <w:t xml:space="preserve"> </w:t>
      </w:r>
      <w:r>
        <w:t xml:space="preserve">y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∈</m:t>
        </m:r>
        <m:sSup>
          <m:e>
            <m:r>
              <m:t>S</m:t>
            </m:r>
          </m:e>
          <m:sup>
            <m:r>
              <m:t>D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∥</m:t>
        </m:r>
        <m:r>
          <m:t>R</m:t>
        </m:r>
        <m:r>
          <m:rPr>
            <m:sty m:val="bi"/>
          </m:rPr>
          <m:t>p</m:t>
        </m:r>
        <m:r>
          <m:rPr>
            <m:sty m:val="p"/>
          </m:rPr>
          <m:t>∥</m:t>
        </m:r>
        <m:r>
          <m:rPr>
            <m:sty m:val="p"/>
          </m:rPr>
          <m:t>=</m:t>
        </m:r>
        <m:r>
          <m:t>1</m:t>
        </m:r>
      </m:oMath>
      <w:r>
        <w:t xml:space="preserve">, y para</w:t>
      </w:r>
      <w:r>
        <w:t xml:space="preserve"> </w:t>
      </w:r>
      <w:r>
        <w:t xml:space="preserve">cualquier par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,</m:t>
        </m:r>
        <m:r>
          <m:rPr>
            <m:sty m:val="bi"/>
          </m:rPr>
          <m:t>q</m:t>
        </m:r>
        <m:r>
          <m:rPr>
            <m:sty m:val="p"/>
          </m:rPr>
          <m:t>∈</m:t>
        </m:r>
        <m:sSup>
          <m:e>
            <m:r>
              <m:t>S</m:t>
            </m:r>
          </m:e>
          <m:sup>
            <m:r>
              <m:t>D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existe</w:t>
      </w:r>
      <w:r>
        <w:t xml:space="preserve"> </w:t>
      </w:r>
      <m:oMath>
        <m:r>
          <m:t>R</m:t>
        </m:r>
        <m:r>
          <m:rPr>
            <m:sty m:val="p"/>
          </m:rPr>
          <m:t>∈</m:t>
        </m:r>
        <m:r>
          <m:t>O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</m:oMath>
      <w:r>
        <w:t xml:space="preserve"> </w:t>
      </w:r>
      <w:r>
        <w:t xml:space="preserve">con</w:t>
      </w:r>
      <w:r>
        <w:t xml:space="preserve"> </w:t>
      </w:r>
      <m:oMath>
        <m:r>
          <m:t>R</m:t>
        </m:r>
        <m:r>
          <m:rPr>
            <m:sty m:val="bi"/>
          </m:rPr>
          <m:t>p</m:t>
        </m:r>
        <m:r>
          <m:rPr>
            <m:sty m:val="p"/>
          </m:rPr>
          <m:t>=</m:t>
        </m:r>
        <m:r>
          <m:rPr>
            <m:sty m:val="bi"/>
          </m:rPr>
          <m:t>q</m:t>
        </m:r>
      </m:oMath>
      <w:r>
        <w:t xml:space="preserve">.</w:t>
      </w:r>
    </w:p>
    <w:p>
      <w:pPr>
        <w:pStyle w:val="BodyText"/>
      </w:pPr>
      <w:r>
        <w:t xml:space="preserve">Esta proposición justifica el uso de las isometrías de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</m:oMath>
      <w:r>
        <w:t xml:space="preserve"> </w:t>
      </w:r>
      <w:r>
        <w:t xml:space="preserve">(rotaciones de Rodrigues,</w:t>
      </w:r>
      <w:r>
        <w:t xml:space="preserve"> </w:t>
      </w:r>
      <w:r>
        <w:t xml:space="preserve">reflexiones de Householder) como las transformaciones</w:t>
      </w:r>
      <w:r>
        <w:t xml:space="preserve"> </w:t>
      </w:r>
      <w:r>
        <w:t xml:space="preserve">“legítimas”</w:t>
      </w:r>
      <w:r>
        <w:t xml:space="preserve"> </w:t>
      </w:r>
      <w:r>
        <w:t xml:space="preserve">del espacio</w:t>
      </w:r>
      <w:r>
        <w:t xml:space="preserve"> </w:t>
      </w:r>
      <w:r>
        <w:t xml:space="preserve">latente: son exactamente las transformaciones que no alteran la geometría semántica.</w:t>
      </w:r>
    </w:p>
    <w:bookmarkEnd w:id="16"/>
    <w:bookmarkStart w:id="19" w:name="Xe2f186a4c1f52053d5ff2f91ca1883a6f72f729"/>
    <w:p>
      <w:pPr>
        <w:pStyle w:val="Heading2"/>
      </w:pPr>
      <w:r>
        <w:t xml:space="preserve">Propiedades Asintóticas en Alta Dimensión</w:t>
      </w:r>
    </w:p>
    <w:p>
      <w:pPr>
        <w:pStyle w:val="FirstParagraph"/>
      </w:pPr>
      <w:r>
        <w:t xml:space="preserve">La teoría de la concentración de medida establece propiedades sorprendentes</w:t>
      </w:r>
      <w:r>
        <w:t xml:space="preserve"> </w:t>
      </w:r>
      <w:r>
        <w:t xml:space="preserve">de</w:t>
      </w:r>
      <w:r>
        <w:t xml:space="preserve"> </w:t>
      </w:r>
      <m:oMath>
        <m:sSup>
          <m:e>
            <m:r>
              <m:t>S</m:t>
            </m:r>
          </m:e>
          <m:sup>
            <m:r>
              <m:t>D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cuando</w:t>
      </w:r>
      <w:r>
        <w:t xml:space="preserve"> </w:t>
      </w:r>
      <m:oMath>
        <m:r>
          <m:t>D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</w:t>
      </w:r>
    </w:p>
    <w:bookmarkStart w:id="17" w:name="cuasi-ortogonalidad"/>
    <w:p>
      <w:pPr>
        <w:pStyle w:val="Heading3"/>
      </w:pPr>
      <w:r>
        <w:t xml:space="preserve">Cuasi-Ortogonalidad</w:t>
      </w:r>
    </w:p>
    <w:p>
      <w:pPr>
        <w:pStyle w:val="FirstParagraph"/>
      </w:pPr>
      <w:r>
        <w:t xml:space="preserve">Sean</w:t>
      </w:r>
      <w:r>
        <w:t xml:space="preserve"> </w:t>
      </w:r>
      <m:oMath>
        <m:sSub>
          <m:e>
            <m:r>
              <m:rPr>
                <m:sty m:val="bi"/>
              </m:rP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rPr>
                <m:sty m:val="bi"/>
              </m:rP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independientes con distribución uniforme</w:t>
      </w:r>
      <w:r>
        <w:t xml:space="preserve"> </w:t>
      </w:r>
      <w:r>
        <w:t xml:space="preserve">sobre</w:t>
      </w:r>
      <w:r>
        <w:t xml:space="preserve"> </w:t>
      </w:r>
      <m:oMath>
        <m:sSup>
          <m:e>
            <m:r>
              <m:t>S</m:t>
            </m:r>
          </m:e>
          <m:sup>
            <m:r>
              <m:t>D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 Para todo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⟨</m:t>
              </m:r>
              <m:r>
                <m:rPr>
                  <m:sty m:val="bi"/>
                </m:rPr>
                <m:t>x</m:t>
              </m:r>
              <m:sSub>
                <m:e>
                  <m:r>
                    <m:rPr>
                      <m:sty m:val="p"/>
                    </m:rPr>
                    <m:t>|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rPr>
                      <m:sty m:val="bi"/>
                    </m:rP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⟩</m:t>
              </m:r>
              <m:r>
                <m:rPr>
                  <m:sty m:val="p"/>
                </m:rPr>
                <m:t>&gt;</m:t>
              </m:r>
              <m:r>
                <m:t>ε</m:t>
              </m:r>
            </m:e>
          </m:d>
          <m:r>
            <m:rPr>
              <m:sty m:val="p"/>
            </m:rPr>
            <m:t>≤</m:t>
          </m:r>
          <m:r>
            <m:t>2</m:t>
          </m:r>
          <m:r>
            <m:rPr>
              <m:sty m:val="p"/>
            </m:rPr>
            <m:t>exp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</m:e>
          </m:d>
        </m:oMath>
      </m:oMathPara>
    </w:p>
    <w:p>
      <w:pPr>
        <w:pStyle w:val="FirstParagraph"/>
      </w:pPr>
      <w:r>
        <w:t xml:space="preserve">Para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10000</m:t>
        </m:r>
      </m:oMath>
      <w:r>
        <w:t xml:space="preserve"> </w:t>
      </w:r>
      <w:r>
        <w:t xml:space="preserve">y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0.1</m:t>
        </m:r>
      </m:oMath>
      <w:r>
        <w:t xml:space="preserve">:</w:t>
      </w:r>
      <w:r>
        <w:t xml:space="preserve"> </w:t>
      </w:r>
      <m:oMath>
        <m:r>
          <m:t>P</m:t>
        </m:r>
        <m:r>
          <m:rPr>
            <m:sty m:val="p"/>
          </m:rPr>
          <m:t>≤</m:t>
        </m:r>
        <m:r>
          <m:t>2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4999.5</m:t>
            </m:r>
          </m:sup>
        </m:sSup>
        <m:r>
          <m:rPr>
            <m:sty m:val="p"/>
          </m:rPr>
          <m:t>≈</m:t>
        </m:r>
        <m:r>
          <m:t>0</m:t>
        </m:r>
      </m:oMath>
      <w:r>
        <w:t xml:space="preserve">. Es decir,</w:t>
      </w:r>
      <w:r>
        <w:t xml:space="preserve"> </w:t>
      </w:r>
      <w:r>
        <w:t xml:space="preserve">dos vectores aleatorios en</w:t>
      </w:r>
      <w:r>
        <w:t xml:space="preserve"> </w:t>
      </w:r>
      <m:oMath>
        <m:sSup>
          <m:e>
            <m:r>
              <m:t>S</m:t>
            </m:r>
          </m:e>
          <m:sup>
            <m:r>
              <m:t>9999</m:t>
            </m:r>
          </m:sup>
        </m:sSup>
      </m:oMath>
      <w:r>
        <w:t xml:space="preserve"> </w:t>
      </w:r>
      <w:r>
        <w:t xml:space="preserve">son prácticamente ortogonales con probabilidad</w:t>
      </w:r>
      <w:r>
        <w:t xml:space="preserve"> </w:t>
      </w:r>
      <w:r>
        <w:t xml:space="preserve">extremadamente cercana a 1. Esta propiedad —</w:t>
      </w:r>
      <w:r>
        <w:t xml:space="preserve"> </w:t>
      </w:r>
      <w:r>
        <w:rPr>
          <w:i/>
          <w:iCs/>
        </w:rPr>
        <w:t xml:space="preserve">cuasi-ortogonalidad</w:t>
      </w:r>
      <w:r>
        <w:t xml:space="preserve"> </w:t>
      </w:r>
      <w:r>
        <w:t xml:space="preserve">— es</w:t>
      </w:r>
      <w:r>
        <w:t xml:space="preserve"> </w:t>
      </w:r>
      <w:r>
        <w:t xml:space="preserve">el fundamento de la arquitectura VSA (Vector Symbolic Architecture) de POLYDIM.</w:t>
      </w:r>
    </w:p>
    <w:p>
      <w:pPr>
        <w:pStyle w:val="BodyText"/>
      </w:pPr>
      <w:r>
        <w:t xml:space="preserve">En</w:t>
      </w:r>
      <w:r>
        <w:t xml:space="preserve"> </w:t>
      </w:r>
      <m:oMath>
        <m:sSup>
          <m:e>
            <m:r>
              <m:t>S</m:t>
            </m:r>
          </m:e>
          <m:sup>
            <m:r>
              <m:t>D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con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10000</m:t>
        </m:r>
      </m:oMath>
      <w:r>
        <w:t xml:space="preserve">, es posible almacenar exponencialmente muchos</w:t>
      </w:r>
      <w:r>
        <w:t xml:space="preserve"> </w:t>
      </w:r>
      <w:r>
        <w:t xml:space="preserve">vectores (</w:t>
      </w:r>
      <m:oMath>
        <m:r>
          <m:rPr>
            <m:sty m:val="p"/>
          </m:rPr>
          <m:t>≈</m:t>
        </m:r>
        <m:sSup>
          <m:e>
            <m:r>
              <m:t>2</m:t>
            </m:r>
          </m:e>
          <m:sup>
            <m:r>
              <m:t>D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) que sean mutuamente ortogonales con error</w:t>
      </w:r>
      <w:r>
        <w:t xml:space="preserve"> </w:t>
      </w:r>
      <m:oMath>
        <m:r>
          <m:t>ε</m:t>
        </m:r>
        <m:r>
          <m:rPr>
            <m:sty m:val="p"/>
          </m:rPr>
          <m:t>&lt;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100</m:t>
            </m:r>
          </m:sup>
        </m:sSup>
      </m:oMath>
      <w:r>
        <w:t xml:space="preserve">, permitiendo la representación sin interferencia de</w:t>
      </w:r>
      <w:r>
        <w:t xml:space="preserve"> </w:t>
      </w:r>
      <m:oMath>
        <m:r>
          <m:rPr>
            <m:sty m:val="p"/>
          </m:rPr>
          <m:t>≈</m:t>
        </m:r>
        <m:sSup>
          <m:e>
            <m:r>
              <m:t>2</m:t>
            </m:r>
          </m:e>
          <m:sup>
            <m:r>
              <m:t>5000</m:t>
            </m:r>
          </m:sup>
        </m:sSup>
      </m:oMath>
      <w:r>
        <w:t xml:space="preserve"> </w:t>
      </w:r>
      <w:r>
        <w:t xml:space="preserve">conceptos simultáneos en un único hipervector.</w:t>
      </w:r>
    </w:p>
    <w:bookmarkEnd w:id="17"/>
    <w:bookmarkStart w:id="18" w:name="X37caf59842a796542edfb38b469b7811d34d950"/>
    <w:p>
      <w:pPr>
        <w:pStyle w:val="Heading3"/>
      </w:pPr>
      <w:r>
        <w:t xml:space="preserve">El Fenómeno de la</w:t>
      </w:r>
      <w:r>
        <w:t xml:space="preserve"> </w:t>
      </w:r>
      <w:r>
        <w:t xml:space="preserve">“Piel de Naranja”</w:t>
      </w:r>
      <w:r>
        <w:t xml:space="preserve"> </w:t>
      </w:r>
      <w:r>
        <w:t xml:space="preserve">y la Maldición de la Dimensionalidad Invertida</w:t>
      </w:r>
    </w:p>
    <w:p>
      <w:pPr>
        <w:pStyle w:val="FirstParagraph"/>
      </w:pPr>
      <w:r>
        <w:t xml:space="preserve">La maldición de la dimensionalidad típicamente se asocia con la escasez de datos</w:t>
      </w:r>
      <w:r>
        <w:t xml:space="preserve"> </w:t>
      </w:r>
      <w:r>
        <w:t xml:space="preserve">en espacios de alta dimensión. Sin embargo, para</w:t>
      </w:r>
      <w:r>
        <w:t xml:space="preserve"> </w:t>
      </w:r>
      <m:oMath>
        <m:sSup>
          <m:e>
            <m:r>
              <m:t>S</m:t>
            </m:r>
          </m:e>
          <m:sup>
            <m:r>
              <m:t>D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el efecto es opuesto:</w:t>
      </w:r>
      <w:r>
        <w:t xml:space="preserve"> </w:t>
      </w:r>
      <w:r>
        <w:t xml:space="preserve">la</w:t>
      </w:r>
      <w:r>
        <w:t xml:space="preserve"> </w:t>
      </w:r>
      <w:r>
        <w:rPr>
          <w:i/>
          <w:iCs/>
        </w:rPr>
        <w:t xml:space="preserve">concentración de medida</w:t>
      </w:r>
      <w:r>
        <w:t xml:space="preserve"> </w:t>
      </w:r>
      <w:r>
        <w:t xml:space="preserve">hace que casi toda la masa de probabilidad</w:t>
      </w:r>
      <w:r>
        <w:t xml:space="preserve"> </w:t>
      </w:r>
      <w:r>
        <w:t xml:space="preserve">se concentre en una</w:t>
      </w:r>
      <w:r>
        <w:t xml:space="preserve"> </w:t>
      </w:r>
      <w:r>
        <w:t xml:space="preserve">“cáscara”</w:t>
      </w:r>
      <w:r>
        <w:t xml:space="preserve"> </w:t>
      </w:r>
      <w:r>
        <w:t xml:space="preserve">delgada alrededor del ecuador.</w:t>
      </w:r>
    </w:p>
    <w:p>
      <w:pPr>
        <w:pStyle w:val="BodyText"/>
      </w:pPr>
      <w:r>
        <w:t xml:space="preserve">Formalmente, para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sSup>
          <m:e>
            <m:r>
              <m:t>S</m:t>
            </m:r>
          </m:e>
          <m:sup>
            <m:r>
              <m:t>D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|</m:t>
              </m:r>
              <m:r>
                <m:rPr>
                  <m:sty m:val="bi"/>
                </m:rPr>
                <m:t>x</m:t>
              </m:r>
              <m:sSubSup>
                <m:e>
                  <m:r>
                    <m:rPr>
                      <m:sty m:val="p"/>
                    </m:rPr>
                    <m:t>|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</m:e>
          </m:d>
          <m:r>
            <m:rPr>
              <m:sty m:val="p"/>
            </m:rPr>
            <m:t>→</m:t>
          </m:r>
          <m:r>
            <m:t>0</m:t>
          </m:r>
          <m:r>
            <m:rPr>
              <m:nor/>
              <m:sty m:val="p"/>
            </m:rPr>
            <m:t> cuando </m:t>
          </m:r>
          <m:r>
            <m:t>D</m:t>
          </m:r>
          <m:r>
            <m:rPr>
              <m:sty m:val="p"/>
            </m:rPr>
            <m:t>→</m:t>
          </m:r>
          <m:r>
            <m:rPr>
              <m:sty m:val="p"/>
            </m:rPr>
            <m:t>∞</m:t>
          </m:r>
        </m:oMath>
      </m:oMathPara>
    </w:p>
    <w:p>
      <w:pPr>
        <w:pStyle w:val="FirstParagraph"/>
      </w:pPr>
      <w:r>
        <w:t xml:space="preserve">Todas las coordenadas de un punto aleatorio convergen en distribución a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D</m:t>
        </m:r>
        <m:r>
          <m:rPr>
            <m:sty m:val="p"/>
          </m:rPr>
          <m:t>)</m:t>
        </m:r>
      </m:oMath>
      <w:r>
        <w:t xml:space="preserve"> </w:t>
      </w:r>
      <w:r>
        <w:t xml:space="preserve">(Teorema de Poincaré). Esto significa que en</w:t>
      </w:r>
      <w:r>
        <w:t xml:space="preserve"> </w:t>
      </w:r>
      <m:oMath>
        <m:sSup>
          <m:e>
            <m:r>
              <m:t>S</m:t>
            </m:r>
          </m:e>
          <m:sup>
            <m:r>
              <m:t>D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de alta dimensión,</w:t>
      </w:r>
      <w:r>
        <w:t xml:space="preserve"> </w:t>
      </w:r>
      <w:r>
        <w:rPr>
          <w:i/>
          <w:iCs/>
        </w:rPr>
        <w:t xml:space="preserve">la geometría local se vuelve euclidiana</w:t>
      </w:r>
      <w:r>
        <w:t xml:space="preserve">: el espacio</w:t>
      </w:r>
      <w:r>
        <w:t xml:space="preserve"> </w:t>
      </w:r>
      <w:r>
        <w:t xml:space="preserve">tangente es una buena aproximación del espacio global en una vecindad grande.</w:t>
      </w:r>
    </w:p>
    <w:p>
      <w:pPr>
        <w:pStyle w:val="BodyText"/>
      </w:pPr>
      <w:r>
        <w:t xml:space="preserve">Esta propiedad es la que justifica el uso de la aproximación de primer orden de</w:t>
      </w:r>
      <w:r>
        <w:t xml:space="preserve"> </w:t>
      </w:r>
      <w:r>
        <w:t xml:space="preserve">Rodrigues en lugar de las fórmulas geodésicas exactas para ángulos pequeños.</w:t>
      </w:r>
    </w:p>
    <w:bookmarkEnd w:id="18"/>
    <w:bookmarkEnd w:id="19"/>
    <w:bookmarkStart w:id="20" w:name="la-variedad-de-stiefel-textstd-k"/>
    <w:p>
      <w:pPr>
        <w:pStyle w:val="Heading2"/>
      </w:pPr>
      <w:r>
        <w:t xml:space="preserve">La Variedad de Stiefel</w:t>
      </w:r>
      <w:r>
        <w:t xml:space="preserve"> </w:t>
      </w:r>
      <m:oMath>
        <m:r>
          <m:rPr>
            <m:nor/>
            <m:sty m:val="p"/>
          </m:rPr>
          <m:t>St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t>K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La variedad de Stiefel compacta 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St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,</m:t>
          </m:r>
          <m:r>
            <m:t>K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{</m:t>
          </m:r>
          <m:r>
            <m:t>Y</m:t>
          </m:r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D</m:t>
              </m:r>
              <m:r>
                <m:rPr>
                  <m:sty m:val="p"/>
                </m:rPr>
                <m:t>×</m:t>
              </m:r>
              <m:r>
                <m:t>K</m:t>
              </m:r>
            </m:sup>
          </m:sSup>
          <m:r>
            <m:rPr>
              <m:sty m:val="p"/>
            </m:rPr>
            <m:t>:</m:t>
          </m:r>
          <m:sSup>
            <m:e>
              <m:r>
                <m:t>Y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Y</m:t>
          </m:r>
          <m:r>
            <m:rPr>
              <m:sty m:val="p"/>
            </m:rPr>
            <m:t>=</m:t>
          </m:r>
          <m:sSub>
            <m:e>
              <m:r>
                <m:t>I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}</m:t>
          </m:r>
        </m:oMath>
      </m:oMathPara>
    </w:p>
    <w:p>
      <w:pPr>
        <w:pStyle w:val="FirstParagraph"/>
      </w:pPr>
      <w:r>
        <w:t xml:space="preserve">para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D</m:t>
        </m:r>
      </m:oMath>
      <w:r>
        <w:t xml:space="preserve">. Para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St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S</m:t>
            </m:r>
          </m:e>
          <m:sup>
            <m:r>
              <m:t>D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La variedad de Stiefel generaliza la esfera: en lugar de vectores columna unitarios,</w:t>
      </w:r>
      <w:r>
        <w:t xml:space="preserve"> </w:t>
      </w:r>
      <w:r>
        <w:t xml:space="preserve">considera matrices con columnas ortonormales. Aparece naturalmente en POLYDIM</w:t>
      </w:r>
      <w:r>
        <w:t xml:space="preserve"> </w:t>
      </w:r>
      <w:r>
        <w:t xml:space="preserve">en la retracción Cayley-SMW (Capítulo </w:t>
      </w:r>
      <w:hyperlink w:anchor="ch:cayley_smw">
        <w:r>
          <w:rPr>
            <w:rStyle w:val="Hyperlink"/>
          </w:rPr>
          <w:t xml:space="preserve">[ch:cayley_smw]</w:t>
        </w:r>
      </w:hyperlink>
      <w:r>
        <w:t xml:space="preserve">) para la actualización</w:t>
      </w:r>
      <w:r>
        <w:t xml:space="preserve"> </w:t>
      </w:r>
      <w:r>
        <w:t xml:space="preserve">de múltiples vectores simultáneamente.</w:t>
      </w:r>
    </w:p>
    <w:p>
      <w:pPr>
        <w:pStyle w:val="BodyText"/>
      </w:pPr>
      <w:r>
        <w:t xml:space="preserve">La variedad de Stiefel</w:t>
      </w:r>
      <w:r>
        <w:t xml:space="preserve"> </w:t>
      </w:r>
      <m:oMath>
        <m:r>
          <m:rPr>
            <m:nor/>
            <m:sty m:val="p"/>
          </m:rPr>
          <m:t>St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tiene dimensión: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dim</m:t>
          </m:r>
          <m:r>
            <m:rPr>
              <m:nor/>
              <m:sty m:val="p"/>
            </m:rPr>
            <m:t>St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,</m:t>
          </m:r>
          <m:r>
            <m:t>K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D</m:t>
          </m:r>
          <m:r>
            <m:t>K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K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num>
            <m:den>
              <m:r>
                <m:t>2</m:t>
              </m:r>
            </m:den>
          </m:f>
        </m:oMath>
      </m:oMathPara>
    </w:p>
    <w:p>
      <w:pPr>
        <w:pStyle w:val="FirstParagraph"/>
      </w:pPr>
      <w:r>
        <w:t xml:space="preserve">Para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 </w:t>
      </w:r>
      <w:r>
        <w:t xml:space="preserve">y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8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dim</m:t>
        </m:r>
        <m:r>
          <m:rPr>
            <m:nor/>
            <m:sty m:val="p"/>
          </m:rPr>
          <m:t>St</m:t>
        </m:r>
        <m:r>
          <m:rPr>
            <m:sty m:val="p"/>
          </m:rPr>
          <m:t>(</m:t>
        </m:r>
        <m:sSup>
          <m:e>
            <m:r>
              <m:t>10</m:t>
            </m:r>
          </m:e>
          <m:sup>
            <m:r>
              <m:t>6</m:t>
            </m:r>
          </m:sup>
        </m:sSup>
        <m:r>
          <m:rPr>
            <m:sty m:val="p"/>
          </m:rPr>
          <m:t>,</m:t>
        </m:r>
        <m:r>
          <m:t>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8000000</m:t>
        </m:r>
        <m:r>
          <m:rPr>
            <m:sty m:val="p"/>
          </m:rPr>
          <m:t>−</m:t>
        </m:r>
        <m:r>
          <m:t>36</m:t>
        </m:r>
        <m:r>
          <m:rPr>
            <m:sty m:val="p"/>
          </m:rPr>
          <m:t>=</m:t>
        </m:r>
        <m:r>
          <m:t>7999964</m:t>
        </m:r>
      </m:oMath>
      <w:r>
        <w:t xml:space="preserve">.</w:t>
      </w:r>
    </w:p>
    <w:bookmarkEnd w:id="20"/>
    <w:bookmarkStart w:id="21" w:name="X77d8d715efb861e6caf4e483abfb258aa2b9f09"/>
    <w:p>
      <w:pPr>
        <w:pStyle w:val="Heading2"/>
      </w:pPr>
      <w:r>
        <w:t xml:space="preserve">Proyección sobre</w:t>
      </w:r>
      <w:r>
        <w:t xml:space="preserve"> </w:t>
      </w:r>
      <m:oMath>
        <m:sSup>
          <m:e>
            <m:r>
              <m:t>S</m:t>
            </m:r>
          </m:e>
          <m:sup>
            <m:r>
              <m:t>D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: La Función de Retracción</w:t>
      </w:r>
    </w:p>
    <w:p>
      <w:pPr>
        <w:pStyle w:val="FirstParagraph"/>
      </w:pPr>
      <w:r>
        <w:t xml:space="preserve">Una retracción sobre una variedad</w:t>
      </w:r>
      <w:r>
        <w:t xml:space="preserve"> </w:t>
      </w:r>
      <m:oMath>
        <m:r>
          <m:rPr>
            <m:scr m:val="script"/>
            <m:sty m:val="p"/>
          </m:rPr>
          <m:t>M</m:t>
        </m:r>
      </m:oMath>
      <w:r>
        <w:t xml:space="preserve"> </w:t>
      </w:r>
      <w:r>
        <w:t xml:space="preserve">es un mapa</w:t>
      </w:r>
      <w:r>
        <w:t xml:space="preserve"> </w:t>
      </w:r>
      <m:oMath>
        <m:r>
          <m:t>R</m:t>
        </m:r>
        <m:r>
          <m:rPr>
            <m:sty m:val="p"/>
          </m:rPr>
          <m:t>:</m:t>
        </m:r>
        <m:r>
          <m:t>T</m:t>
        </m:r>
        <m:r>
          <m:rPr>
            <m:scr m:val="script"/>
            <m:sty m:val="p"/>
          </m:rPr>
          <m:t>M</m:t>
        </m:r>
        <m:r>
          <m:rPr>
            <m:sty m:val="p"/>
          </m:rPr>
          <m:t>→</m:t>
        </m:r>
        <m:r>
          <m:rPr>
            <m:scr m:val="script"/>
            <m:sty m:val="p"/>
          </m:rPr>
          <m:t>M</m:t>
        </m:r>
      </m:oMath>
      <w:r>
        <w:t xml:space="preserve"> </w:t>
      </w:r>
      <w:r>
        <w:t xml:space="preserve">tal que:</w:t>
      </w:r>
    </w:p>
    <w:p>
      <w:pPr>
        <w:numPr>
          <w:ilvl w:val="0"/>
          <w:numId w:val="1002"/>
        </w:numPr>
      </w:pPr>
      <m:oMath>
        <m:sSub>
          <m:e>
            <m:r>
              <m:t>R</m:t>
            </m:r>
          </m:e>
          <m:sub>
            <m:r>
              <m:rPr>
                <m:sty m:val="bi"/>
              </m:rPr>
              <m:t>p</m:t>
            </m:r>
          </m:sub>
        </m:sSub>
        <m:r>
          <m:rPr>
            <m:sty m:val="p"/>
          </m:rPr>
          <m:t>(</m:t>
        </m:r>
        <m:r>
          <m:rPr>
            <m:sty m:val="b"/>
          </m:rP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 </w:t>
      </w:r>
      <w:r>
        <w:t xml:space="preserve">(condición de centrado).</w:t>
      </w:r>
    </w:p>
    <w:p>
      <w:pPr>
        <w:numPr>
          <w:ilvl w:val="0"/>
          <w:numId w:val="1002"/>
        </w:numPr>
      </w:pP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t</m:t>
            </m:r>
          </m:den>
        </m:f>
        <m:sSub>
          <m:e>
            <m:r>
              <m:rPr>
                <m:sty m:val="p"/>
              </m:rPr>
              <m:t>|</m:t>
            </m:r>
          </m:e>
          <m:sub>
            <m:r>
              <m:t>t</m:t>
            </m:r>
            <m:r>
              <m:rPr>
                <m:sty m:val="p"/>
              </m:rPr>
              <m:t>=</m:t>
            </m:r>
            <m:r>
              <m:t>0</m:t>
            </m:r>
          </m:sub>
        </m:sSub>
        <m:sSub>
          <m:e>
            <m:r>
              <m:t>R</m:t>
            </m:r>
          </m:e>
          <m:sub>
            <m:r>
              <m:rPr>
                <m:sty m:val="bi"/>
              </m:rPr>
              <m:t>p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bi"/>
          </m:rPr>
          <m:t>v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v</m:t>
        </m:r>
      </m:oMath>
      <w:r>
        <w:t xml:space="preserve"> </w:t>
      </w:r>
      <w:r>
        <w:t xml:space="preserve">(condición de derivada).</w:t>
      </w:r>
    </w:p>
    <w:p>
      <w:pPr>
        <w:pStyle w:val="FirstParagraph"/>
      </w:pPr>
      <w:r>
        <w:t xml:space="preserve">Para</w:t>
      </w:r>
      <w:r>
        <w:t xml:space="preserve"> </w:t>
      </w:r>
      <m:oMath>
        <m:sSup>
          <m:e>
            <m:r>
              <m:t>S</m:t>
            </m:r>
          </m:e>
          <m:sup>
            <m:r>
              <m:t>D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la retracción más simple es la</w:t>
      </w:r>
      <w:r>
        <w:t xml:space="preserve"> </w:t>
      </w:r>
      <w:r>
        <w:rPr>
          <w:i/>
          <w:iCs/>
        </w:rPr>
        <w:t xml:space="preserve">proyección radial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rPr>
                  <m:sty m:val="bi"/>
                </m:rPr>
                <m:t>p</m:t>
              </m:r>
            </m:sub>
          </m:sSub>
          <m:r>
            <m:rPr>
              <m:sty m:val="p"/>
            </m:rPr>
            <m:t>(</m:t>
          </m:r>
          <m:r>
            <m:rPr>
              <m:sty m:val="bi"/>
            </m:rPr>
            <m:t>v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v</m:t>
              </m:r>
            </m:num>
            <m:den>
              <m:r>
                <m:rPr>
                  <m:sty m:val="p"/>
                </m:rPr>
                <m:t>∥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∥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v</m:t>
              </m:r>
            </m:den>
          </m:f>
        </m:oMath>
      </m:oMathPara>
    </w:p>
    <w:p>
      <w:pPr>
        <w:pStyle w:val="FirstParagraph"/>
      </w:pPr>
      <w:r>
        <w:t xml:space="preserve">Esta es una retracción de primer orden (no es la exponencial geodésica exacta,</w:t>
      </w:r>
      <w:r>
        <w:t xml:space="preserve"> </w:t>
      </w:r>
      <w:r>
        <w:t xml:space="preserve">que requeriría</w:t>
      </w:r>
      <w:r>
        <w:t xml:space="preserve"> </w:t>
      </w:r>
      <m:oMath>
        <m:r>
          <m:rPr>
            <m:scr m:val="script"/>
            <m:sty m:val="p"/>
          </m:rPr>
          <m:t>O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</m:oMath>
      <w:r>
        <w:t xml:space="preserve"> </w:t>
      </w:r>
      <w:r>
        <w:t xml:space="preserve">con la misma constante pero cálculo trigonométrico).</w:t>
      </w:r>
    </w:p>
    <w:p>
      <w:pPr>
        <w:pStyle w:val="BodyText"/>
      </w:pPr>
      <w:r>
        <w:t xml:space="preserve">La función de Rodrigues (Capítulo </w:t>
      </w:r>
      <w:hyperlink w:anchor="ch:rodrigues">
        <w:r>
          <w:rPr>
            <w:rStyle w:val="Hyperlink"/>
          </w:rPr>
          <w:t xml:space="preserve">[ch:rodrigues]</w:t>
        </w:r>
      </w:hyperlink>
      <w:r>
        <w:t xml:space="preserve">) implementa la retracción</w:t>
      </w:r>
      <w:r>
        <w:t xml:space="preserve"> </w:t>
      </w:r>
      <w:r>
        <w:t xml:space="preserve">geodésica exacta: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R</m:t>
              </m:r>
            </m:e>
            <m:sub>
              <m:r>
                <m:rPr>
                  <m:sty m:val="bi"/>
                </m:rPr>
                <m:t>p</m:t>
              </m:r>
            </m:sub>
            <m:sup>
              <m:r>
                <m:rPr>
                  <m:nor/>
                  <m:sty m:val="p"/>
                </m:rPr>
                <m:t>geod</m:t>
              </m:r>
            </m:sup>
          </m:sSubSup>
          <m:r>
            <m:rPr>
              <m:sty m:val="p"/>
            </m:rPr>
            <m:t>(</m:t>
          </m:r>
          <m:r>
            <m:rPr>
              <m:sty m:val="bi"/>
            </m:rPr>
            <m:t>v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∥</m:t>
          </m:r>
          <m:r>
            <m:rPr>
              <m:sty m:val="bi"/>
            </m:rPr>
            <m:t>v</m:t>
          </m:r>
          <m:r>
            <m:rPr>
              <m:sty m:val="p"/>
            </m:rPr>
            <m:t>∥</m:t>
          </m:r>
          <m:r>
            <m:rPr>
              <m:sty m:val="p"/>
            </m:rPr>
            <m:t>)</m:t>
          </m:r>
          <m:r>
            <m:rPr>
              <m:sty m:val="bi"/>
            </m:rPr>
            <m:t>p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rPr>
              <m:sty m:val="p"/>
            </m:rPr>
            <m:t>(</m:t>
          </m:r>
          <m:r>
            <m:rPr>
              <m:sty m:val="p"/>
            </m:rPr>
            <m:t>∥</m:t>
          </m:r>
          <m:r>
            <m:rPr>
              <m:sty m:val="bi"/>
            </m:rPr>
            <m:t>v</m:t>
          </m:r>
          <m:r>
            <m:rPr>
              <m:sty m:val="p"/>
            </m:rPr>
            <m:t>∥</m:t>
          </m:r>
          <m:r>
            <m:rPr>
              <m:sty m:val="p"/>
            </m:rPr>
            <m:t>)</m:t>
          </m:r>
          <m:f>
            <m:fPr>
              <m:type m:val="bar"/>
            </m:fPr>
            <m:num>
              <m:r>
                <m:rPr>
                  <m:sty m:val="bi"/>
                </m:rPr>
                <m:t>v</m:t>
              </m:r>
            </m:num>
            <m:den>
              <m:r>
                <m:rPr>
                  <m:sty m:val="p"/>
                </m:rPr>
                <m:t>∥</m:t>
              </m:r>
              <m:r>
                <m:rPr>
                  <m:sty m:val="bi"/>
                </m:rPr>
                <m:t>v</m:t>
              </m:r>
              <m:r>
                <m:rPr>
                  <m:sty m:val="p"/>
                </m:rPr>
                <m:t>∥</m:t>
              </m:r>
            </m:den>
          </m:f>
        </m:oMath>
      </m:oMathPara>
    </w:p>
    <w:bookmarkEnd w:id="21"/>
    <w:bookmarkStart w:id="22" w:name="X8ef713bac96fdb39e3f070cb131b69793a31985"/>
    <w:p>
      <w:pPr>
        <w:pStyle w:val="Heading2"/>
      </w:pPr>
      <w:r>
        <w:t xml:space="preserve">Invariantes Geométricos de</w:t>
      </w:r>
      <w:r>
        <w:t xml:space="preserve"> </w:t>
      </w:r>
      <m:oMath>
        <m:sSup>
          <m:e>
            <m:r>
              <m:t>S</m:t>
            </m:r>
          </m:e>
          <m:sup>
            <m:r>
              <m:t>D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Relevantes para POLYDIM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Valor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Relevancia en POLYDIM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Curvatura seccional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Justifica la fórmula versine en Rodrigues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Diámetro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π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Límite de SLERP para</w:t>
            </w:r>
            <w:r>
              <w:t xml:space="preserve"> </w:t>
            </w:r>
            <m:oMath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→</m:t>
              </m:r>
              <m:r>
                <m:t>π</m:t>
              </m:r>
            </m:oMath>
            <w:r>
              <w:t xml:space="preserve"> </w:t>
            </w:r>
            <w:r>
              <w:t xml:space="preserve">(antipodal)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Volumen de</w:t>
            </w:r>
            <w:r>
              <w:t xml:space="preserve"> </w:t>
            </w:r>
            <m:oMath>
              <m:sSup>
                <m:e>
                  <m:r>
                    <m:t>S</m:t>
                  </m:r>
                </m:e>
                <m:sup>
                  <m:r>
                    <m:t>D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oMath>
          </w:p>
        </w:tc>
        <w:tc>
          <w:tcPr/>
          <w:p>
            <w:pPr>
              <w:pStyle w:val="Compact"/>
              <w:jc w:val="left"/>
            </w:pPr>
            <m:oMath>
              <m:f>
                <m:fPr>
                  <m:type m:val="bar"/>
                </m:fPr>
                <m:num>
                  <m:r>
                    <m:t>2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Normalización de vonMises-Fisher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Radio de injectividad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π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Rango de SLERP sin discontinuidades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Número de Betti</w:t>
            </w:r>
          </w:p>
        </w:tc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D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Guarda topológica del enjambre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Grupo fundamental</w:t>
            </w:r>
          </w:p>
        </w:tc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π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r>
                    <m:t>S</m:t>
                  </m:r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n</m:t>
              </m:r>
              <m:r>
                <m:rPr>
                  <m:sty m:val="p"/>
                </m:rPr>
                <m:t>≥</m:t>
              </m:r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hay holonomía en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≥</m:t>
              </m:r>
              <m:r>
                <m:t>3</m:t>
              </m:r>
            </m:oMath>
          </w:p>
        </w:tc>
        <w:tc>
          <w:tcPr/>
          <w:p>
            <w:pPr>
              <w:pStyle w:val="Compact"/>
            </w:pPr>
          </w:p>
        </w:tc>
      </w:tr>
    </w:tbl>
    <w:bookmarkEnd w:id="22"/>
    <w:bookmarkStart w:id="23" w:name="Xeb7644bb8bb87830b708d8b6342fabf061b4ea0"/>
    <w:p>
      <w:pPr>
        <w:pStyle w:val="Heading2"/>
      </w:pPr>
      <w:r>
        <w:t xml:space="preserve">La Hiperesfera como Espacio de Estados del Enjambre</w:t>
      </w:r>
    </w:p>
    <w:p>
      <w:pPr>
        <w:pStyle w:val="FirstParagraph"/>
      </w:pPr>
      <w:r>
        <w:t xml:space="preserve">En POLYDIM, el estado de cada agente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en el enjambre es un punto</w:t>
      </w:r>
      <w:r>
        <w:t xml:space="preserve"> </w:t>
      </w:r>
      <m:oMath>
        <m:sSub>
          <m:e>
            <m:r>
              <m:rPr>
                <m:sty m:val="bi"/>
              </m:rPr>
              <m:t>s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sSup>
          <m:e>
            <m:r>
              <m:t>S</m:t>
            </m:r>
          </m:e>
          <m:sup>
            <m:r>
              <m:t>D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 El estado global del enjambre de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agentes 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S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b>
            <m:e>
              <m:r>
                <m:rPr>
                  <m:sty m:val="bi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sSub>
            <m:e>
              <m:r>
                <m:rPr>
                  <m:sty m:val="bi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rPr>
                  <m:sty m:val="bi"/>
                </m:rPr>
                <m:t>s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∈</m:t>
          </m:r>
          <m:r>
            <m:rPr>
              <m:sty m:val="p"/>
            </m:rPr>
            <m:t>(</m:t>
          </m:r>
          <m:sSup>
            <m:e>
              <m:r>
                <m:t>S</m:t>
              </m:r>
            </m:e>
            <m:sup>
              <m:r>
                <m:t>D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</m:sup>
          </m:sSup>
        </m:oMath>
      </m:oMathPara>
    </w:p>
    <w:p>
      <w:pPr>
        <w:pStyle w:val="FirstParagraph"/>
      </w:pPr>
      <w:r>
        <w:t xml:space="preserve">La convergencia del enjambre hacia consenso es la minimización de la función</w:t>
      </w:r>
      <w:r>
        <w:t xml:space="preserve"> </w:t>
      </w:r>
      <w:r>
        <w:t xml:space="preserve">de varianza de Fréchet: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rPr>
              <m:sty m:val="bi"/>
            </m:rPr>
            <m:t>m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d</m:t>
                  </m:r>
                </m:e>
                <m:sub>
                  <m:r>
                    <m:t>g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rPr>
              <m:sty m:val="bi"/>
            </m:rPr>
            <m:t>m</m:t>
          </m:r>
          <m:r>
            <m:rPr>
              <m:sty m:val="p"/>
            </m:rPr>
            <m:t>,</m:t>
          </m:r>
          <m:sSub>
            <m:e>
              <m:r>
                <m:rPr>
                  <m:sty m:val="bi"/>
                </m:rPr>
                <m:t>s</m:t>
              </m:r>
            </m:e>
            <m:sub>
              <m:r>
                <m:t>i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donde</w:t>
      </w:r>
      <w:r>
        <w:t xml:space="preserve"> </w:t>
      </w:r>
      <m:oMath>
        <m:sSub>
          <m:e>
            <m:r>
              <m:t>d</m:t>
            </m:r>
          </m:e>
          <m:sub>
            <m:r>
              <m:t>g</m:t>
            </m:r>
          </m:sub>
        </m:sSub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,</m:t>
        </m:r>
        <m:r>
          <m:rPr>
            <m:sty m:val="bi"/>
          </m:rP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arccos</m:t>
        </m:r>
        <m:r>
          <m:rPr>
            <m:sty m:val="p"/>
          </m:rPr>
          <m:t>⟨</m:t>
        </m:r>
        <m:r>
          <m:rPr>
            <m:sty m:val="bi"/>
          </m:rPr>
          <m:t>x</m:t>
        </m:r>
        <m:r>
          <m:rPr>
            <m:sty m:val="p"/>
          </m:rPr>
          <m:t>,</m:t>
        </m:r>
        <m:r>
          <m:rPr>
            <m:sty m:val="bi"/>
          </m:rPr>
          <m:t>y</m:t>
        </m:r>
        <m:r>
          <m:rPr>
            <m:sty m:val="p"/>
          </m:rPr>
          <m:t>⟩</m:t>
        </m:r>
      </m:oMath>
      <w:r>
        <w:t xml:space="preserve"> </w:t>
      </w:r>
      <w:r>
        <w:t xml:space="preserve">es la distancia geodésica. El minimizador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arg</m:t>
        </m:r>
        <m:r>
          <m:rPr>
            <m:sty m:val="p"/>
          </m:rPr>
          <m:t>min</m:t>
        </m:r>
        <m:r>
          <m:t>F</m:t>
        </m:r>
      </m:oMath>
      <w:r>
        <w:t xml:space="preserve"> </w:t>
      </w:r>
      <w:r>
        <w:t xml:space="preserve">es la</w:t>
      </w:r>
      <w:r>
        <w:t xml:space="preserve"> </w:t>
      </w:r>
      <w:r>
        <w:rPr>
          <w:i/>
          <w:iCs/>
        </w:rPr>
        <w:t xml:space="preserve">Media de Fréchet</w:t>
      </w:r>
      <w:r>
        <w:t xml:space="preserve"> </w:t>
      </w:r>
      <w:r>
        <w:t xml:space="preserve">del enjambre, y su existencia y unicidad están garantizadas</w:t>
      </w:r>
      <w:r>
        <w:t xml:space="preserve"> </w:t>
      </w:r>
      <w:r>
        <w:t xml:space="preserve">cuando todos los agentes están en una bola geodésica de radio</w:t>
      </w:r>
      <w:r>
        <w:t xml:space="preserve"> </w:t>
      </w:r>
      <m:oMath>
        <m:r>
          <m:rPr>
            <m:sty m:val="p"/>
          </m:rPr>
          <m:t>&lt;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[CERTIFICADO]</w:t>
      </w:r>
      <w:r>
        <w:t xml:space="preserve"> </w:t>
      </w:r>
      <w:r>
        <w:rPr>
          <w:b/>
          <w:bCs/>
        </w:rPr>
        <w:t xml:space="preserve">Verificación V762:</w:t>
      </w:r>
      <w:r>
        <w:t xml:space="preserve"> </w:t>
      </w:r>
      <w:r>
        <w:t xml:space="preserve">En el test de Cayley-SMW con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agentes en</w:t>
      </w:r>
      <w:r>
        <w:t xml:space="preserve"> </w:t>
      </w:r>
      <m:oMath>
        <m:sSup>
          <m:e>
            <m:r>
              <m:t>S</m:t>
            </m:r>
          </m:e>
          <m:sup>
            <m:r>
              <m:t>D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con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, la ortonormalidad del resultado satisface</w:t>
      </w:r>
      <w:r>
        <w:t xml:space="preserve"> </w:t>
      </w:r>
      <m:oMath>
        <m:r>
          <m:rPr>
            <m:sty m:val="p"/>
          </m:rPr>
          <m:t>∥</m:t>
        </m:r>
        <m:sSup>
          <m:e>
            <m:r>
              <m:t>Y</m:t>
            </m:r>
          </m:e>
          <m:sup>
            <m:r>
              <m:rPr>
                <m:sty m:val="p"/>
              </m:rPr>
              <m:t>⊤</m:t>
            </m:r>
          </m:sup>
        </m:sSup>
        <m:r>
          <m:t>Y</m:t>
        </m:r>
        <m:r>
          <m:rPr>
            <m:sty m:val="p"/>
          </m:rPr>
          <m:t>−</m:t>
        </m:r>
        <m:sSub>
          <m:e>
            <m:r>
              <m:t>I</m:t>
            </m:r>
          </m:e>
          <m:sub>
            <m:r>
              <m:t>8</m:t>
            </m:r>
          </m:sub>
        </m:sSub>
        <m:sSub>
          <m:e>
            <m:r>
              <m:rPr>
                <m:sty m:val="p"/>
              </m:rPr>
              <m:t>∥</m:t>
            </m:r>
          </m:e>
          <m:sub>
            <m:r>
              <m:rPr>
                <m:sty m:val="p"/>
              </m:rPr>
              <m:t>max</m:t>
            </m:r>
          </m:sub>
        </m:sSub>
        <m:r>
          <m:rPr>
            <m:sty m:val="p"/>
          </m:rPr>
          <m:t>=</m:t>
        </m:r>
        <m:r>
          <m:t>3.3307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14</m:t>
            </m:r>
          </m:sup>
        </m:sSup>
      </m:oMath>
      <w:r>
        <w:t xml:space="preserve">, confirmando que</w:t>
      </w:r>
      <w:r>
        <w:t xml:space="preserve"> </w:t>
      </w:r>
      <w:r>
        <w:t xml:space="preserve">la retracción preserva la pertenencia a la variedad</w:t>
      </w:r>
      <w:r>
        <w:t xml:space="preserve"> </w:t>
      </w:r>
      <m:oMath>
        <m:r>
          <m:rPr>
            <m:nor/>
            <m:sty m:val="p"/>
          </m:rPr>
          <m:t>St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t>8</m:t>
        </m:r>
        <m:r>
          <m:rPr>
            <m:sty m:val="p"/>
          </m:rPr>
          <m:t>)</m:t>
        </m:r>
      </m:oMath>
      <w:r>
        <w:t xml:space="preserve"> </w:t>
      </w:r>
      <w:r>
        <w:t xml:space="preserve">dentro del error de máquina de doble precisión.</w:t>
      </w:r>
    </w:p>
    <w:bookmarkEnd w:id="23"/>
    <w:bookmarkEnd w:id="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2026-09-28T19:51:24Z</dcterms:created>
  <dcterms:modified xsi:type="dcterms:W3CDTF">2026-09-28T19:51:24Z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