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8b5905b18f1838e3d325f26ca2b9b448bba467"/>
    <w:p>
      <w:pPr>
        <w:pStyle w:val="Heading1"/>
      </w:pPr>
      <w:r>
        <w:t xml:space="preserve">Álgebra de Clifford y Rotores Geométricos</w:t>
      </w:r>
    </w:p>
    <w:p>
      <w:pPr>
        <w:pStyle w:val="FirstParagraph"/>
      </w:pPr>
      <w:r>
        <w:t xml:space="preserve">El estudio de rotaciones y transformaciones ortogonales en espacios euclídeos de alta dimensión,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 requiere de herramientas algebraicas robustas y computacionalmente eficientes. Mientras que la representación tradicional mediante matrices ortogonales de grupo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ha dominado la literatura debido a su inmediata implementación en hardware lineal, presenta severas limitaciones en entornos hiperdimensionales (</w:t>
      </w:r>
      <m:oMath>
        <m:r>
          <m:t>D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La Álgebra de Clifford proporciona un marco unificado que no solo supera estos escollos asintóticos, sino que también revela la estructura topológica subyacente de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siendo la base fundamental de la Programación Cognitiva en POLYDIM.</w:t>
      </w:r>
    </w:p>
    <w:bookmarkStart w:id="9" w:name="definición-del-álgebra-de-clifford-cld0"/>
    <w:p>
      <w:pPr>
        <w:pStyle w:val="Heading2"/>
      </w:pPr>
      <w:r>
        <w:t xml:space="preserve">Definición del Álgebra de Clifford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El álgebra de Clifford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sobre un espacio vectorial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de dimensión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con una forma cuadrática definida positiva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 el álgebra asociativa con unidad generada por los elementos de</w:t>
      </w:r>
      <w:r>
        <w:t xml:space="preserve"> </w:t>
      </w:r>
      <m:oMath>
        <m:r>
          <m:t>V</m:t>
        </m:r>
      </m:oMath>
      <w:r>
        <w:t xml:space="preserve">, sujeta a la relación fundamental: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V</m:t>
          </m:r>
        </m:oMath>
      </m:oMathPara>
    </w:p>
    <w:p>
      <w:pPr>
        <w:pStyle w:val="FirstParagraph"/>
      </w:pPr>
      <w:r>
        <w:t xml:space="preserve">De esta identidad, mediante el proceso de polarización con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V</m:t>
        </m:r>
      </m:oMath>
      <w:r>
        <w:t xml:space="preserve">, se deduce inmediatamente que: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Dado que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, obtenemos la relación de anticonmutación: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Esta simple regla gobierna toda la estructura geométrica. En particular, 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son ortogonales (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), entonces anticomutan: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t>x</m:t>
        </m:r>
      </m:oMath>
      <w:r>
        <w:t xml:space="preserve">.</w:t>
      </w:r>
    </w:p>
    <w:bookmarkEnd w:id="9"/>
    <w:bookmarkStart w:id="10" w:name="el-producto-geométrico"/>
    <w:p>
      <w:pPr>
        <w:pStyle w:val="Heading2"/>
      </w:pPr>
      <w:r>
        <w:t xml:space="preserve">El Producto Geométrico</w:t>
      </w:r>
    </w:p>
    <w:p>
      <w:pPr>
        <w:pStyle w:val="FirstParagraph"/>
      </w:pPr>
      <w:r>
        <w:t xml:space="preserve">El producto en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se denomina producto geométrico. Para dos vectores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V</m:t>
        </m:r>
      </m:oMath>
      <w:r>
        <w:t xml:space="preserve">, este producto se puede descomponer unívocamente en una parte simétrica y una parte antisimétrica: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Reconociendo que la parte simétrica coincide con el producto interno (escalar), y definiendo la parte antisimétrica como el producto exterior (producto cuña o</w:t>
      </w:r>
      <w:r>
        <w:t xml:space="preserve"> </w:t>
      </w:r>
      <w:r>
        <w:rPr>
          <w:i/>
          <w:iCs/>
        </w:rPr>
        <w:t xml:space="preserve">wedge product</w:t>
      </w:r>
      <w:r>
        <w:t xml:space="preserve">), obtenemos la identidad central del álgebra geométrica: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∧</m:t>
          </m:r>
          <m:r>
            <m:t>b</m:t>
          </m:r>
        </m:oMath>
      </m:oMathPara>
    </w:p>
    <w:p>
      <w:pPr>
        <w:pStyle w:val="FirstParagraph"/>
      </w:pPr>
      <w:r>
        <w:t xml:space="preserve">Donde:</w:t>
      </w:r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⟩</m:t>
        </m:r>
      </m:oMath>
      <w:r>
        <w:t xml:space="preserve"> </w:t>
      </w:r>
      <w:r>
        <w:t xml:space="preserve">es un escalar (grado 0), que mide la colinealidad.</w:t>
      </w:r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t>b</m:t>
        </m:r>
      </m:oMath>
      <w:r>
        <w:t xml:space="preserve"> </w:t>
      </w:r>
      <w:r>
        <w:t xml:space="preserve">es un bivector (grado 2), que representa el segmento de plano orientado definido por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Esta dualidad simultánea es la que dota al producto geométrico de su inmenso poder: codifica tanto métrica (producto interno) como subespacios y orientaciones (producto exterior) sin recurrir a tensores de orden superior de forma explícita.</w:t>
      </w:r>
    </w:p>
    <w:bookmarkEnd w:id="10"/>
    <w:bookmarkStart w:id="11" w:name="X343fd445c34d9f604b084aa3534d1e37bd6d0ec"/>
    <w:p>
      <w:pPr>
        <w:pStyle w:val="Heading2"/>
      </w:pPr>
      <w:r>
        <w:t xml:space="preserve">Construcción a través del Álgebra Exterior y Estructura de Grados</w:t>
      </w:r>
    </w:p>
    <w:p>
      <w:pPr>
        <w:pStyle w:val="FirstParagraph"/>
      </w:pPr>
      <w:r>
        <w:t xml:space="preserve">Formalmente, como espacio vectorial, el álgebra de Clifford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 isomorfa al álgebra exterior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 Su dimensión total es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, y se descompone en suma directa de subespacios de grado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</w:t>
      </w:r>
      <w:r>
        <w:t xml:space="preserve"> </w:t>
      </w:r>
      <w:r>
        <w:rPr>
          <w:i/>
          <w:iCs/>
        </w:rPr>
        <w:t xml:space="preserve">k-blades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l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D</m:t>
              </m:r>
            </m:sup>
          </m:sSubSup>
          <m:sSup>
            <m:e>
              <m:r>
                <m:rPr>
                  <m:sty m:val="p"/>
                </m:rPr>
                <m:t>Λ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 base canónica para un</w:t>
      </w:r>
      <w:r>
        <w:t xml:space="preserve"> </w:t>
      </w:r>
      <m:oMath>
        <m:r>
          <m:t>k</m:t>
        </m:r>
      </m:oMath>
      <w:r>
        <w:t xml:space="preserve">-vector se forma a partir del producto exterior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vectores ortonormales de la base de</w:t>
      </w:r>
      <w:r>
        <w:t xml:space="preserve"> </w:t>
      </w:r>
      <m:oMath>
        <m:r>
          <m:t>V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}</m:t>
        </m:r>
      </m:oMath>
      <w:r>
        <w:t xml:space="preserve">. Un multivector genérico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 expresa como: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M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M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M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M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sSub>
          <m:e>
            <m:r>
              <m:rPr>
                <m:sty m:val="p"/>
              </m:rPr>
              <m:t>⟩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 parte escalar (el invariante de grado 0), de crucial importancia para el protocolo de consenso distribuido en el Swarm. En POLYDIM, evitamos instanciar la base completa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D</m:t>
            </m:r>
          </m:sup>
        </m:sSup>
        <m:r>
          <m:rPr>
            <m:sty m:val="p"/>
          </m:rPr>
          <m:t>)</m:t>
        </m:r>
      </m:oMath>
      <w:r>
        <w:t xml:space="preserve">, concentrándonos en</w:t>
      </w:r>
      <w:r>
        <w:t xml:space="preserve"> </w:t>
      </w:r>
      <m:oMath>
        <m:r>
          <m:t>k</m:t>
        </m:r>
      </m:oMath>
      <w:r>
        <w:t xml:space="preserve">-blades puros (específicamente bivectores,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que rigen las rotaciones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"/>
    <w:bookmarkStart w:id="12" w:name="Xd11c465eb808e850259b9b10b5fc382acac4aae"/>
    <w:p>
      <w:pPr>
        <w:pStyle w:val="Heading2"/>
      </w:pPr>
      <w:r>
        <w:t xml:space="preserve">Rotores: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B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y la Acción Bilátera</w:t>
      </w:r>
    </w:p>
    <w:p>
      <w:pPr>
        <w:pStyle w:val="FirstParagraph"/>
      </w:pPr>
      <w:r>
        <w:t xml:space="preserve">Las rotaciones en un espacio vectorial pueden modelarse como la composición de dos reflexiones a lo largo de hiperplanos ortogonales a vectores unitarios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</m:oMath>
      <w:r>
        <w:t xml:space="preserve">. En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la reflexión de un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respecto al hiperplano ortogonal 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(con</w:t>
      </w:r>
      <w:r>
        <w:t xml:space="preserve"> </w:t>
      </w:r>
      <m:oMath>
        <m:r>
          <m:rPr>
            <m:sty m:val="p"/>
          </m:rPr>
          <m:t>∥</m:t>
        </m:r>
        <m:r>
          <m:t>n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) está dada por: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t>n</m:t>
          </m:r>
        </m:oMath>
      </m:oMathPara>
    </w:p>
    <w:p>
      <w:pPr>
        <w:pStyle w:val="FirstParagraph"/>
      </w:pPr>
      <w:r>
        <w:t xml:space="preserve">Aplicando dos reflexiones sucesivas mediante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luego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t>n</m:t>
          </m:r>
          <m:r>
            <m:rPr>
              <m:sty m:val="p"/>
            </m:rPr>
            <m:t>)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m</m:t>
          </m:r>
          <m:r>
            <m:t>n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n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Definimos el Rotor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m</m:t>
        </m:r>
        <m:r>
          <m:t>n</m:t>
        </m:r>
      </m:oMath>
      <w:r>
        <w:t xml:space="preserve">. Nótese que, al ser producto de vectores,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pertenece a la subálgebra par</w:t>
      </w:r>
      <w: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conocida como el grupo Spin,</w:t>
      </w:r>
      <w:r>
        <w:t xml:space="preserve"> </w:t>
      </w:r>
      <m:oMath>
        <m:r>
          <m:t>S</m:t>
        </m:r>
        <m:r>
          <m:t>p</m:t>
        </m:r>
        <m:r>
          <m:t>i</m:t>
        </m:r>
        <m:r>
          <m:t>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La acción del rotor sobre el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acción bilátera (</w:t>
      </w:r>
      <w:r>
        <w:rPr>
          <w:i/>
          <w:iCs/>
        </w:rPr>
        <w:t xml:space="preserve">double-sided action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t>x</m:t>
          </m:r>
          <m:acc>
            <m:accPr>
              <m:chr m:val="̃"/>
            </m:accPr>
            <m:e>
              <m:r>
                <m:t>R</m:t>
              </m:r>
            </m:e>
          </m:acc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n</m:t>
        </m:r>
        <m:r>
          <m:t>m</m:t>
        </m:r>
      </m:oMath>
      <w:r>
        <w:t xml:space="preserve"> </w:t>
      </w:r>
      <w:r>
        <w:t xml:space="preserve">es el reverso (inversión del orden de los factores) de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Por el teorema de Cartan-Dieudonné, cualquier rotación 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dimensiones puede expresarse como producto de a lo sumo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reflexiones. Así, cualquier matriz ortogonal especial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S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tiene su equivalente en</w:t>
      </w:r>
      <w:r>
        <w:t xml:space="preserve"> </w:t>
      </w:r>
      <m:oMath>
        <m:r>
          <m:t>S</m:t>
        </m:r>
        <m:r>
          <m:t>p</m:t>
        </m:r>
        <m:r>
          <m:t>i</m:t>
        </m:r>
        <m:r>
          <m:t>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Además, como el plano de rotación está definido por el bivector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∧</m:t>
        </m:r>
        <m:r>
          <m:t>m</m:t>
        </m:r>
      </m:oMath>
      <w:r>
        <w:t xml:space="preserve">, podemos expresar el rotor continuo mediante la forma exponencial: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Esta expresión es idéntica a la fórmula de Euler, pero generalizada a bivectores en dimensiones arbitrarias.</w:t>
      </w:r>
    </w:p>
    <w:bookmarkEnd w:id="12"/>
    <w:bookmarkStart w:id="15" w:name="Xb6b55a4b13696d79dad555797121b4cd9cf427e"/>
    <w:p>
      <w:pPr>
        <w:pStyle w:val="Heading2"/>
      </w:pPr>
      <w:r>
        <w:t xml:space="preserve">Comparativa Topológica y Computacional: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frente a Rotores Clifford</w:t>
      </w:r>
    </w:p>
    <w:bookmarkStart w:id="13" w:name="Xbca077666700c63fbb247092cc50a504b07b73d"/>
    <w:p>
      <w:pPr>
        <w:pStyle w:val="Heading3"/>
      </w:pPr>
      <w:r>
        <w:t xml:space="preserve">Doble Recubrimiento Universal (</w:t>
      </w:r>
      <w:r>
        <w:rPr>
          <w:i/>
          <w:iCs/>
        </w:rPr>
        <w:t xml:space="preserve">Double Cover</w:t>
      </w:r>
      <w:r>
        <w:t xml:space="preserve">)</w:t>
      </w:r>
    </w:p>
    <w:p>
      <w:pPr>
        <w:pStyle w:val="FirstParagraph"/>
      </w:pPr>
      <w:r>
        <w:t xml:space="preserve">El grupo</w:t>
      </w:r>
      <w:r>
        <w:t xml:space="preserve"> </w:t>
      </w:r>
      <m:oMath>
        <m:r>
          <m:t>S</m:t>
        </m:r>
        <m:r>
          <m:t>p</m:t>
        </m:r>
        <m:r>
          <m:t>i</m:t>
        </m:r>
        <m:r>
          <m:t>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es el doble recubrimiento (universal para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3</m:t>
        </m:r>
      </m:oMath>
      <w:r>
        <w:t xml:space="preserve">) del grupo ortogonal especial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Existe un epimorfismo</w:t>
      </w:r>
      <w:r>
        <w:t xml:space="preserve"> </w:t>
      </w:r>
      <m:oMath>
        <m:r>
          <m:t>ρ</m:t>
        </m:r>
        <m:r>
          <m:rPr>
            <m:sty m:val="p"/>
          </m:rPr>
          <m:t>:</m:t>
        </m:r>
        <m:r>
          <m:t>S</m:t>
        </m:r>
        <m:r>
          <m:t>p</m:t>
        </m:r>
        <m:r>
          <m:t>i</m:t>
        </m:r>
        <m:r>
          <m:t>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S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 núcleo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Esto significa que los rotores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corresponden a la misma rotación en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Esta propiedad métrica es la que previene problemas topológicos como el</w:t>
      </w:r>
      <w:r>
        <w:t xml:space="preserve"> </w:t>
      </w:r>
      <w:r>
        <w:rPr>
          <w:i/>
          <w:iCs/>
        </w:rPr>
        <w:t xml:space="preserve">Gimbal Lock</w:t>
      </w:r>
      <w:r>
        <w:t xml:space="preserve"> </w:t>
      </w:r>
      <w:r>
        <w:t xml:space="preserve">que acosan a los ángulos de Euler, y permite interpolaciones suaves a lo largo de geodésicas en la hiperesfera (SLERP).</w:t>
      </w:r>
    </w:p>
    <w:bookmarkEnd w:id="13"/>
    <w:bookmarkStart w:id="14" w:name="complejidad-de-memoria-y-cómputo"/>
    <w:p>
      <w:pPr>
        <w:pStyle w:val="Heading3"/>
      </w:pPr>
      <w:r>
        <w:t xml:space="preserve">Complejidad de Memoria y Cómputo</w:t>
      </w:r>
    </w:p>
    <w:p>
      <w:pPr>
        <w:pStyle w:val="FirstParagraph"/>
      </w:pPr>
      <w:r>
        <w:t xml:space="preserve">En matrices, representar una rotación 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requiere una matriz de tamaño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, es decir, una huella de memoria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En arquitecturas como Cerebras WSE o en los nodos del Swarm procesando tensores 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almacenar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flotantes es inviable (requeriría</w:t>
      </w:r>
      <w:r>
        <w:t xml:space="preserve"> </w:t>
      </w:r>
      <m:oMath>
        <m:r>
          <m:rPr>
            <m:sty m:val="p"/>
          </m:rPr>
          <m:t>∼</m:t>
        </m:r>
        <m:r>
          <m:t>4</m:t>
        </m:r>
      </m:oMath>
      <w:r>
        <w:t xml:space="preserve"> </w:t>
      </w:r>
      <w:r>
        <w:t xml:space="preserve">Terabytes solo para la matriz de rotación).</w:t>
      </w:r>
    </w:p>
    <w:p>
      <w:pPr>
        <w:pStyle w:val="BodyText"/>
      </w:pPr>
      <w:r>
        <w:t xml:space="preserve">Por el contrario, un rotor simple (rotación en un único plano) requiere únicamente identificar el bivector generador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(definido por dos vectores,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v</m:t>
        </m:r>
      </m:oMath>
      <w:r>
        <w:t xml:space="preserve">) y el ángulo</w:t>
      </w:r>
      <w:r>
        <w:t xml:space="preserve"> </w:t>
      </w:r>
      <m:oMath>
        <m:r>
          <m:t>θ</m:t>
        </m:r>
      </m:oMath>
      <w:r>
        <w:t xml:space="preserve">. Esto requiere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memoria para almacenar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v</m:t>
        </m:r>
      </m:oMath>
      <w:r>
        <w:t xml:space="preserve">, colapsando la complejidad espacial. Esta es la revolución asintótica de POLYDIM: la Fórmula de Rodrigues generalizada.</w:t>
      </w:r>
    </w:p>
    <w:bookmarkEnd w:id="14"/>
    <w:bookmarkEnd w:id="15"/>
    <w:bookmarkStart w:id="16" w:name="X8869df26ccbb4f439d8231c82efccaedd97dae5"/>
    <w:p>
      <w:pPr>
        <w:pStyle w:val="Heading2"/>
      </w:pPr>
      <w:r>
        <w:t xml:space="preserve">Conexión con POLYDIM: Generalización de la Fórmula de Rodrigues</w:t>
      </w:r>
    </w:p>
    <w:p>
      <w:pPr>
        <w:pStyle w:val="FirstParagraph"/>
      </w:pPr>
      <w:r>
        <w:t xml:space="preserve">El núcleo en C++ ‘kernel_cpp_v762.cpp‘ y el kernel Triton implementan la acción del rotor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t>x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sin instanciar la estructura completa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de multivectores, utilizando una proyección geométrica puramente vectorial. La acción bilátera se desglosa y optimiza directamente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(detallado exhaustivamente en el Capítulo 6). De este modo, POLYDIM aprovecha el isomorfismo métrico de Clifford para lograr eficiencia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en cómputo y memoria, manteniendo al 100% la precisión topológica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6"/>
    <w:bookmarkStart w:id="17" w:name="X3494015967a0b0ace08e02ed83700a0edcef3ea"/>
    <w:p>
      <w:pPr>
        <w:pStyle w:val="Heading2"/>
      </w:pPr>
      <w:r>
        <w:t xml:space="preserve">El Operador Duality Estrella de Hodge</w:t>
      </w:r>
      <w:r>
        <w:t xml:space="preserve"> </w:t>
      </w:r>
      <m:oMath>
        <m:r>
          <m:rPr>
            <m:sty m:val="p"/>
          </m:rPr>
          <m:t>⋆</m:t>
        </m:r>
      </m:oMath>
    </w:p>
    <w:p>
      <w:pPr>
        <w:pStyle w:val="FirstParagraph"/>
      </w:pPr>
      <w:r>
        <w:t xml:space="preserve">El elemento pseudoescalar unitario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se define como el producto de todos los vectores de la base ortonormal: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e</m:t>
            </m:r>
          </m:e>
          <m:sub>
            <m:r>
              <m:t>D</m:t>
            </m:r>
          </m:sub>
        </m:sSub>
      </m:oMath>
      <w:r>
        <w:t xml:space="preserve">. Este elemento conmuta o anticonmuta con todos los demás dependiendo de la paridad de</w:t>
      </w:r>
      <w:r>
        <w:t xml:space="preserve"> </w:t>
      </w:r>
      <m:oMath>
        <m:r>
          <m:t>D</m:t>
        </m:r>
      </m:oMath>
      <w:r>
        <w:t xml:space="preserve">. El operador de dualidad de Hodge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se relaciona íntimamente con la multiplicación por el pseudoescalar</w:t>
      </w:r>
      <w:r>
        <w:t xml:space="preserve"> </w:t>
      </w:r>
      <m:oMath>
        <m:r>
          <m:t>I</m:t>
        </m:r>
      </m:oMath>
      <w:r>
        <w:t xml:space="preserve">. Para cualquier multivector</w:t>
      </w:r>
      <w:r>
        <w:t xml:space="preserve"> </w:t>
      </w:r>
      <m:oMath>
        <m:r>
          <m:t>A</m:t>
        </m:r>
      </m:oMath>
      <w:r>
        <w:t xml:space="preserve">, su dual es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En POLYDIM, esta dualidad permite mapear problemas de alta dimensión a subespacios de menor grado para ataques Red Team.</w:t>
      </w:r>
    </w:p>
    <w:bookmarkEnd w:id="17"/>
    <w:bookmarkStart w:id="18" w:name="isometría-absoluta-r-x-tilder-x"/>
    <w:p>
      <w:pPr>
        <w:pStyle w:val="Heading2"/>
      </w:pPr>
      <w:r>
        <w:t xml:space="preserve">Isometría Absoluta: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x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</w:p>
    <w:p>
      <w:pPr>
        <w:pStyle w:val="FirstParagraph"/>
      </w:pPr>
      <w:r>
        <w:t xml:space="preserve">La acción bilátera de un rotor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sobre un vector</w:t>
      </w:r>
      <w:r>
        <w:t xml:space="preserve"> </w:t>
      </w:r>
      <m:oMath>
        <m:r>
          <m:t>x</m:t>
        </m:r>
      </m:oMath>
      <w:r>
        <w:t xml:space="preserve">, denotada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t>x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, preserva exactamente la norma geométrica de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Consideremos la norma al cuadrado de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que en álgebra geométrica es el producto geométrico por su reverso. Como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vector, su reverso es sí mismo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</m:oMath>
      <w:r>
        <w:t xml:space="preserve">, pero debemos considerar el reverso de todo el producto: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∥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 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x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t>R</m:t>
              </m:r>
              <m:r>
                <m:rPr>
                  <m:sty m:val="p"/>
                </m:rPr>
                <m:t>)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Para un rotor,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 Por tanto: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∥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x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Dado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 vector,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que es un escalar. Los escalares conmutan con cualquier multivector: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∥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En consecuencia,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t xml:space="preserve">. Esta prueba algebraica no depende 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ni de la representación matricial matricial. ◻</w:t>
      </w:r>
    </w:p>
    <w:p>
      <w:pPr>
        <w:pStyle w:val="BodyText"/>
      </w:pPr>
      <w:r>
        <w:t xml:space="preserve">Esta propiedad se verifica asintóticamente en POLYDIM, asegurando Deriva Cero (Drift = 0.0) a precisiones de máquina.</w:t>
      </w:r>
    </w:p>
    <w:bookmarkEnd w:id="18"/>
    <w:bookmarkStart w:id="19" w:name="X4d5356ed0fd23402feaf7ed70ef75920b3792ff"/>
    <w:p>
      <w:pPr>
        <w:pStyle w:val="Heading2"/>
      </w:pPr>
      <w:r>
        <w:t xml:space="preserve">El Conjunto de Compuertas Clifford+T y la Convergencia Cuántica</w:t>
      </w:r>
    </w:p>
    <w:p>
      <w:pPr>
        <w:pStyle w:val="FirstParagraph"/>
      </w:pPr>
      <w:r>
        <w:t xml:space="preserve">El interés de formalizar los operadores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como elementos de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no es meramente abstracto. En el contexto de la computación cuántica, el teorema de Solovay-Kitaev demuestra que el conjunto de compuertas de Clifford, complementado con la compuerta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(rotación de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8</m:t>
        </m:r>
      </m:oMath>
      <w:r>
        <w:t xml:space="preserve">), es universal.</w:t>
      </w:r>
    </w:p>
    <w:p>
      <w:pPr>
        <w:pStyle w:val="BodyText"/>
      </w:pPr>
      <w:r>
        <w:t xml:space="preserve">POLYDIM anticipa la migración del cómputo de tensores a hardware cuántico y QPU’s. Al enmarcar las transformaciones de estado interno (LatentMAS PMTP) puramente como rotores espaciales sobre geodésicas (sin la contaminación 1D de un Transformer), los estados de red son isomórficos a estados cuánticos puramente unitarios. El "Ghost Protocol" de transferencia multihop sin colapso a 1D (texto/JSON) preserva el vector de estado inalterado, como un sistema cuántico no observado, colapsando solo en la interfaz final "2D Worm".</w:t>
      </w:r>
    </w:p>
    <w:bookmarkEnd w:id="19"/>
    <w:bookmarkStart w:id="20" w:name="X1ae6e6efab447d2c6ea10d8c49fa800b3dc176d"/>
    <w:p>
      <w:pPr>
        <w:pStyle w:val="Heading2"/>
      </w:pPr>
      <w:r>
        <w:t xml:space="preserve">Consideraciones Físicas y de Hardware: FtzDazGuard RAII</w:t>
      </w:r>
    </w:p>
    <w:p>
      <w:pPr>
        <w:pStyle w:val="FirstParagraph"/>
      </w:pPr>
      <w:r>
        <w:t xml:space="preserve">En la ejecución a nivel de silicio, la preservación isométrica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descrita teóricamente es acosada por las limitaciones del formato IEEE-754. Las interacciones con números subnormales pueden desencadenar trampas del hardware (</w:t>
      </w:r>
      <w:r>
        <w:rPr>
          <w:i/>
          <w:iCs/>
        </w:rPr>
        <w:t xml:space="preserve">microcode traps</w:t>
      </w:r>
      <w:r>
        <w:t xml:space="preserve">), demorando las canalizaciones (pipelines) aritméticas masivamente.</w:t>
      </w:r>
    </w:p>
    <w:p>
      <w:pPr>
        <w:pStyle w:val="SourceCode"/>
      </w:pPr>
      <w:r>
        <w:rPr>
          <w:rStyle w:val="VerbatimChar"/>
        </w:rPr>
        <w:t xml:space="preserve">class FtzDazGuard {</w:t>
      </w:r>
      <w:r>
        <w:br/>
      </w:r>
      <w:r>
        <w:rPr>
          <w:rStyle w:val="VerbatimChar"/>
        </w:rPr>
        <w:t xml:space="preserve">    unsigned int original_mxcsr;</w:t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FtzDazGuard() {</w:t>
      </w:r>
      <w:r>
        <w:br/>
      </w:r>
      <w:r>
        <w:rPr>
          <w:rStyle w:val="VerbatimChar"/>
        </w:rPr>
        <w:t xml:space="preserve">        original_mxcsr = _mm_getcsr();</w:t>
      </w:r>
      <w:r>
        <w:br/>
      </w:r>
      <w:r>
        <w:rPr>
          <w:rStyle w:val="VerbatimChar"/>
        </w:rPr>
        <w:t xml:space="preserve">        // Set Flush-To-Zero (bit 15) and Denormals-Are-Zero (bit 6)</w:t>
      </w:r>
      <w:r>
        <w:br/>
      </w:r>
      <w:r>
        <w:rPr>
          <w:rStyle w:val="VerbatimChar"/>
        </w:rPr>
        <w:t xml:space="preserve">        _mm_setcsr(original_mxcsr | (1 &lt;&lt; 15) | (1 &lt;&lt; 6));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~FtzDazGuard() {</w:t>
      </w:r>
      <w:r>
        <w:br/>
      </w:r>
      <w:r>
        <w:rPr>
          <w:rStyle w:val="VerbatimChar"/>
        </w:rPr>
        <w:t xml:space="preserve">        _mm_setcsr(original_mxcsr);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En la implementación asintótica descrita en ‘kernel_cpp_v762.cpp‘, los rotores de Clifford demandan miles de sumas concurrentes por OpenMP. Para prevenir las anomalías de los estados subnormales (flush-to-zero y denormals-are-zero), se instila el ‘FtzDazGuard‘, garantizando que la isometría probabilística no descarrile el ancho de banda por</w:t>
      </w:r>
      <w:r>
        <w:t xml:space="preserve"> </w:t>
      </w:r>
      <w:r>
        <w:rPr>
          <w:i/>
          <w:iCs/>
        </w:rPr>
        <w:t xml:space="preserve">branching</w:t>
      </w:r>
      <w:r>
        <w:t xml:space="preserve"> </w:t>
      </w:r>
      <w:r>
        <w:t xml:space="preserve">subnormal de bajo nivel.</w:t>
      </w:r>
    </w:p>
    <w:bookmarkEnd w:id="20"/>
    <w:bookmarkStart w:id="21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paso del marco matricial euclídeo hacia el álgebra de Clifford purifica el cómputo de rotaciones hiperdimensionales, proveyendo un mapeo exacto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en lugar del catastrófico costo de memoria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El rotor como un invariante topológico de doble recubrimiento habilita explícitamente a POLYDIM para ejecutar SLERP en espacios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con garantías estrictas de Cero Deriva.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2026-09-28T19:51:25Z</dcterms:created>
  <dcterms:modified xsi:type="dcterms:W3CDTF">2026-09-28T19:51:25Z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