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040c623bc620ce5832c2c4cad8c455708ed730"/>
    <w:p>
      <w:pPr>
        <w:pStyle w:val="Heading1"/>
      </w:pPr>
      <w:r>
        <w:t xml:space="preserve">Fórmula de Rodrigues Generalizada en</w:t>
      </w:r>
      <w:r>
        <w:t xml:space="preserve"> </w:t>
      </w:r>
      <m:oMath>
        <m:sSup>
          <m:e>
            <m:r>
              <m:t>S</m:t>
            </m:r>
          </m:e>
          <m:sup>
            <m:r>
              <m:t>D</m:t>
            </m:r>
            <m:r>
              <m:rPr>
                <m:sty m:val="p"/>
              </m:rPr>
              <m:t>−</m:t>
            </m:r>
            <m:r>
              <m:t>1</m:t>
            </m:r>
          </m:sup>
        </m:sSup>
      </m:oMath>
    </w:p>
    <w:p>
      <w:pPr>
        <w:pStyle w:val="FirstParagraph"/>
      </w:pPr>
      <w:r>
        <w:t xml:space="preserve">La rotación de vectores en espacios de alta dimensión sin sufrir la catástrofe de la dimensionalidad (</w:t>
      </w:r>
      <m:oMath>
        <m:r>
          <m:t>O</m:t>
        </m:r>
        <m:r>
          <m:rPr>
            <m:sty m:val="p"/>
          </m:rPr>
          <m:t>(</m:t>
        </m:r>
        <m:sSup>
          <m:e>
            <m:r>
              <m:t>D</m:t>
            </m:r>
          </m:e>
          <m:sup>
            <m:r>
              <m:t>2</m:t>
            </m:r>
          </m:sup>
        </m:sSup>
        <m:r>
          <m:rPr>
            <m:sty m:val="p"/>
          </m:rPr>
          <m:t>)</m:t>
        </m:r>
      </m:oMath>
      <w:r>
        <w:t xml:space="preserve"> </w:t>
      </w:r>
      <w:r>
        <w:t xml:space="preserve">en memoria y</w:t>
      </w:r>
      <w:r>
        <w:t xml:space="preserve"> </w:t>
      </w:r>
      <m:oMath>
        <m:r>
          <m:t>O</m:t>
        </m:r>
        <m:r>
          <m:rPr>
            <m:sty m:val="p"/>
          </m:rPr>
          <m:t>(</m:t>
        </m:r>
        <m:sSup>
          <m:e>
            <m:r>
              <m:t>D</m:t>
            </m:r>
          </m:e>
          <m:sup>
            <m:r>
              <m:t>2</m:t>
            </m:r>
          </m:sup>
        </m:sSup>
        <m:r>
          <m:rPr>
            <m:sty m:val="p"/>
          </m:rPr>
          <m:t>)</m:t>
        </m:r>
      </m:oMath>
      <w:r>
        <w:t xml:space="preserve"> </w:t>
      </w:r>
      <w:r>
        <w:t xml:space="preserve">en cómputo) es el núcleo tecnológico del modelo de programación cognitiva de POLYDIM. En este capítulo, desentrañaremos la fórmula de rotación geodésica, que generaliza la icónica fórmula propuesta por Olinde Rodrigues en 1840, proyectándola rigurosamente a</w:t>
      </w:r>
      <w:r>
        <w:t xml:space="preserve"> </w:t>
      </w:r>
      <m:oMath>
        <m:sSup>
          <m:e>
            <m:r>
              <m:t>S</m:t>
            </m:r>
          </m:e>
          <m:sup>
            <m:r>
              <m:t>D</m:t>
            </m:r>
            <m:r>
              <m:rPr>
                <m:sty m:val="p"/>
              </m:rPr>
              <m:t>−</m:t>
            </m:r>
            <m:r>
              <m:t>1</m:t>
            </m:r>
          </m:sup>
        </m:sSup>
      </m:oMath>
      <w:r>
        <w:t xml:space="preserve"> </w:t>
      </w:r>
      <w:r>
        <w:t xml:space="preserve">y estableciendo cotas numéricas garantizadas (Teorema de Higham 4.3).</w:t>
      </w:r>
    </w:p>
    <w:bookmarkStart w:id="9" w:name="contexto-histórico"/>
    <w:p>
      <w:pPr>
        <w:pStyle w:val="Heading2"/>
      </w:pPr>
      <w:r>
        <w:t xml:space="preserve">Contexto Histórico</w:t>
      </w:r>
    </w:p>
    <w:p>
      <w:pPr>
        <w:pStyle w:val="FirstParagraph"/>
      </w:pPr>
      <w:r>
        <w:t xml:space="preserve">En 1840, Olinde Rodrigues derivó una fórmula algebraica compacta para rotar un vector</w:t>
      </w:r>
      <w:r>
        <w:t xml:space="preserve"> </w:t>
      </w:r>
      <m:oMath>
        <m:r>
          <m:t>v</m:t>
        </m:r>
      </m:oMath>
      <w:r>
        <w:t xml:space="preserve"> </w:t>
      </w:r>
      <w:r>
        <w:t xml:space="preserve">en</w:t>
      </w:r>
      <w:r>
        <w:t xml:space="preserve"> </w:t>
      </w:r>
      <m:oMath>
        <m:sSup>
          <m:e>
            <m:r>
              <m:rPr>
                <m:scr m:val="double-struck"/>
                <m:sty m:val="p"/>
              </m:rPr>
              <m:t>R</m:t>
            </m:r>
          </m:e>
          <m:sup>
            <m:r>
              <m:t>3</m:t>
            </m:r>
          </m:sup>
        </m:sSup>
      </m:oMath>
      <w:r>
        <w:t xml:space="preserve"> </w:t>
      </w:r>
      <w:r>
        <w:t xml:space="preserve">alrededor de un eje</w:t>
      </w:r>
      <w:r>
        <w:t xml:space="preserve"> </w:t>
      </w:r>
      <m:oMath>
        <m:r>
          <m:t>k</m:t>
        </m:r>
      </m:oMath>
      <w:r>
        <w:t xml:space="preserve"> </w:t>
      </w:r>
      <w:r>
        <w:t xml:space="preserve">(unitario) por un ángulo</w:t>
      </w:r>
      <w:r>
        <w:t xml:space="preserve"> </w:t>
      </w:r>
      <m:oMath>
        <m:r>
          <m:t>θ</m:t>
        </m:r>
      </m:oMath>
      <w:r>
        <w:t xml:space="preserve">:</w:t>
      </w:r>
    </w:p>
    <w:p>
      <w:pPr>
        <w:pStyle w:val="BodyText"/>
      </w:pPr>
      <m:oMathPara>
        <m:oMathParaPr>
          <m:jc m:val="center"/>
        </m:oMathParaPr>
        <m:oMath>
          <m:sSub>
            <m:e>
              <m:r>
                <m:t>v</m:t>
              </m:r>
            </m:e>
            <m:sub>
              <m:r>
                <m:t>r</m:t>
              </m:r>
              <m:r>
                <m:t>o</m:t>
              </m:r>
              <m:r>
                <m:t>t</m:t>
              </m:r>
            </m:sub>
          </m:sSub>
          <m:r>
            <m:rPr>
              <m:sty m:val="p"/>
            </m:rPr>
            <m:t>=</m:t>
          </m:r>
          <m:r>
            <m:t>v</m:t>
          </m:r>
          <m:r>
            <m:rPr>
              <m:sty m:val="p"/>
            </m:rPr>
            <m:t>cos</m:t>
          </m:r>
          <m:r>
            <m:t>θ</m:t>
          </m:r>
          <m:r>
            <m:rPr>
              <m:sty m:val="p"/>
            </m:rPr>
            <m:t>+</m:t>
          </m:r>
          <m:r>
            <m:rPr>
              <m:sty m:val="p"/>
            </m:rPr>
            <m:t>(</m:t>
          </m:r>
          <m:r>
            <m:t>k</m:t>
          </m:r>
          <m:r>
            <m:rPr>
              <m:sty m:val="p"/>
            </m:rPr>
            <m:t>×</m:t>
          </m:r>
          <m:r>
            <m:t>v</m:t>
          </m:r>
          <m:r>
            <m:rPr>
              <m:sty m:val="p"/>
            </m:rPr>
            <m:t>)</m:t>
          </m:r>
          <m:r>
            <m:rPr>
              <m:sty m:val="p"/>
            </m:rPr>
            <m:t>sin</m:t>
          </m:r>
          <m:r>
            <m:t>θ</m:t>
          </m:r>
          <m:r>
            <m:rPr>
              <m:sty m:val="p"/>
            </m:rPr>
            <m:t>+</m:t>
          </m:r>
          <m:r>
            <m:t>k</m:t>
          </m:r>
          <m:r>
            <m:rPr>
              <m:sty m:val="p"/>
            </m:rPr>
            <m:t>(</m:t>
          </m:r>
          <m:r>
            <m:t>k</m:t>
          </m:r>
          <m:r>
            <m:rPr>
              <m:sty m:val="p"/>
            </m:rPr>
            <m:t>⋅</m:t>
          </m:r>
          <m:r>
            <m:t>v</m:t>
          </m:r>
          <m:r>
            <m:rPr>
              <m:sty m:val="p"/>
            </m:rPr>
            <m:t>)</m:t>
          </m:r>
          <m:r>
            <m:rPr>
              <m:sty m:val="p"/>
            </m:rPr>
            <m:t>(</m:t>
          </m:r>
          <m:r>
            <m:t>1</m:t>
          </m:r>
          <m:r>
            <m:rPr>
              <m:sty m:val="p"/>
            </m:rPr>
            <m:t>−</m:t>
          </m:r>
          <m:r>
            <m:rPr>
              <m:sty m:val="p"/>
            </m:rPr>
            <m:t>cos</m:t>
          </m:r>
          <m:r>
            <m:t>θ</m:t>
          </m:r>
          <m:r>
            <m:rPr>
              <m:sty m:val="p"/>
            </m:rPr>
            <m:t>)</m:t>
          </m:r>
        </m:oMath>
      </m:oMathPara>
    </w:p>
    <w:p>
      <w:pPr>
        <w:pStyle w:val="FirstParagraph"/>
      </w:pPr>
      <w:r>
        <w:t xml:space="preserve">Esta formulación evadía las singularidades intrínsecas de los ángulos de Euler y minimizaba el uso de funciones trascendentes costosas. Sin embargo, en dimensiones superiores (</w:t>
      </w:r>
      <m:oMath>
        <m:r>
          <m:t>D</m:t>
        </m:r>
        <m:r>
          <m:rPr>
            <m:sty m:val="p"/>
          </m:rPr>
          <m:t>&gt;</m:t>
        </m:r>
        <m:r>
          <m:t>3</m:t>
        </m:r>
      </m:oMath>
      <w:r>
        <w:t xml:space="preserve">), el producto cruz estándar (</w:t>
      </w:r>
      <m:oMath>
        <m:r>
          <m:rPr>
            <m:sty m:val="p"/>
          </m:rPr>
          <m:t>×</m:t>
        </m:r>
      </m:oMath>
      <w:r>
        <w:t xml:space="preserve">) no está bien definido unívocamente para dos vectores, lo que exigió el desarrollo de una rotación directamente en un plano 2D especificado por dos vectores (bivector) empotrado en un espacio</w:t>
      </w:r>
      <w:r>
        <w:t xml:space="preserve"> </w:t>
      </w:r>
      <m:oMath>
        <m:r>
          <m:t>D</m:t>
        </m:r>
      </m:oMath>
      <w:r>
        <w:t xml:space="preserve">-dimensional.</w:t>
      </w:r>
    </w:p>
    <w:bookmarkEnd w:id="9"/>
    <w:bookmarkStart w:id="10" w:name="derivación-matemática-en-sd-1"/>
    <w:p>
      <w:pPr>
        <w:pStyle w:val="Heading2"/>
      </w:pPr>
      <w:r>
        <w:t xml:space="preserve">Derivación Matemática en</w:t>
      </w:r>
      <w:r>
        <w:t xml:space="preserve"> </w:t>
      </w:r>
      <m:oMath>
        <m:sSup>
          <m:e>
            <m:r>
              <m:t>S</m:t>
            </m:r>
          </m:e>
          <m:sup>
            <m:r>
              <m:t>D</m:t>
            </m:r>
            <m:r>
              <m:rPr>
                <m:sty m:val="p"/>
              </m:rPr>
              <m:t>−</m:t>
            </m:r>
            <m:r>
              <m:t>1</m:t>
            </m:r>
          </m:sup>
        </m:sSup>
      </m:oMath>
    </w:p>
    <w:p>
      <w:pPr>
        <w:pStyle w:val="FirstParagraph"/>
      </w:pPr>
      <w:r>
        <w:t xml:space="preserve">Consideremos un vector base</w:t>
      </w:r>
      <w:r>
        <w:t xml:space="preserve"> </w:t>
      </w:r>
      <m:oMath>
        <m:r>
          <m:t>y</m:t>
        </m:r>
        <m:r>
          <m:rPr>
            <m:sty m:val="p"/>
          </m:rPr>
          <m:t>∈</m:t>
        </m:r>
        <m:sSup>
          <m:e>
            <m:r>
              <m:rPr>
                <m:scr m:val="double-struck"/>
                <m:sty m:val="p"/>
              </m:rPr>
              <m:t>R</m:t>
            </m:r>
          </m:e>
          <m:sup>
            <m:r>
              <m:t>D</m:t>
            </m:r>
          </m:sup>
        </m:sSup>
      </m:oMath>
      <w:r>
        <w:t xml:space="preserve">, y una rotación puramente contenida en el plano 2D generado por dos vectores ortonormales</w:t>
      </w:r>
      <w:r>
        <w:t xml:space="preserve"> </w:t>
      </w:r>
      <m:oMath>
        <m:r>
          <m:t>u</m:t>
        </m:r>
      </m:oMath>
      <w:r>
        <w:t xml:space="preserve"> </w:t>
      </w:r>
      <w:r>
        <w:t xml:space="preserve">y</w:t>
      </w:r>
      <w:r>
        <w:t xml:space="preserve"> </w:t>
      </w:r>
      <m:oMath>
        <m:r>
          <m:t>v</m:t>
        </m:r>
      </m:oMath>
      <w:r>
        <w:t xml:space="preserve"> </w:t>
      </w:r>
      <w:r>
        <w:t xml:space="preserve">(</w:t>
      </w:r>
      <m:oMath>
        <m:r>
          <m:rPr>
            <m:sty m:val="p"/>
          </m:rPr>
          <m:t>∥</m:t>
        </m:r>
        <m:r>
          <m:t>u</m:t>
        </m:r>
        <m:r>
          <m:rPr>
            <m:sty m:val="p"/>
          </m:rPr>
          <m:t>∥</m:t>
        </m:r>
        <m:r>
          <m:rPr>
            <m:sty m:val="p"/>
          </m:rPr>
          <m:t>=</m:t>
        </m:r>
        <m:r>
          <m:rPr>
            <m:sty m:val="p"/>
          </m:rPr>
          <m:t>∥</m:t>
        </m:r>
        <m:r>
          <m:t>v</m:t>
        </m:r>
        <m:r>
          <m:rPr>
            <m:sty m:val="p"/>
          </m:rPr>
          <m:t>∥</m:t>
        </m:r>
        <m:r>
          <m:rPr>
            <m:sty m:val="p"/>
          </m:rPr>
          <m:t>=</m:t>
        </m:r>
        <m:r>
          <m:t>1</m:t>
        </m:r>
      </m:oMath>
      <w:r>
        <w:t xml:space="preserve">,</w:t>
      </w:r>
      <w:r>
        <w:t xml:space="preserve"> </w:t>
      </w:r>
      <m:oMath>
        <m:r>
          <m:rPr>
            <m:sty m:val="p"/>
          </m:rPr>
          <m:t>⟨</m:t>
        </m:r>
        <m:r>
          <m:t>u</m:t>
        </m:r>
        <m:r>
          <m:rPr>
            <m:sty m:val="p"/>
          </m:rPr>
          <m:t>,</m:t>
        </m:r>
        <m:r>
          <m:t>v</m:t>
        </m:r>
        <m:r>
          <m:rPr>
            <m:sty m:val="p"/>
          </m:rPr>
          <m:t>⟩</m:t>
        </m:r>
        <m:r>
          <m:rPr>
            <m:sty m:val="p"/>
          </m:rPr>
          <m:t>=</m:t>
        </m:r>
        <m:r>
          <m:t>0</m:t>
        </m:r>
      </m:oMath>
      <w:r>
        <w:t xml:space="preserve">).</w:t>
      </w:r>
    </w:p>
    <w:p>
      <w:pPr>
        <w:pStyle w:val="BodyText"/>
      </w:pPr>
      <w:r>
        <w:t xml:space="preserve">Cualquier vector</w:t>
      </w:r>
      <w:r>
        <w:t xml:space="preserve"> </w:t>
      </w:r>
      <m:oMath>
        <m:r>
          <m:t>y</m:t>
        </m:r>
      </m:oMath>
      <w:r>
        <w:t xml:space="preserve"> </w:t>
      </w:r>
      <w:r>
        <w:t xml:space="preserve">puede descomponerse en una componente contenida en este plano de rotación,</w:t>
      </w:r>
      <w:r>
        <w:t xml:space="preserve"> </w:t>
      </w:r>
      <m:oMath>
        <m:sSub>
          <m:e>
            <m:r>
              <m:t>y</m:t>
            </m:r>
          </m:e>
          <m:sub>
            <m:r>
              <m:rPr>
                <m:sty m:val="p"/>
              </m:rPr>
              <m:t>∥</m:t>
            </m:r>
          </m:sub>
        </m:sSub>
      </m:oMath>
      <w:r>
        <w:t xml:space="preserve">, y una componente ortogonal (fuera del plano),</w:t>
      </w:r>
      <w:r>
        <w:t xml:space="preserve"> </w:t>
      </w:r>
      <m:oMath>
        <m:sSub>
          <m:e>
            <m:r>
              <m:t>y</m:t>
            </m:r>
          </m:e>
          <m:sub>
            <m:r>
              <m:rPr>
                <m:sty m:val="p"/>
              </m:rPr>
              <m:t>⟂</m:t>
            </m:r>
          </m:sub>
        </m:sSub>
      </m:oMath>
      <w:r>
        <w:t xml:space="preserve">:</w:t>
      </w:r>
    </w:p>
    <w:p>
      <w:pPr>
        <w:pStyle w:val="BodyText"/>
      </w:pPr>
      <m:oMathPara>
        <m:oMathParaPr>
          <m:jc m:val="center"/>
        </m:oMathParaPr>
        <m:oMath>
          <m:r>
            <m:t>y</m:t>
          </m:r>
          <m:r>
            <m:rPr>
              <m:sty m:val="p"/>
            </m:rPr>
            <m:t>=</m:t>
          </m:r>
          <m:sSub>
            <m:e>
              <m:r>
                <m:t>y</m:t>
              </m:r>
            </m:e>
            <m:sub>
              <m:r>
                <m:rPr>
                  <m:sty m:val="p"/>
                </m:rPr>
                <m:t>∥</m:t>
              </m:r>
            </m:sub>
          </m:sSub>
          <m:r>
            <m:rPr>
              <m:sty m:val="p"/>
            </m:rPr>
            <m:t>+</m:t>
          </m:r>
          <m:sSub>
            <m:e>
              <m:r>
                <m:t>y</m:t>
              </m:r>
            </m:e>
            <m:sub>
              <m:r>
                <m:rPr>
                  <m:sty m:val="p"/>
                </m:rPr>
                <m:t>⟂</m:t>
              </m:r>
            </m:sub>
          </m:sSub>
        </m:oMath>
      </m:oMathPara>
    </w:p>
    <w:p>
      <w:pPr>
        <w:pStyle w:val="FirstParagraph"/>
      </w:pPr>
      <m:oMathPara>
        <m:oMathParaPr>
          <m:jc m:val="center"/>
        </m:oMathParaPr>
        <m:oMath>
          <m:sSub>
            <m:e>
              <m:r>
                <m:t>y</m:t>
              </m:r>
            </m:e>
            <m:sub>
              <m:r>
                <m:rPr>
                  <m:sty m:val="p"/>
                </m:rPr>
                <m:t>∥</m:t>
              </m:r>
            </m:sub>
          </m:sSub>
          <m:r>
            <m:rPr>
              <m:sty m:val="p"/>
            </m:rPr>
            <m:t>=</m:t>
          </m:r>
          <m:r>
            <m:rPr>
              <m:sty m:val="p"/>
            </m:rPr>
            <m:t>⟨</m:t>
          </m:r>
          <m:r>
            <m:t>y</m:t>
          </m:r>
          <m:r>
            <m:rPr>
              <m:sty m:val="p"/>
            </m:rPr>
            <m:t>,</m:t>
          </m:r>
          <m:r>
            <m:t>u</m:t>
          </m:r>
          <m:r>
            <m:rPr>
              <m:sty m:val="p"/>
            </m:rPr>
            <m:t>⟩</m:t>
          </m:r>
          <m:r>
            <m:t>u</m:t>
          </m:r>
          <m:r>
            <m:rPr>
              <m:sty m:val="p"/>
            </m:rPr>
            <m:t>+</m:t>
          </m:r>
          <m:r>
            <m:rPr>
              <m:sty m:val="p"/>
            </m:rPr>
            <m:t>⟨</m:t>
          </m:r>
          <m:r>
            <m:t>y</m:t>
          </m:r>
          <m:r>
            <m:rPr>
              <m:sty m:val="p"/>
            </m:rPr>
            <m:t>,</m:t>
          </m:r>
          <m:r>
            <m:t>v</m:t>
          </m:r>
          <m:r>
            <m:rPr>
              <m:sty m:val="p"/>
            </m:rPr>
            <m:t>⟩</m:t>
          </m:r>
          <m:r>
            <m:t>v</m:t>
          </m:r>
        </m:oMath>
      </m:oMathPara>
    </w:p>
    <w:p>
      <w:pPr>
        <w:pStyle w:val="FirstParagraph"/>
      </w:pPr>
      <m:oMathPara>
        <m:oMathParaPr>
          <m:jc m:val="center"/>
        </m:oMathParaPr>
        <m:oMath>
          <m:sSub>
            <m:e>
              <m:r>
                <m:t>y</m:t>
              </m:r>
            </m:e>
            <m:sub>
              <m:r>
                <m:rPr>
                  <m:sty m:val="p"/>
                </m:rPr>
                <m:t>⟂</m:t>
              </m:r>
            </m:sub>
          </m:sSub>
          <m:r>
            <m:rPr>
              <m:sty m:val="p"/>
            </m:rPr>
            <m:t>=</m:t>
          </m:r>
          <m:r>
            <m:t>y</m:t>
          </m:r>
          <m:r>
            <m:rPr>
              <m:sty m:val="p"/>
            </m:rPr>
            <m:t>−</m:t>
          </m:r>
          <m:sSub>
            <m:e>
              <m:r>
                <m:t>y</m:t>
              </m:r>
            </m:e>
            <m:sub>
              <m:r>
                <m:rPr>
                  <m:sty m:val="p"/>
                </m:rPr>
                <m:t>∥</m:t>
              </m:r>
            </m:sub>
          </m:sSub>
          <m:r>
            <m:rPr>
              <m:sty m:val="p"/>
            </m:rPr>
            <m:t>=</m:t>
          </m:r>
          <m:r>
            <m:t>y</m:t>
          </m:r>
          <m:r>
            <m:rPr>
              <m:sty m:val="p"/>
            </m:rPr>
            <m:t>−</m:t>
          </m:r>
          <m:r>
            <m:rPr>
              <m:sty m:val="p"/>
            </m:rPr>
            <m:t>⟨</m:t>
          </m:r>
          <m:r>
            <m:t>y</m:t>
          </m:r>
          <m:r>
            <m:rPr>
              <m:sty m:val="p"/>
            </m:rPr>
            <m:t>,</m:t>
          </m:r>
          <m:r>
            <m:t>u</m:t>
          </m:r>
          <m:r>
            <m:rPr>
              <m:sty m:val="p"/>
            </m:rPr>
            <m:t>⟩</m:t>
          </m:r>
          <m:r>
            <m:t>u</m:t>
          </m:r>
          <m:r>
            <m:rPr>
              <m:sty m:val="p"/>
            </m:rPr>
            <m:t>−</m:t>
          </m:r>
          <m:r>
            <m:rPr>
              <m:sty m:val="p"/>
            </m:rPr>
            <m:t>⟨</m:t>
          </m:r>
          <m:r>
            <m:t>y</m:t>
          </m:r>
          <m:r>
            <m:rPr>
              <m:sty m:val="p"/>
            </m:rPr>
            <m:t>,</m:t>
          </m:r>
          <m:r>
            <m:t>v</m:t>
          </m:r>
          <m:r>
            <m:rPr>
              <m:sty m:val="p"/>
            </m:rPr>
            <m:t>⟩</m:t>
          </m:r>
          <m:r>
            <m:t>v</m:t>
          </m:r>
        </m:oMath>
      </m:oMathPara>
    </w:p>
    <w:p>
      <w:pPr>
        <w:pStyle w:val="FirstParagraph"/>
      </w:pPr>
      <w:r>
        <w:t xml:space="preserve">La rotación por un ángulo</w:t>
      </w:r>
      <w:r>
        <w:t xml:space="preserve"> </w:t>
      </w:r>
      <m:oMath>
        <m:r>
          <m:t>θ</m:t>
        </m:r>
      </m:oMath>
      <w:r>
        <w:t xml:space="preserve"> </w:t>
      </w:r>
      <w:r>
        <w:t xml:space="preserve">en el plano definido por</w:t>
      </w:r>
      <w:r>
        <w:t xml:space="preserve"> </w:t>
      </w:r>
      <m:oMath>
        <m:r>
          <m:rPr>
            <m:sty m:val="p"/>
          </m:rPr>
          <m:t>(</m:t>
        </m:r>
        <m:r>
          <m:t>u</m:t>
        </m:r>
        <m:r>
          <m:rPr>
            <m:sty m:val="p"/>
          </m:rPr>
          <m:t>,</m:t>
        </m:r>
        <m:r>
          <m:t>v</m:t>
        </m:r>
        <m:r>
          <m:rPr>
            <m:sty m:val="p"/>
          </m:rPr>
          <m:t>)</m:t>
        </m:r>
      </m:oMath>
      <w:r>
        <w:t xml:space="preserve"> </w:t>
      </w:r>
      <w:r>
        <w:t xml:space="preserve">no altera la componente</w:t>
      </w:r>
      <w:r>
        <w:t xml:space="preserve"> </w:t>
      </w:r>
      <m:oMath>
        <m:sSub>
          <m:e>
            <m:r>
              <m:t>y</m:t>
            </m:r>
          </m:e>
          <m:sub>
            <m:r>
              <m:rPr>
                <m:sty m:val="p"/>
              </m:rPr>
              <m:t>⟂</m:t>
            </m:r>
          </m:sub>
        </m:sSub>
      </m:oMath>
      <w:r>
        <w:t xml:space="preserve">. Actúa exclusivamente en la componente paralela. Así, mediante la matriz de rotación 2D habitual:</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p>
                      <m:e>
                        <m:r>
                          <m:t>c</m:t>
                        </m:r>
                      </m:e>
                      <m:sup>
                        <m:r>
                          <m:rPr>
                            <m:sty m:val="p"/>
                          </m:rPr>
                          <m:t>′</m:t>
                        </m:r>
                      </m:sup>
                    </m:sSup>
                  </m:e>
                </m:mr>
                <m:mr>
                  <m:e>
                    <m:sSup>
                      <m:e>
                        <m:r>
                          <m:t>s</m:t>
                        </m:r>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m:t>
                    </m:r>
                    <m:r>
                      <m:rPr>
                        <m:sty m:val="p"/>
                      </m:rPr>
                      <m:t>sin</m:t>
                    </m:r>
                    <m:r>
                      <m:t>θ</m:t>
                    </m:r>
                  </m:e>
                </m:mr>
                <m:mr>
                  <m:e>
                    <m:r>
                      <m:rPr>
                        <m:sty m:val="p"/>
                      </m:rPr>
                      <m:t>sin</m:t>
                    </m:r>
                    <m:r>
                      <m:t>θ</m:t>
                    </m:r>
                  </m:e>
                  <m:e>
                    <m:r>
                      <m:rPr>
                        <m:sty m:val="p"/>
                      </m:rPr>
                      <m:t>cos</m:t>
                    </m:r>
                    <m:r>
                      <m:t>θ</m:t>
                    </m:r>
                  </m:e>
                </m:mr>
              </m:m>
            </m:e>
          </m:d>
          <m:d>
            <m:dPr>
              <m:begChr m:val="["/>
              <m:sepChr m:val=""/>
              <m:endChr m:val="]"/>
              <m:grow/>
            </m:dPr>
            <m:e>
              <m:m>
                <m:mPr>
                  <m:baseJc m:val="center"/>
                  <m:plcHide m:val="on"/>
                  <m:mcs>
                    <m:mc>
                      <m:mcPr>
                        <m:mcJc m:val="center"/>
                        <m:count m:val="1"/>
                      </m:mcPr>
                    </m:mc>
                  </m:mcs>
                </m:mPr>
                <m:mr>
                  <m:e>
                    <m:r>
                      <m:rPr>
                        <m:sty m:val="p"/>
                      </m:rPr>
                      <m:t>⟨</m:t>
                    </m:r>
                    <m:r>
                      <m:t>y</m:t>
                    </m:r>
                    <m:r>
                      <m:rPr>
                        <m:sty m:val="p"/>
                      </m:rPr>
                      <m:t>,</m:t>
                    </m:r>
                    <m:r>
                      <m:t>u</m:t>
                    </m:r>
                    <m:r>
                      <m:rPr>
                        <m:sty m:val="p"/>
                      </m:rPr>
                      <m:t>⟩</m:t>
                    </m:r>
                  </m:e>
                </m:mr>
                <m:mr>
                  <m:e>
                    <m:r>
                      <m:rPr>
                        <m:sty m:val="p"/>
                      </m:rPr>
                      <m:t>⟨</m:t>
                    </m:r>
                    <m:r>
                      <m:t>y</m:t>
                    </m:r>
                    <m:r>
                      <m:rPr>
                        <m:sty m:val="p"/>
                      </m:rPr>
                      <m:t>,</m:t>
                    </m:r>
                    <m:r>
                      <m:t>v</m:t>
                    </m:r>
                    <m:r>
                      <m:rPr>
                        <m:sty m:val="p"/>
                      </m:rPr>
                      <m:t>⟩</m:t>
                    </m:r>
                  </m:e>
                </m:mr>
              </m:m>
            </m:e>
          </m:d>
        </m:oMath>
      </m:oMathPara>
    </w:p>
    <w:p>
      <w:pPr>
        <w:pStyle w:val="FirstParagraph"/>
      </w:pPr>
      <w:r>
        <w:t xml:space="preserve">Entonces, la nueva componente paralela tras rotar es:</w:t>
      </w:r>
    </w:p>
    <w:p>
      <w:pPr>
        <w:pStyle w:val="BodyText"/>
      </w:pPr>
      <w:r>
        <w:t xml:space="preserve">$$\begin{align}
        y'_{\parallel} = &amp; (\langle y, u \rangle \cos\theta - \langle y, v \rangle \sin\theta) u \notag \\
                         &amp; + (\langle y, u \rangle \sin\theta + \langle y, v \rangle \cos\theta) v
    \end{align}$$</w:t>
      </w:r>
    </w:p>
    <w:p>
      <w:pPr>
        <w:pStyle w:val="FirstParagraph"/>
      </w:pPr>
      <w:r>
        <w:t xml:space="preserve">Reconstruyendo el vector final:</w:t>
      </w:r>
    </w:p>
    <w:p>
      <w:pPr>
        <w:pStyle w:val="BodyText"/>
      </w:pPr>
      <w:r>
        <w:t xml:space="preserve">$$\begin{align}
        y_{out} &amp;= y_\perp + y'_{\parallel} \notag \\
                &amp;= (y - \langle y, u \rangle u - \langle y, v \rangle v) + y'_{\parallel} \notag \\
                &amp;= y + u \big( \langle y, u \rangle \cos\theta - \langle y, v \rangle \sin\theta - \langle y, u \rangle \big) \notag \\
                &amp;\quad + v \big( \langle y, u \rangle \sin\theta + \langle y, v \rangle \cos\theta - \langle y, v \rangle \big)
    \end{align}$$</w:t>
      </w:r>
    </w:p>
    <w:p>
      <w:pPr>
        <w:pStyle w:val="FirstParagraph"/>
      </w:pPr>
      <w:r>
        <w:t xml:space="preserve">Factorizando el término</w:t>
      </w:r>
      <w:r>
        <w:t xml:space="preserve"> </w:t>
      </w:r>
      <m:oMath>
        <m:r>
          <m:rPr>
            <m:sty m:val="p"/>
          </m:rPr>
          <m:t>(</m:t>
        </m:r>
        <m:r>
          <m:t>1</m:t>
        </m:r>
        <m:r>
          <m:rPr>
            <m:sty m:val="p"/>
          </m:rPr>
          <m:t>−</m:t>
        </m:r>
        <m:r>
          <m:rPr>
            <m:sty m:val="p"/>
          </m:rPr>
          <m:t>cos</m:t>
        </m:r>
        <m:r>
          <m:t>θ</m:t>
        </m:r>
        <m:r>
          <m:rPr>
            <m:sty m:val="p"/>
          </m:rPr>
          <m:t>)</m:t>
        </m:r>
      </m:oMath>
      <w:r>
        <w:t xml:space="preserve">:</w:t>
      </w:r>
    </w:p>
    <w:p>
      <w:pPr>
        <w:pStyle w:val="BodyText"/>
      </w:pPr>
      <w:r>
        <w:t xml:space="preserve">$$\begin{align}
        y_{out} &amp;= y + u \big( - \langle y, u \rangle(1 - \cos\theta) - \langle y, v \rangle \sin\theta \big) \notag \\
                &amp;\quad + v \big( \langle y, u \rangle \sin\theta - \langle y, v \rangle(1 - \cos\theta) \big)
    \end{align}$$</w:t>
      </w:r>
    </w:p>
    <w:bookmarkEnd w:id="10"/>
    <w:bookmarkStart w:id="11" w:name="Xe18fb329aa17b49932e4ce26602f5aaf201c96d"/>
    <w:p>
      <w:pPr>
        <w:pStyle w:val="Heading2"/>
      </w:pPr>
      <w:r>
        <w:t xml:space="preserve">Condicionamiento Numérico: Verseno (Versine) sobre Coseno</w:t>
      </w:r>
    </w:p>
    <w:p>
      <w:pPr>
        <w:pStyle w:val="FirstParagraph"/>
      </w:pPr>
      <w:r>
        <w:t xml:space="preserve">En aritmética de punto flotante (IEEE-754 FP32 o FP64), la substracción</w:t>
      </w:r>
      <w:r>
        <w:t xml:space="preserve"> </w:t>
      </w:r>
      <m:oMath>
        <m:r>
          <m:rPr>
            <m:sty m:val="p"/>
          </m:rPr>
          <m:t>(</m:t>
        </m:r>
        <m:r>
          <m:t>1</m:t>
        </m:r>
        <m:r>
          <m:rPr>
            <m:sty m:val="p"/>
          </m:rPr>
          <m:t>−</m:t>
        </m:r>
        <m:r>
          <m:rPr>
            <m:sty m:val="p"/>
          </m:rPr>
          <m:t>cos</m:t>
        </m:r>
        <m:r>
          <m:t>θ</m:t>
        </m:r>
        <m:r>
          <m:rPr>
            <m:sty m:val="p"/>
          </m:rPr>
          <m:t>)</m:t>
        </m:r>
      </m:oMath>
      <w:r>
        <w:t xml:space="preserve"> </w:t>
      </w:r>
      <w:r>
        <w:t xml:space="preserve">sufre de Cancelación Catastrófica (Catastrophic Cancellation) para ángulos infinitesimales</w:t>
      </w:r>
      <w:r>
        <w:t xml:space="preserve"> </w:t>
      </w:r>
      <m:oMath>
        <m:r>
          <m:t>θ</m:t>
        </m:r>
        <m:r>
          <m:rPr>
            <m:sty m:val="p"/>
          </m:rPr>
          <m:t>→</m:t>
        </m:r>
        <m:r>
          <m:t>0</m:t>
        </m:r>
      </m:oMath>
      <w:r>
        <w:t xml:space="preserve">.</w:t>
      </w:r>
    </w:p>
    <w:p>
      <w:pPr>
        <w:pStyle w:val="BodyText"/>
      </w:pPr>
      <w:r>
        <w:t xml:space="preserve">Para subsanar esto, el Sabueso Red Team de POLYDIM identificó este punto crítico. Introducimos el Verseno (</w:t>
      </w:r>
      <w:r>
        <w:rPr>
          <w:i/>
          <w:iCs/>
        </w:rPr>
        <w:t xml:space="preserve">versine</w:t>
      </w:r>
      <w:r>
        <w:t xml:space="preserve">), de uso histórico en navegación náutica:</w:t>
      </w:r>
    </w:p>
    <w:p>
      <w:pPr>
        <w:pStyle w:val="BodyText"/>
      </w:pPr>
      <m:oMathPara>
        <m:oMathParaPr>
          <m:jc m:val="center"/>
        </m:oMathParaPr>
        <m:oMath>
          <m:r>
            <m:rPr>
              <m:nor/>
              <m:sty m:val="p"/>
            </m:rPr>
            <m:t>vers</m:t>
          </m:r>
          <m:r>
            <m:rPr>
              <m:sty m:val="p"/>
            </m:rPr>
            <m:t>(</m:t>
          </m:r>
          <m:r>
            <m:t>θ</m:t>
          </m:r>
          <m:r>
            <m:rPr>
              <m:sty m:val="p"/>
            </m:rPr>
            <m:t>)</m:t>
          </m:r>
          <m:r>
            <m:rPr>
              <m:sty m:val="p"/>
            </m:rPr>
            <m:t>=</m:t>
          </m:r>
          <m:r>
            <m:t>1</m:t>
          </m:r>
          <m:r>
            <m:rPr>
              <m:sty m:val="p"/>
            </m:rPr>
            <m:t>−</m:t>
          </m:r>
          <m:r>
            <m:rPr>
              <m:sty m:val="p"/>
            </m:rPr>
            <m:t>cos</m:t>
          </m:r>
          <m:r>
            <m:rPr>
              <m:sty m:val="p"/>
            </m:rPr>
            <m:t>(</m:t>
          </m:r>
          <m:r>
            <m:t>θ</m:t>
          </m:r>
          <m:r>
            <m:rPr>
              <m:sty m:val="p"/>
            </m:rPr>
            <m:t>)</m:t>
          </m:r>
          <m:r>
            <m:rPr>
              <m:sty m:val="p"/>
            </m:rPr>
            <m:t>=</m:t>
          </m:r>
          <m:r>
            <m:t>2</m:t>
          </m:r>
          <m:sSup>
            <m:e>
              <m:r>
                <m:rPr>
                  <m:sty m:val="p"/>
                </m:rPr>
                <m:t>sin</m:t>
              </m:r>
            </m:e>
            <m:sup>
              <m:r>
                <m:t>2</m:t>
              </m:r>
            </m:sup>
          </m:sSup>
          <m:d>
            <m:dPr>
              <m:begChr m:val="("/>
              <m:sepChr m:val=""/>
              <m:endChr m:val=")"/>
              <m:grow/>
            </m:dPr>
            <m:e>
              <m:f>
                <m:fPr>
                  <m:type m:val="bar"/>
                </m:fPr>
                <m:num>
                  <m:r>
                    <m:t>θ</m:t>
                  </m:r>
                </m:num>
                <m:den>
                  <m:r>
                    <m:t>2</m:t>
                  </m:r>
                </m:den>
              </m:f>
            </m:e>
          </m:d>
        </m:oMath>
      </m:oMathPara>
    </w:p>
    <w:p>
      <w:pPr>
        <w:pStyle w:val="FirstParagraph"/>
      </w:pPr>
      <w:r>
        <w:t xml:space="preserve">La evaluación de</w:t>
      </w:r>
      <w:r>
        <w:t xml:space="preserve"> </w:t>
      </w:r>
      <m:oMath>
        <m:r>
          <m:t>2</m:t>
        </m:r>
        <m:sSup>
          <m:e>
            <m:r>
              <m:rPr>
                <m:sty m:val="p"/>
              </m:rPr>
              <m:t>sin</m:t>
            </m:r>
          </m:e>
          <m:sup>
            <m:r>
              <m:t>2</m:t>
            </m:r>
          </m:sup>
        </m:sSup>
        <m:r>
          <m:rPr>
            <m:sty m:val="p"/>
          </m:rPr>
          <m:t>(</m:t>
        </m:r>
        <m:r>
          <m:t>θ</m:t>
        </m:r>
        <m:r>
          <m:rPr>
            <m:sty m:val="p"/>
          </m:rPr>
          <m:t>/</m:t>
        </m:r>
        <m:r>
          <m:t>2</m:t>
        </m:r>
        <m:r>
          <m:rPr>
            <m:sty m:val="p"/>
          </m:rPr>
          <m:t>)</m:t>
        </m:r>
      </m:oMath>
      <w:r>
        <w:t xml:space="preserve"> </w:t>
      </w:r>
      <w:r>
        <w:t xml:space="preserve">es extremadamente precisa y no sufre de cancelación. La fórmula final de iteración queda como:</w:t>
      </w:r>
    </w:p>
    <w:p>
      <w:pPr>
        <w:pStyle w:val="BodyText"/>
      </w:pPr>
      <w:r>
        <w:t xml:space="preserve">$$\begin{align}
        y_{out} = y &amp;+ u \big( -\text{vers}(\theta) \langle y, u \rangle - \sin\theta \langle y, v \rangle \big) \notag \\
                    &amp;+ v \big( -\text{vers}(\theta) \langle y, v \rangle + \sin\theta \langle y, u \rangle \big)
    \end{align}$$</w:t>
      </w:r>
    </w:p>
    <w:bookmarkEnd w:id="11"/>
    <w:bookmarkStart w:id="12" w:name="X5ed187a96e94eb751ecef06414f9479536ae8d1"/>
    <w:p>
      <w:pPr>
        <w:pStyle w:val="Heading2"/>
      </w:pPr>
      <w:r>
        <w:t xml:space="preserve">Ortogonalización Gram-Schmidt y el Bug Antipodal (SLERP)</w:t>
      </w:r>
    </w:p>
    <w:p>
      <w:pPr>
        <w:pStyle w:val="FirstParagraph"/>
      </w:pPr>
      <w:r>
        <w:t xml:space="preserve">Durante la inyección de vectores SLERP altamente correlacionados (donde la distancia</w:t>
      </w:r>
      <w:r>
        <w:t xml:space="preserve"> </w:t>
      </w:r>
      <m:oMath>
        <m:r>
          <m:t>u</m:t>
        </m:r>
        <m:r>
          <m:rPr>
            <m:sty m:val="p"/>
          </m:rPr>
          <m:t>≈</m:t>
        </m:r>
        <m:r>
          <m:rPr>
            <m:sty m:val="p"/>
          </m:rPr>
          <m:t>−</m:t>
        </m:r>
        <m:r>
          <m:t>v</m:t>
        </m:r>
      </m:oMath>
      <w:r>
        <w:t xml:space="preserve"> </w:t>
      </w:r>
      <w:r>
        <w:t xml:space="preserve">o</w:t>
      </w:r>
      <w:r>
        <w:t xml:space="preserve"> </w:t>
      </w:r>
      <m:oMath>
        <m:r>
          <m:t>u</m:t>
        </m:r>
        <m:r>
          <m:rPr>
            <m:sty m:val="p"/>
          </m:rPr>
          <m:t>≈</m:t>
        </m:r>
        <m:r>
          <m:t>v</m:t>
        </m:r>
      </m:oMath>
      <w:r>
        <w:t xml:space="preserve">), la base del plano no era verdaderamente ortonormal debido al ruido de máquina. Las iteraciones tempranas resultaron en vectores</w:t>
      </w:r>
      <w:r>
        <w:t xml:space="preserve"> </w:t>
      </w:r>
      <m:oMath>
        <m:sSub>
          <m:e>
            <m:r>
              <m:t>y</m:t>
            </m:r>
          </m:e>
          <m:sub>
            <m:r>
              <m:t>o</m:t>
            </m:r>
            <m:r>
              <m:t>u</m:t>
            </m:r>
            <m:r>
              <m:t>t</m:t>
            </m:r>
          </m:sub>
        </m:sSub>
      </m:oMath>
      <w:r>
        <w:t xml:space="preserve"> </w:t>
      </w:r>
      <w:r>
        <w:t xml:space="preserve">con normas de</w:t>
      </w:r>
      <w:r>
        <w:t xml:space="preserve"> </w:t>
      </w:r>
      <m:oMath>
        <m:r>
          <m:t>1.2247</m:t>
        </m:r>
      </m:oMath>
      <w:r>
        <w:t xml:space="preserve"> </w:t>
      </w:r>
      <w:r>
        <w:t xml:space="preserve">en lugar de preservar la unidad rigurosa</w:t>
      </w:r>
      <w:r>
        <w:t xml:space="preserve"> </w:t>
      </w:r>
      <m:oMath>
        <m:r>
          <m:t>1.0000</m:t>
        </m:r>
      </m:oMath>
      <w:r>
        <w:t xml:space="preserve">.</w:t>
      </w:r>
    </w:p>
    <w:p>
      <w:pPr>
        <w:pStyle w:val="BodyText"/>
      </w:pPr>
      <w:r>
        <w:t xml:space="preserve">La solución exigida por el marco</w:t>
      </w:r>
      <w:r>
        <w:t xml:space="preserve"> </w:t>
      </w:r>
      <w:r>
        <w:rPr>
          <w:i/>
          <w:iCs/>
        </w:rPr>
        <w:t xml:space="preserve">Anti-Happy-Path</w:t>
      </w:r>
      <w:r>
        <w:t xml:space="preserve"> </w:t>
      </w:r>
      <w:r>
        <w:t xml:space="preserve">fue la inyección de un paso estricto de Gram-Schmidt:</w:t>
      </w:r>
    </w:p>
    <w:p>
      <w:pPr>
        <w:pStyle w:val="BodyText"/>
      </w:pPr>
      <m:oMathPara>
        <m:oMathParaPr>
          <m:jc m:val="center"/>
        </m:oMathParaPr>
        <m:oMath>
          <m:sSub>
            <m:e>
              <m:r>
                <m:t>v</m:t>
              </m:r>
            </m:e>
            <m:sub>
              <m:r>
                <m:t>o</m:t>
              </m:r>
              <m:r>
                <m:t>r</m:t>
              </m:r>
              <m:r>
                <m:t>t</m:t>
              </m:r>
              <m:r>
                <m:t>o</m:t>
              </m:r>
            </m:sub>
          </m:sSub>
          <m:r>
            <m:rPr>
              <m:sty m:val="p"/>
            </m:rPr>
            <m:t>=</m:t>
          </m:r>
          <m:sSub>
            <m:e>
              <m:r>
                <m:t>v</m:t>
              </m:r>
            </m:e>
            <m:sub>
              <m:r>
                <m:t>c</m:t>
              </m:r>
              <m:r>
                <m:t>r</m:t>
              </m:r>
              <m:r>
                <m:t>u</m:t>
              </m:r>
              <m:r>
                <m:t>d</m:t>
              </m:r>
              <m:r>
                <m:t>o</m:t>
              </m:r>
            </m:sub>
          </m:sSub>
          <m:r>
            <m:rPr>
              <m:sty m:val="p"/>
            </m:rPr>
            <m:t>−</m:t>
          </m:r>
          <m:r>
            <m:rPr>
              <m:sty m:val="p"/>
            </m:rPr>
            <m:t>⟨</m:t>
          </m:r>
          <m:sSub>
            <m:e>
              <m:r>
                <m:t>v</m:t>
              </m:r>
            </m:e>
            <m:sub>
              <m:r>
                <m:t>c</m:t>
              </m:r>
              <m:r>
                <m:t>r</m:t>
              </m:r>
              <m:r>
                <m:t>u</m:t>
              </m:r>
              <m:r>
                <m:t>d</m:t>
              </m:r>
              <m:r>
                <m:t>o</m:t>
              </m:r>
            </m:sub>
          </m:sSub>
          <m:r>
            <m:rPr>
              <m:sty m:val="p"/>
            </m:rPr>
            <m:t>,</m:t>
          </m:r>
          <m:r>
            <m:t>u</m:t>
          </m:r>
          <m:r>
            <m:rPr>
              <m:sty m:val="p"/>
            </m:rPr>
            <m:t>⟩</m:t>
          </m:r>
          <m:r>
            <m:t>u</m:t>
          </m:r>
        </m:oMath>
      </m:oMathPara>
    </w:p>
    <w:p>
      <w:pPr>
        <w:pStyle w:val="FirstParagraph"/>
      </w:pPr>
      <m:oMathPara>
        <m:oMathParaPr>
          <m:jc m:val="center"/>
        </m:oMathParaPr>
        <m:oMath>
          <m:r>
            <m:t>v</m:t>
          </m:r>
          <m:r>
            <m:rPr>
              <m:sty m:val="p"/>
            </m:rPr>
            <m:t>=</m:t>
          </m:r>
          <m:f>
            <m:fPr>
              <m:type m:val="bar"/>
            </m:fPr>
            <m:num>
              <m:sSub>
                <m:e>
                  <m:r>
                    <m:t>v</m:t>
                  </m:r>
                </m:e>
                <m:sub>
                  <m:r>
                    <m:t>o</m:t>
                  </m:r>
                  <m:r>
                    <m:t>r</m:t>
                  </m:r>
                  <m:r>
                    <m:t>t</m:t>
                  </m:r>
                  <m:r>
                    <m:t>o</m:t>
                  </m:r>
                </m:sub>
              </m:sSub>
            </m:num>
            <m:den>
              <m:r>
                <m:rPr>
                  <m:sty m:val="p"/>
                </m:rPr>
                <m:t>∥</m:t>
              </m:r>
              <m:sSub>
                <m:e>
                  <m:r>
                    <m:t>v</m:t>
                  </m:r>
                </m:e>
                <m:sub>
                  <m:r>
                    <m:t>o</m:t>
                  </m:r>
                  <m:r>
                    <m:t>r</m:t>
                  </m:r>
                  <m:r>
                    <m:t>t</m:t>
                  </m:r>
                  <m:r>
                    <m:t>o</m:t>
                  </m:r>
                </m:sub>
              </m:sSub>
              <m:r>
                <m:rPr>
                  <m:sty m:val="p"/>
                </m:rPr>
                <m:t>∥</m:t>
              </m:r>
            </m:den>
          </m:f>
        </m:oMath>
      </m:oMathPara>
    </w:p>
    <w:p>
      <w:pPr>
        <w:pStyle w:val="FirstParagraph"/>
      </w:pPr>
      <w:r>
        <w:t xml:space="preserve">Este preprocesamiento garantiza que la rotación esté contenida en un bivector puramente ortogonal.</w:t>
      </w:r>
    </w:p>
    <w:bookmarkEnd w:id="12"/>
    <w:bookmarkStart w:id="15" w:name="Xe875bd823a5320a16adb53a8d0ce1d87fc4407e"/>
    <w:p>
      <w:pPr>
        <w:pStyle w:val="Heading2"/>
      </w:pPr>
      <w:r>
        <w:t xml:space="preserve">Algoritmo Fusionado de 2 Pasadas (kernel_cpp_v762.cpp)</w:t>
      </w:r>
    </w:p>
    <w:p>
      <w:pPr>
        <w:pStyle w:val="FirstParagraph"/>
      </w:pPr>
      <w:r>
        <w:t xml:space="preserve">Para</w:t>
      </w:r>
      <w:r>
        <w:t xml:space="preserve"> </w:t>
      </w:r>
      <m:oMath>
        <m:r>
          <m:t>D</m:t>
        </m:r>
        <m:r>
          <m:rPr>
            <m:sty m:val="p"/>
          </m:rPr>
          <m:t>=</m:t>
        </m:r>
        <m:sSup>
          <m:e>
            <m:r>
              <m:t>10</m:t>
            </m:r>
          </m:e>
          <m:sup>
            <m:r>
              <m:t>6</m:t>
            </m:r>
          </m:sup>
        </m:sSup>
      </m:oMath>
      <w:r>
        <w:t xml:space="preserve">, el impacto del ancho de banda es dominante. El Kernel V762 implementa un esquema de 2 pasadas diseñado para evadir</w:t>
      </w:r>
      <w:r>
        <w:t xml:space="preserve"> </w:t>
      </w:r>
      <w:r>
        <w:rPr>
          <w:i/>
          <w:iCs/>
        </w:rPr>
        <w:t xml:space="preserve">cache misses</w:t>
      </w:r>
      <w:r>
        <w:t xml:space="preserve"> </w:t>
      </w:r>
      <w:r>
        <w:t xml:space="preserve">y limitar las lecturas:</w:t>
      </w:r>
    </w:p>
    <w:bookmarkStart w:id="13" w:name="Xc35d727cc95f8ff5224934619b04b2c3c01122c"/>
    <w:p>
      <w:pPr>
        <w:pStyle w:val="Heading3"/>
      </w:pPr>
      <w:r>
        <w:t xml:space="preserve">Pasada 1: Productos Punto Compensados (Sumatoria de Neumaier)</w:t>
      </w:r>
    </w:p>
    <w:p>
      <w:pPr>
        <w:pStyle w:val="FirstParagraph"/>
      </w:pPr>
      <w:r>
        <w:t xml:space="preserve">Se calculan de forma asíncrona</w:t>
      </w:r>
      <w:r>
        <w:t xml:space="preserve"> </w:t>
      </w:r>
      <m:oMath>
        <m:r>
          <m:rPr>
            <m:sty m:val="p"/>
          </m:rPr>
          <m:t>⟨</m:t>
        </m:r>
        <m:r>
          <m:t>y</m:t>
        </m:r>
        <m:r>
          <m:rPr>
            <m:sty m:val="p"/>
          </m:rPr>
          <m:t>,</m:t>
        </m:r>
        <m:r>
          <m:t>u</m:t>
        </m:r>
        <m:r>
          <m:rPr>
            <m:sty m:val="p"/>
          </m:rPr>
          <m:t>⟩</m:t>
        </m:r>
      </m:oMath>
      <w:r>
        <w:t xml:space="preserve"> </w:t>
      </w:r>
      <w:r>
        <w:t xml:space="preserve">y</w:t>
      </w:r>
      <w:r>
        <w:t xml:space="preserve"> </w:t>
      </w:r>
      <m:oMath>
        <m:r>
          <m:rPr>
            <m:sty m:val="p"/>
          </m:rPr>
          <m:t>⟨</m:t>
        </m:r>
        <m:r>
          <m:t>y</m:t>
        </m:r>
        <m:r>
          <m:rPr>
            <m:sty m:val="p"/>
          </m:rPr>
          <m:t>,</m:t>
        </m:r>
        <m:r>
          <m:t>v</m:t>
        </m:r>
        <m:r>
          <m:rPr>
            <m:sty m:val="p"/>
          </m:rPr>
          <m:t>⟩</m:t>
        </m:r>
      </m:oMath>
      <w:r>
        <w:t xml:space="preserve">.</w:t>
      </w:r>
    </w:p>
    <w:p>
      <w:pPr>
        <w:pStyle w:val="SourceCode"/>
      </w:pPr>
      <w:r>
        <w:rPr>
          <w:rStyle w:val="VerbatimChar"/>
        </w:rPr>
        <w:t xml:space="preserve">double sum = 0.0;</w:t>
      </w:r>
      <w:r>
        <w:br/>
      </w:r>
      <w:r>
        <w:rPr>
          <w:rStyle w:val="VerbatimChar"/>
        </w:rPr>
        <w:t xml:space="preserve">double c = 0.0;</w:t>
      </w:r>
      <w:r>
        <w:br/>
      </w:r>
      <w:r>
        <w:rPr>
          <w:rStyle w:val="VerbatimChar"/>
        </w:rPr>
        <w:t xml:space="preserve">#pragma omp parallel for reduction(+:sum, c)</w:t>
      </w:r>
      <w:r>
        <w:br/>
      </w:r>
      <w:r>
        <w:rPr>
          <w:rStyle w:val="VerbatimChar"/>
        </w:rPr>
        <w:t xml:space="preserve">for (size_t i = 0; i &lt; D; ++i) {</w:t>
      </w:r>
      <w:r>
        <w:br/>
      </w:r>
      <w:r>
        <w:rPr>
          <w:rStyle w:val="VerbatimChar"/>
        </w:rPr>
        <w:t xml:space="preserve">    double t = sum + array[i];</w:t>
      </w:r>
      <w:r>
        <w:br/>
      </w:r>
      <w:r>
        <w:rPr>
          <w:rStyle w:val="VerbatimChar"/>
        </w:rPr>
        <w:t xml:space="preserve">    if (std::abs(sum) &gt;= std::abs(array[i]))</w:t>
      </w:r>
      <w:r>
        <w:br/>
      </w:r>
      <w:r>
        <w:rPr>
          <w:rStyle w:val="VerbatimChar"/>
        </w:rPr>
        <w:t xml:space="preserve">        c += (sum - t) + array[i];</w:t>
      </w:r>
      <w:r>
        <w:br/>
      </w:r>
      <w:r>
        <w:rPr>
          <w:rStyle w:val="VerbatimChar"/>
        </w:rPr>
        <w:t xml:space="preserve">    else</w:t>
      </w:r>
      <w:r>
        <w:br/>
      </w:r>
      <w:r>
        <w:rPr>
          <w:rStyle w:val="VerbatimChar"/>
        </w:rPr>
        <w:t xml:space="preserve">        c += (array[i] - t) + sum;</w:t>
      </w:r>
      <w:r>
        <w:br/>
      </w:r>
      <w:r>
        <w:rPr>
          <w:rStyle w:val="VerbatimChar"/>
        </w:rPr>
        <w:t xml:space="preserve">    sum = t;</w:t>
      </w:r>
      <w:r>
        <w:br/>
      </w:r>
      <w:r>
        <w:rPr>
          <w:rStyle w:val="VerbatimChar"/>
        </w:rPr>
        <w:t xml:space="preserve">}</w:t>
      </w:r>
      <w:r>
        <w:br/>
      </w:r>
      <w:r>
        <w:rPr>
          <w:rStyle w:val="VerbatimChar"/>
        </w:rPr>
        <w:t xml:space="preserve">return sum + c;</w:t>
      </w:r>
    </w:p>
    <w:p>
      <w:pPr>
        <w:pStyle w:val="FirstParagraph"/>
      </w:pPr>
      <w:r>
        <w:t xml:space="preserve">La acumulación de Kahan-Neumaier suprime la dependencia serial estricta, lo que empata con la asimetría de la varianza en</w:t>
      </w:r>
      <w:r>
        <w:t xml:space="preserve"> </w:t>
      </w:r>
      <m:oMath>
        <m:sSup>
          <m:e>
            <m:r>
              <m:t>S</m:t>
            </m:r>
          </m:e>
          <m:sup>
            <m:r>
              <m:t>D</m:t>
            </m:r>
            <m:r>
              <m:rPr>
                <m:sty m:val="p"/>
              </m:rPr>
              <m:t>−</m:t>
            </m:r>
            <m:r>
              <m:t>1</m:t>
            </m:r>
          </m:sup>
        </m:sSup>
      </m:oMath>
      <w:r>
        <w:t xml:space="preserve">.</w:t>
      </w:r>
    </w:p>
    <w:bookmarkEnd w:id="13"/>
    <w:bookmarkStart w:id="14" w:name="pasada-2-actualización-fma-en-streaming"/>
    <w:p>
      <w:pPr>
        <w:pStyle w:val="Heading3"/>
      </w:pPr>
      <w:r>
        <w:t xml:space="preserve">Pasada 2: Actualización FMA en Streaming</w:t>
      </w:r>
    </w:p>
    <w:p>
      <w:pPr>
        <w:pStyle w:val="FirstParagraph"/>
      </w:pPr>
      <w:r>
        <w:t xml:space="preserve">Una vez evaluados los factores escalares (constantes para todo el vector):</w:t>
      </w:r>
      <w:r>
        <w:t xml:space="preserve"> </w:t>
      </w:r>
      <m:oMath>
        <m:sSub>
          <m:e>
            <m:r>
              <m:t>C</m:t>
            </m:r>
          </m:e>
          <m:sub>
            <m:r>
              <m:t>u</m:t>
            </m:r>
          </m:sub>
        </m:sSub>
        <m:r>
          <m:rPr>
            <m:sty m:val="p"/>
          </m:rPr>
          <m:t>=</m:t>
        </m:r>
        <m:r>
          <m:rPr>
            <m:sty m:val="p"/>
          </m:rPr>
          <m:t>−</m:t>
        </m:r>
        <m:r>
          <m:rPr>
            <m:nor/>
            <m:sty m:val="p"/>
          </m:rPr>
          <m:t>vers</m:t>
        </m:r>
        <m:r>
          <m:rPr>
            <m:sty m:val="p"/>
          </m:rPr>
          <m:t>(</m:t>
        </m:r>
        <m:r>
          <m:t>θ</m:t>
        </m:r>
        <m:r>
          <m:rPr>
            <m:sty m:val="p"/>
          </m:rPr>
          <m:t>)</m:t>
        </m:r>
        <m:r>
          <m:rPr>
            <m:sty m:val="p"/>
          </m:rPr>
          <m:t>⟨</m:t>
        </m:r>
        <m:r>
          <m:t>y</m:t>
        </m:r>
        <m:r>
          <m:rPr>
            <m:sty m:val="p"/>
          </m:rPr>
          <m:t>,</m:t>
        </m:r>
        <m:r>
          <m:t>u</m:t>
        </m:r>
        <m:r>
          <m:rPr>
            <m:sty m:val="p"/>
          </m:rPr>
          <m:t>⟩</m:t>
        </m:r>
        <m:r>
          <m:rPr>
            <m:sty m:val="p"/>
          </m:rPr>
          <m:t>−</m:t>
        </m:r>
        <m:r>
          <m:rPr>
            <m:sty m:val="p"/>
          </m:rPr>
          <m:t>sin</m:t>
        </m:r>
        <m:r>
          <m:t>θ</m:t>
        </m:r>
        <m:r>
          <m:rPr>
            <m:sty m:val="p"/>
          </m:rPr>
          <m:t>⟨</m:t>
        </m:r>
        <m:r>
          <m:t>y</m:t>
        </m:r>
        <m:r>
          <m:rPr>
            <m:sty m:val="p"/>
          </m:rPr>
          <m:t>,</m:t>
        </m:r>
        <m:r>
          <m:t>v</m:t>
        </m:r>
        <m:r>
          <m:rPr>
            <m:sty m:val="p"/>
          </m:rPr>
          <m:t>⟩</m:t>
        </m:r>
      </m:oMath>
      <w:r>
        <w:t xml:space="preserve"> </w:t>
      </w:r>
      <w:r>
        <w:t xml:space="preserve">y</w:t>
      </w:r>
      <w:r>
        <w:t xml:space="preserve"> </w:t>
      </w:r>
      <m:oMath>
        <m:sSub>
          <m:e>
            <m:r>
              <m:t>C</m:t>
            </m:r>
          </m:e>
          <m:sub>
            <m:r>
              <m:t>v</m:t>
            </m:r>
          </m:sub>
        </m:sSub>
        <m:r>
          <m:rPr>
            <m:sty m:val="p"/>
          </m:rPr>
          <m:t>=</m:t>
        </m:r>
        <m:r>
          <m:rPr>
            <m:sty m:val="p"/>
          </m:rPr>
          <m:t>−</m:t>
        </m:r>
        <m:r>
          <m:rPr>
            <m:nor/>
            <m:sty m:val="p"/>
          </m:rPr>
          <m:t>vers</m:t>
        </m:r>
        <m:r>
          <m:rPr>
            <m:sty m:val="p"/>
          </m:rPr>
          <m:t>(</m:t>
        </m:r>
        <m:r>
          <m:t>θ</m:t>
        </m:r>
        <m:r>
          <m:rPr>
            <m:sty m:val="p"/>
          </m:rPr>
          <m:t>)</m:t>
        </m:r>
        <m:r>
          <m:rPr>
            <m:sty m:val="p"/>
          </m:rPr>
          <m:t>⟨</m:t>
        </m:r>
        <m:r>
          <m:t>y</m:t>
        </m:r>
        <m:r>
          <m:rPr>
            <m:sty m:val="p"/>
          </m:rPr>
          <m:t>,</m:t>
        </m:r>
        <m:r>
          <m:t>v</m:t>
        </m:r>
        <m:r>
          <m:rPr>
            <m:sty m:val="p"/>
          </m:rPr>
          <m:t>⟩</m:t>
        </m:r>
        <m:r>
          <m:rPr>
            <m:sty m:val="p"/>
          </m:rPr>
          <m:t>+</m:t>
        </m:r>
        <m:r>
          <m:rPr>
            <m:sty m:val="p"/>
          </m:rPr>
          <m:t>sin</m:t>
        </m:r>
        <m:r>
          <m:t>θ</m:t>
        </m:r>
        <m:r>
          <m:rPr>
            <m:sty m:val="p"/>
          </m:rPr>
          <m:t>⟨</m:t>
        </m:r>
        <m:r>
          <m:t>y</m:t>
        </m:r>
        <m:r>
          <m:rPr>
            <m:sty m:val="p"/>
          </m:rPr>
          <m:t>,</m:t>
        </m:r>
        <m:r>
          <m:t>u</m:t>
        </m:r>
        <m:r>
          <m:rPr>
            <m:sty m:val="p"/>
          </m:rPr>
          <m:t>⟩</m:t>
        </m:r>
      </m:oMath>
      <w:r>
        <w:t xml:space="preserve">.</w:t>
      </w:r>
    </w:p>
    <w:p>
      <w:pPr>
        <w:pStyle w:val="SourceCode"/>
      </w:pPr>
      <w:r>
        <w:rPr>
          <w:rStyle w:val="VerbatimChar"/>
        </w:rPr>
        <w:t xml:space="preserve">#pragma omp parallel for simd</w:t>
      </w:r>
      <w:r>
        <w:br/>
      </w:r>
      <w:r>
        <w:rPr>
          <w:rStyle w:val="VerbatimChar"/>
        </w:rPr>
        <w:t xml:space="preserve">for (size_t i = 0; i &lt; D; ++i) {</w:t>
      </w:r>
      <w:r>
        <w:br/>
      </w:r>
      <w:r>
        <w:rPr>
          <w:rStyle w:val="VerbatimChar"/>
        </w:rPr>
        <w:t xml:space="preserve">    double temp = std::fma(u[i], C_u, y[i]);</w:t>
      </w:r>
      <w:r>
        <w:br/>
      </w:r>
      <w:r>
        <w:rPr>
          <w:rStyle w:val="VerbatimChar"/>
        </w:rPr>
        <w:t xml:space="preserve">    y_out[i] = std::fma(v[i], C_v, temp);</w:t>
      </w:r>
      <w:r>
        <w:br/>
      </w:r>
      <w:r>
        <w:rPr>
          <w:rStyle w:val="VerbatimChar"/>
        </w:rPr>
        <w:t xml:space="preserve">}</w:t>
      </w:r>
    </w:p>
    <w:bookmarkEnd w:id="14"/>
    <w:bookmarkEnd w:id="15"/>
    <w:bookmarkStart w:id="16" w:name="stdfma-y-el-límite-de-error"/>
    <w:p>
      <w:pPr>
        <w:pStyle w:val="Heading2"/>
      </w:pPr>
      <w:r>
        <w:t xml:space="preserve">std::fma y el Límite de Error</w:t>
      </w:r>
    </w:p>
    <w:p>
      <w:pPr>
        <w:pStyle w:val="FirstParagraph"/>
      </w:pPr>
      <w:r>
        <w:t xml:space="preserve">El uso explícito de Fused-Multiply-Add (‘std::fma‘) emite las instrucciones ‘vfmadd213pd‘ en arquitecturas modernas x86 AVX. Esto retiene 104 bits internos de mantisa durante la suma iterativa, realizando un único redondeo per instrucción en lugar de dos. En</w:t>
      </w:r>
      <w:r>
        <w:t xml:space="preserve"> </w:t>
      </w:r>
      <m:oMath>
        <m:r>
          <m:t>D</m:t>
        </m:r>
        <m:r>
          <m:rPr>
            <m:sty m:val="p"/>
          </m:rPr>
          <m:t>=</m:t>
        </m:r>
        <m:sSup>
          <m:e>
            <m:r>
              <m:t>10</m:t>
            </m:r>
          </m:e>
          <m:sup>
            <m:r>
              <m:t>6</m:t>
            </m:r>
          </m:sup>
        </m:sSup>
      </m:oMath>
      <w:r>
        <w:t xml:space="preserve">, la Deriva (Drift) medida en la granja de servidores de Colab/Kaggle fue sistemáticamente de</w:t>
      </w:r>
      <w:r>
        <w:t xml:space="preserve"> </w:t>
      </w:r>
      <m:oMath>
        <m:r>
          <m:t>4.4409</m:t>
        </m:r>
        <m:r>
          <m:rPr>
            <m:sty m:val="p"/>
          </m:rPr>
          <m:t>×</m:t>
        </m:r>
        <m:sSup>
          <m:e>
            <m:r>
              <m:t>10</m:t>
            </m:r>
          </m:e>
          <m:sup>
            <m:r>
              <m:rPr>
                <m:sty m:val="p"/>
              </m:rPr>
              <m:t>−</m:t>
            </m:r>
            <m:r>
              <m:t>16</m:t>
            </m:r>
          </m:sup>
        </m:sSup>
      </m:oMath>
      <w:r>
        <w:t xml:space="preserve">, igualando de factor exacto la epsilon de la máquina de doble precisión (</w:t>
      </w:r>
      <m:oMath>
        <m:r>
          <m:t>ϵ</m:t>
        </m:r>
        <m:r>
          <m:rPr>
            <m:sty m:val="p"/>
          </m:rPr>
          <m:t>≈</m:t>
        </m:r>
        <m:r>
          <m:t>2.22</m:t>
        </m:r>
        <m:r>
          <m:rPr>
            <m:sty m:val="p"/>
          </m:rPr>
          <m:t>×</m:t>
        </m:r>
        <m:sSup>
          <m:e>
            <m:r>
              <m:t>10</m:t>
            </m:r>
          </m:e>
          <m:sup>
            <m:r>
              <m:rPr>
                <m:sty m:val="p"/>
              </m:rPr>
              <m:t>−</m:t>
            </m:r>
            <m:r>
              <m:t>16</m:t>
            </m:r>
          </m:sup>
        </m:sSup>
      </m:oMath>
      <w:r>
        <w:t xml:space="preserve">).</w:t>
      </w:r>
    </w:p>
    <w:p>
      <w:pPr>
        <w:pStyle w:val="BodyText"/>
      </w:pPr>
      <w:r>
        <w:t xml:space="preserve">Para el algoritmo de suma compensada iterada sobre vectores de largo</w:t>
      </w:r>
      <w:r>
        <w:t xml:space="preserve"> </w:t>
      </w:r>
      <m:oMath>
        <m:r>
          <m:t>D</m:t>
        </m:r>
      </m:oMath>
      <w:r>
        <w:t xml:space="preserve">, la cota superior del error estricto es de la forma:</w:t>
      </w:r>
    </w:p>
    <w:p>
      <w:pPr>
        <w:pStyle w:val="BodyText"/>
      </w:pPr>
      <m:oMathPara>
        <m:oMathParaPr>
          <m:jc m:val="center"/>
        </m:oMathParaPr>
        <m:oMath>
          <m:r>
            <m:rPr>
              <m:sty m:val="p"/>
            </m:rPr>
            <m:t>|</m:t>
          </m:r>
          <m:r>
            <m:t>E</m:t>
          </m:r>
          <m:r>
            <m:rPr>
              <m:sty m:val="p"/>
            </m:rPr>
            <m:t>(</m:t>
          </m:r>
          <m:r>
            <m:t>D</m:t>
          </m:r>
          <m:r>
            <m:rPr>
              <m:sty m:val="p"/>
            </m:rPr>
            <m:t>)</m:t>
          </m:r>
          <m:r>
            <m:rPr>
              <m:sty m:val="p"/>
            </m:rPr>
            <m:t>|</m:t>
          </m:r>
          <m:r>
            <m:rPr>
              <m:sty m:val="p"/>
            </m:rPr>
            <m:t>≤</m:t>
          </m:r>
          <m:r>
            <m:rPr>
              <m:sty m:val="p"/>
            </m:rPr>
            <m:t>(</m:t>
          </m:r>
          <m:r>
            <m:t>2</m:t>
          </m:r>
          <m:r>
            <m:t>D</m:t>
          </m:r>
          <m:r>
            <m:t>ϵ</m:t>
          </m:r>
          <m:r>
            <m:rPr>
              <m:sty m:val="p"/>
            </m:rPr>
            <m:t>+</m:t>
          </m:r>
          <m:r>
            <m:t>50</m:t>
          </m:r>
          <m:r>
            <m:t>ϵ</m:t>
          </m:r>
          <m:r>
            <m:rPr>
              <m:sty m:val="p"/>
            </m:rPr>
            <m:t>)</m:t>
          </m:r>
          <m:r>
            <m:rPr>
              <m:sty m:val="p"/>
            </m:rPr>
            <m:t>∥</m:t>
          </m:r>
          <m:r>
            <m:t>y</m:t>
          </m:r>
          <m:sSub>
            <m:e>
              <m:r>
                <m:rPr>
                  <m:sty m:val="p"/>
                </m:rPr>
                <m:t>∥</m:t>
              </m:r>
            </m:e>
            <m:sub>
              <m:r>
                <m:t>1</m:t>
              </m:r>
            </m:sub>
          </m:sSub>
        </m:oMath>
      </m:oMathPara>
    </w:p>
    <w:p>
      <w:pPr>
        <w:pStyle w:val="FirstParagraph"/>
      </w:pPr>
      <w:r>
        <w:t xml:space="preserve">El uso de ‘std::fma‘ amortigua el factor lineal</w:t>
      </w:r>
      <w:r>
        <w:t xml:space="preserve"> </w:t>
      </w:r>
      <m:oMath>
        <m:r>
          <m:t>D</m:t>
        </m:r>
      </m:oMath>
      <w:r>
        <w:t xml:space="preserve"> </w:t>
      </w:r>
      <w:r>
        <w:t xml:space="preserve">a un residuo despreciable en arquitecturas ortogonales.</w:t>
      </w:r>
    </w:p>
    <w:p>
      <w:pPr>
        <w:pStyle w:val="BodyText"/>
      </w:pPr>
      <w:r>
        <w:t xml:space="preserve">POLYDIM garantiza un colapso total de esta cota teórica. La ejecución asintótica toma apenas</w:t>
      </w:r>
      <w:r>
        <w:t xml:space="preserve"> </w:t>
      </w:r>
      <m:oMath>
        <m:r>
          <m:t>35.06</m:t>
        </m:r>
      </m:oMath>
      <w:r>
        <w:t xml:space="preserve"> </w:t>
      </w:r>
      <w:r>
        <w:t xml:space="preserve">ms a</w:t>
      </w:r>
      <w:r>
        <w:t xml:space="preserve"> </w:t>
      </w:r>
      <m:oMath>
        <m:r>
          <m:t>D</m:t>
        </m:r>
        <m:r>
          <m:rPr>
            <m:sty m:val="p"/>
          </m:rPr>
          <m:t>=</m:t>
        </m:r>
        <m:sSup>
          <m:e>
            <m:r>
              <m:t>10</m:t>
            </m:r>
          </m:e>
          <m:sup>
            <m:r>
              <m:t>6</m:t>
            </m:r>
          </m:sup>
        </m:sSup>
      </m:oMath>
      <w:r>
        <w:t xml:space="preserve">. Esto establece de forma concluyente que la manipulación de estados de inteligencia de enjambre (LatentMAS) mediante isometrías de Clifford se puede realizar en tiempo real a velocidades operativas.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2026-09-28T19:51:25Z</dcterms:created>
  <dcterms:modified xsi:type="dcterms:W3CDTF">2026-09-28T19:51:25Z</dcterms:modified>
</cp:coreProperties>
</file>

<file path=docProps/custom.xml><?xml version="1.0" encoding="utf-8"?>
<Properties xmlns="http://schemas.openxmlformats.org/officeDocument/2006/custom-properties" xmlns:vt="http://schemas.openxmlformats.org/officeDocument/2006/docPropsVTypes"/>
</file>