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b417b295367e19a596d8edcb72d2b43ffafaf9d"/>
    <w:p>
      <w:pPr>
        <w:pStyle w:val="Heading1"/>
      </w:pPr>
      <w:r>
        <w:t xml:space="preserve">El Puente Cuántico: Clifford+T y la Compatibilidad con QPU</w:t>
      </w:r>
    </w:p>
    <w:bookmarkStart w:id="9" w:name="X6f56e66a5c7802bd2382db30478540a7390c00f"/>
    <w:p>
      <w:pPr>
        <w:pStyle w:val="Heading2"/>
      </w:pPr>
      <w:r>
        <w:t xml:space="preserve">Introducción a la Computación Cuántica y Unitariedad</w:t>
      </w:r>
    </w:p>
    <w:p>
      <w:pPr>
        <w:pStyle w:val="FirstParagraph"/>
      </w:pPr>
      <w:r>
        <w:t xml:space="preserve">El marco de POLYDIM se basa fuertemente en transformaciones ortogonales puras, que en un espacio vectorial complejo se generalizan naturalmente a transformaciones unitarias (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†</m:t>
            </m:r>
          </m:sup>
        </m:sSup>
        <m:r>
          <m:t>U</m:t>
        </m:r>
        <m:r>
          <m:rPr>
            <m:sty m:val="p"/>
          </m:rPr>
          <m:t>=</m:t>
        </m:r>
        <m:r>
          <m:t>I</m:t>
        </m:r>
      </m:oMath>
      <w:r>
        <w:t xml:space="preserve">). Esto abre la puerta a una simulación directa sobre unidades de procesamiento cuántico (QPU). Los estados latentes se asimilan a registros de qubits entrelazados, y la evolución del enjambre es descrita por puertas cuánticas.</w:t>
      </w:r>
    </w:p>
    <w:bookmarkEnd w:id="9"/>
    <w:bookmarkStart w:id="10" w:name="el-grupo-de-clifford-y-la-puerta-t"/>
    <w:p>
      <w:pPr>
        <w:pStyle w:val="Heading2"/>
      </w:pPr>
      <w:r>
        <w:t xml:space="preserve">El Grupo de Clifford y la Puerta T</w:t>
      </w:r>
    </w:p>
    <w:p>
      <w:pPr>
        <w:pStyle w:val="FirstParagraph"/>
      </w:pPr>
      <w:r>
        <w:t xml:space="preserve">El grupo de Clifford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está generado por las puertas de Hadamard (</w:t>
      </w:r>
      <m:oMath>
        <m:r>
          <m:t>H</m:t>
        </m:r>
      </m:oMath>
      <w:r>
        <w:t xml:space="preserve">), Fase (</w:t>
      </w:r>
      <m:oMath>
        <m:r>
          <m:t>S</m:t>
        </m:r>
      </m:oMath>
      <w:r>
        <w:t xml:space="preserve">) y CNOT. Por el</w:t>
      </w:r>
      <w:r>
        <w:t xml:space="preserve"> </w:t>
      </w:r>
      <w:r>
        <w:rPr>
          <w:i/>
          <w:iCs/>
        </w:rPr>
        <w:t xml:space="preserve">Teorema de Gottesman-Knill</w:t>
      </w:r>
      <w:r>
        <w:t xml:space="preserve">, cualquier circuito compuesto exclusivamente por compuertas de Clifford y mediciones en la base computacional puede ser simulado en una computadora clásica en tiempo polinomial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 En POLYDIM, las transformaciones puramente simétricas pueden formularse como circuitos de Clifford.</w:t>
      </w:r>
    </w:p>
    <w:p>
      <w:pPr>
        <w:pStyle w:val="BodyText"/>
      </w:pPr>
      <w:r>
        <w:t xml:space="preserve">Para alcanzar la universalidad cuántica completa, se requiere una compuerta no-Clifford, típicamente la compuerta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p>
          <m:e>
            <m:r>
              <m:t>e</m:t>
            </m:r>
          </m:e>
          <m:sup>
            <m:r>
              <m:t>i</m:t>
            </m:r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. El grupo generado por Clifford+T es denso en</w:t>
      </w:r>
      <w:r>
        <w:t xml:space="preserve"> </w:t>
      </w:r>
      <m:oMath>
        <m:r>
          <m:t>S</m:t>
        </m:r>
        <m:r>
          <m:t>U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permitiendo aproximar cualquier operador unitario.</w:t>
      </w:r>
    </w:p>
    <w:bookmarkEnd w:id="10"/>
    <w:bookmarkStart w:id="11" w:name="Xa785f34eaa6ffbb9d1871f92601e338667dce79"/>
    <w:p>
      <w:pPr>
        <w:pStyle w:val="Heading2"/>
      </w:pPr>
      <w:r>
        <w:t xml:space="preserve">Síntesis Exacta y el Algoritmo de Ross-Selinger</w:t>
      </w:r>
    </w:p>
    <w:p>
      <w:pPr>
        <w:pStyle w:val="FirstParagraph"/>
      </w:pPr>
      <w:r>
        <w:t xml:space="preserve">El algoritmo de Ross-Selinger proporciona una síntesis óptima de rotaciones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utilizando compuertas Clifford+T.</w:t>
      </w:r>
    </w:p>
    <w:p>
      <w:pPr>
        <w:pStyle w:val="BodyText"/>
      </w:pPr>
      <w:r>
        <w:t xml:space="preserve">Cualquier rotación de un solo qubit</w:t>
      </w:r>
      <w:r>
        <w:t xml:space="preserve"> </w:t>
      </w:r>
      <m:oMath>
        <m:sSub>
          <m:e>
            <m:r>
              <m:t>R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puede ser aproximada hasta una precisión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con un recuento de puertas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acotado por</w:t>
      </w:r>
      <w:r>
        <w:t xml:space="preserve"> </w:t>
      </w:r>
      <m:oMath>
        <m:r>
          <m:t>T</m:t>
        </m:r>
        <m:r>
          <m:rPr>
            <m:nor/>
            <m:sty m:val="p"/>
          </m:rPr>
          <m:t>-count</m:t>
        </m:r>
        <m:r>
          <m:rPr>
            <m:sty m:val="p"/>
          </m:rPr>
          <m:t>≤</m:t>
        </m:r>
        <m:r>
          <m:t>3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ϵ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/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La síntesis exacta ocurre en el anillo</w:t>
      </w:r>
      <w:r>
        <w:t xml:space="preserve"> </w:t>
      </w:r>
      <m:oMath>
        <m:r>
          <m:rPr>
            <m:scr m:val="double-struck"/>
            <m:sty m:val="p"/>
          </m:rPr>
          <m:t>Z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 que es el ambiente algebraico natural para las isometrías ortogonales en el espacio euclidiano que subyace a la deformación</w:t>
      </w:r>
      <w:r>
        <w:t xml:space="preserve"> </w:t>
      </w:r>
      <m:oMath>
        <m:r>
          <m:t>S</m:t>
        </m:r>
        <m:sSub>
          <m:e>
            <m:r>
              <m:t>U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de POLYDIM.</w:t>
      </w:r>
    </w:p>
    <w:bookmarkEnd w:id="11"/>
    <w:bookmarkStart w:id="12" w:name="X657e201277c7c6348040d1b316c174aefbaf422"/>
    <w:p>
      <w:pPr>
        <w:pStyle w:val="Heading2"/>
      </w:pPr>
      <w:r>
        <w:t xml:space="preserve">Clifford Twirling y Compilación Aleatorizada</w:t>
      </w:r>
    </w:p>
    <w:p>
      <w:pPr>
        <w:pStyle w:val="FirstParagraph"/>
      </w:pPr>
      <w:r>
        <w:t xml:space="preserve">A medida que los agentes en el MAS aplican rotaciones sucesivas, el error de coma flotante clásico se acumula de forma coherente en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t>ϵ</m:t>
        </m:r>
        <m:r>
          <m:rPr>
            <m:sty m:val="p"/>
          </m:rPr>
          <m:t>)</m:t>
        </m:r>
      </m:oMath>
      <w:r>
        <w:t xml:space="preserve">. En el hardware cuántico análogo, el ruido coherente destruye la fidelidad del estado.</w:t>
      </w:r>
      <w:r>
        <w:t xml:space="preserve"> </w:t>
      </w:r>
      <w:r>
        <w:t xml:space="preserve">El</w:t>
      </w:r>
      <w:r>
        <w:t xml:space="preserve"> </w:t>
      </w:r>
      <w:r>
        <w:rPr>
          <w:i/>
          <w:iCs/>
        </w:rPr>
        <w:t xml:space="preserve">Clifford Twirling</w:t>
      </w:r>
      <w:r>
        <w:t xml:space="preserve"> </w:t>
      </w:r>
      <w:r>
        <w:t xml:space="preserve">transforma el ruido coherente arbitrario en un canal de Pauli incoherente: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E</m:t>
          </m:r>
          <m:r>
            <m:rPr>
              <m:sty m:val="p"/>
            </m:rPr>
            <m:t>(</m:t>
          </m:r>
          <m:r>
            <m:t>ρ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t>ρ</m:t>
          </m:r>
          <m:sSubSup>
            <m:e>
              <m:r>
                <m:t>P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†</m:t>
              </m:r>
            </m:sup>
          </m:sSubSup>
        </m:oMath>
      </m:oMathPara>
    </w:p>
    <w:p>
      <w:pPr>
        <w:pStyle w:val="FirstParagraph"/>
      </w:pPr>
      <w:r>
        <w:t xml:space="preserve">Esta compilación aleatorizada mitiga la acumulación coherente, forzando al error a crecer como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(paseo aleatorio en S^</w:t>
      </w:r>
      <w:r>
        <w:t xml:space="preserve">D-1</w:t>
      </w:r>
      <w:r>
        <w:t xml:space="preserve">), un paralelismo directo con las estrategias de estabilización de POLYDIM (Caterpillar to Butterfly).</w:t>
      </w:r>
    </w:p>
    <w:bookmarkEnd w:id="12"/>
    <w:bookmarkStart w:id="13" w:name="X4b376ed7d5e27fffdb24a82c21bbed27ad3ebaf"/>
    <w:p>
      <w:pPr>
        <w:pStyle w:val="Heading2"/>
      </w:pPr>
      <w:r>
        <w:t xml:space="preserve">Corrección de Errores GKP y Flotantes Subnormales</w:t>
      </w:r>
    </w:p>
    <w:p>
      <w:pPr>
        <w:pStyle w:val="FirstParagraph"/>
      </w:pPr>
      <w:r>
        <w:t xml:space="preserve">El código GKP (Gottesman-Kitaev-Preskill) codifica un qubit lógico en los modos continuos de un oscilador armónico, ofreciendo protección contra pequeños desplazamientos en el espacio de fases (hasta</w:t>
      </w:r>
      <w:r>
        <w:t xml:space="preserve"> </w:t>
      </w:r>
      <m:oMath>
        <m:rad>
          <m:radPr>
            <m:degHide m:val="on"/>
          </m:radPr>
          <m:deg/>
          <m:e>
            <m:r>
              <m:t>π</m:t>
            </m:r>
          </m:e>
        </m:rad>
        <m:r>
          <m:rPr>
            <m:sty m:val="p"/>
          </m:rPr>
          <m:t>/</m:t>
        </m:r>
        <m:r>
          <m:t>2</m:t>
        </m:r>
      </m:oMath>
      <w:r>
        <w:t xml:space="preserve">). En la arquitectura clásica de POLYDIM, el análogo directo de estos desplazamientos infinitesimales inmanejables son los números de coma flotante subnormales. La aplicación repetida del operador límite asintótico actúa análogamente a la recuperación por corrección de síndrome de GKP, limpiando las oscilaciones bajo la barrera de precisión.</w:t>
      </w:r>
    </w:p>
    <w:bookmarkEnd w:id="13"/>
    <w:bookmarkStart w:id="14" w:name="el-invariante-de-bargmann-pancharatnam"/>
    <w:p>
      <w:pPr>
        <w:pStyle w:val="Heading2"/>
      </w:pPr>
      <w:r>
        <w:t xml:space="preserve">El Invariante de Bargmann-Pancharatnam</w:t>
      </w:r>
    </w:p>
    <w:p>
      <w:pPr>
        <w:pStyle w:val="FirstParagraph"/>
      </w:pPr>
      <w:r>
        <w:t xml:space="preserve">Cuando un agente experimenta una serie de transformaciones latentes formando un bucle cerrado en el espacio de fases de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adquiere una fase geométrica global irremovible, expresada por el invariante de Bargmann-Pancharatnam: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Φ</m:t>
              </m:r>
            </m:e>
            <m:sub>
              <m:r>
                <m:t>B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⟨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⟨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⟨</m:t>
              </m:r>
              <m:sSub>
                <m:e>
                  <m:r>
                    <m:t>ψ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⟩</m:t>
              </m:r>
            </m:e>
          </m:d>
        </m:oMath>
      </m:oMathPara>
    </w:p>
    <w:p>
      <w:pPr>
        <w:pStyle w:val="FirstParagraph"/>
      </w:pPr>
      <w:r>
        <w:t xml:space="preserve">En POLYDIM, monitorear</w:t>
      </w:r>
      <w:r>
        <w:t xml:space="preserve"> </w:t>
      </w:r>
      <m:oMath>
        <m:sSub>
          <m:e>
            <m:r>
              <m:rPr>
                <m:sty m:val="p"/>
              </m:rPr>
              <m:t>Φ</m:t>
            </m:r>
          </m:e>
          <m:sub>
            <m:r>
              <m:t>B</m:t>
            </m:r>
            <m:r>
              <m:t>P</m:t>
            </m:r>
          </m:sub>
        </m:sSub>
      </m:oMath>
      <w:r>
        <w:t xml:space="preserve"> </w:t>
      </w:r>
      <w:r>
        <w:t xml:space="preserve">en simulaciones locales certifica si la secuencia de rotores de Clifford ha completado exitosamente un bucle geodésico o si el proceso ha divergido hacia trayectorias disipativas, sin requerir trazabilidad explícita del tensor a lo largo del tiempo.</w:t>
      </w:r>
    </w:p>
    <w:bookmarkEnd w:id="14"/>
    <w:bookmarkStart w:id="15" w:name="hardware-físico-mapeo-de-rotores"/>
    <w:p>
      <w:pPr>
        <w:pStyle w:val="Heading2"/>
      </w:pPr>
      <w:r>
        <w:t xml:space="preserve">Hardware Físico: Mapeo de Rotores</w:t>
      </w:r>
    </w:p>
    <w:p>
      <w:pPr>
        <w:pStyle w:val="FirstParagraph"/>
      </w:pPr>
      <w:r>
        <w:t xml:space="preserve">La correspondencia entre los rotores en el álgebra de Clifford</w:t>
      </w:r>
      <w:r>
        <w:t xml:space="preserve"> </w:t>
      </w:r>
      <m:oMath>
        <m:r>
          <m:t>C</m:t>
        </m:r>
        <m:r>
          <m:t>ℓ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y la sintaxis QPU permite portar experimentos de POLYDIM directamente a hardware como Cerebras WSE-3, IBM Quantum, Rigetti y Google Sycamore.</w:t>
      </w:r>
    </w:p>
    <w:bookmarkEnd w:id="15"/>
    <w:bookmarkStart w:id="16" w:name="Xec85ed61bee5bdfdfd59223f4898048acae6428"/>
    <w:p>
      <w:pPr>
        <w:pStyle w:val="Heading2"/>
      </w:pPr>
      <w:r>
        <w:t xml:space="preserve">El Teorema de Solovay-Kitaev y la Eficiencia de la Síntesis</w:t>
      </w:r>
    </w:p>
    <w:p>
      <w:pPr>
        <w:pStyle w:val="FirstParagraph"/>
      </w:pPr>
      <w:r>
        <w:t xml:space="preserve">El Teorema de Solovay-Kitaev establece que el número de compuertas universales</w:t>
      </w:r>
      <w:r>
        <w:t xml:space="preserve"> </w:t>
      </w:r>
      <w:r>
        <w:t xml:space="preserve">necesario para aproximar cualquier unitaria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t>S</m:t>
        </m:r>
        <m:r>
          <m:t>U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con precisión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gates</m:t>
              </m:r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O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t>c</m:t>
                  </m:r>
                </m:sup>
              </m:sSup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ε</m:t>
                      </m:r>
                    </m:den>
                  </m:f>
                </m:e>
              </m:d>
            </m:e>
          </m:d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≈</m:t>
          </m:r>
          <m:r>
            <m:t>3.97</m:t>
          </m:r>
        </m:oMath>
      </m:oMathPara>
    </w:p>
    <w:p>
      <w:pPr>
        <w:pStyle w:val="FirstParagraph"/>
      </w:pPr>
      <w:r>
        <w:t xml:space="preserve">Para la tolerancia certificada del kernel V762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4.44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gates</m:t>
              </m:r>
            </m:sub>
          </m:sSub>
          <m:r>
            <m:rPr>
              <m:sty m:val="p"/>
            </m:rPr>
            <m:t>≈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2.25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15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3.97</m:t>
              </m:r>
            </m:sup>
          </m:sSup>
          <m:r>
            <m:rPr>
              <m:sty m:val="p"/>
            </m:rPr>
            <m:t>≈</m:t>
          </m:r>
          <m:sSup>
            <m:e>
              <m:r>
                <m:t>52</m:t>
              </m:r>
            </m:e>
            <m:sup>
              <m:r>
                <m:t>3.97</m:t>
              </m:r>
            </m:sup>
          </m:sSup>
          <m:r>
            <m:rPr>
              <m:sty m:val="p"/>
            </m:rPr>
            <m:t>≈</m:t>
          </m:r>
          <m:r>
            <m:t>5.8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6</m:t>
              </m:r>
            </m:sup>
          </m:sSup>
          <m:r>
            <m:rPr>
              <m:nor/>
              <m:sty m:val="p"/>
            </m:rPr>
            <m:t> compuertas</m:t>
          </m:r>
        </m:oMath>
      </m:oMathPara>
    </w:p>
    <w:p>
      <w:pPr>
        <w:pStyle w:val="FirstParagraph"/>
      </w:pPr>
      <w:r>
        <w:t xml:space="preserve">Esto es viable en hardware cuántico con miles de qubits lógicos (proyección 2028–2030).</w:t>
      </w:r>
    </w:p>
    <w:bookmarkEnd w:id="16"/>
    <w:bookmarkStart w:id="17" w:name="magic-states-y-la-destilación-t"/>
    <w:p>
      <w:pPr>
        <w:pStyle w:val="Heading2"/>
      </w:pPr>
      <w:r>
        <w:t xml:space="preserve">Magic States y la Destilación T</w:t>
      </w:r>
    </w:p>
    <w:p>
      <w:pPr>
        <w:pStyle w:val="FirstParagraph"/>
      </w:pPr>
      <w:r>
        <w:t xml:space="preserve">Las compuertas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son el recurso escaso en computación cuántica tolerante a fallos.</w:t>
      </w:r>
      <w:r>
        <w:t xml:space="preserve"> </w:t>
      </w:r>
      <w:r>
        <w:t xml:space="preserve">El protocolo de destilación de Bravyi-Kitaev produce 1 magic state de alta fidelidad a partir de: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noisy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15</m:t>
              </m:r>
            </m:e>
            <m:sup>
              <m:r>
                <m:t>k</m:t>
              </m:r>
            </m:sup>
          </m:sSup>
          <m:r>
            <m:rPr>
              <m:nor/>
              <m:sty m:val="p"/>
            </m:rPr>
            <m:t> copias ruidosas, con error 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out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in</m:t>
              </m:r>
            </m:sub>
            <m:sup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</m:sup>
          </m:sSubSup>
        </m:oMath>
      </m:oMathPara>
    </w:p>
    <w:p>
      <w:pPr>
        <w:pStyle w:val="FirstParagraph"/>
      </w:pPr>
      <w:r>
        <w:t xml:space="preserve">Para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y alcanzar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target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: nivel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bookmarkEnd w:id="17"/>
    <w:bookmarkStart w:id="18" w:name="Xb355e1670c80f29f61b40320741f4fbb0de5c72"/>
    <w:p>
      <w:pPr>
        <w:pStyle w:val="Heading2"/>
      </w:pPr>
      <w:r>
        <w:t xml:space="preserve">Escalabilidad Cuántica: Qubits Requeridos para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</w:p>
    <w:p>
      <w:pPr>
        <w:pStyle w:val="FirstParagraph"/>
      </w:pPr>
      <w:r>
        <w:t xml:space="preserve">Para representar un vector en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con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qubits_lógicos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⌈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D</m:t>
          </m:r>
          <m:r>
            <m:rPr>
              <m:sty m:val="p"/>
            </m:rPr>
            <m:t>⌉</m:t>
          </m:r>
          <m:r>
            <m:rPr>
              <m:sty m:val="p"/>
            </m:rPr>
            <m:t>=</m:t>
          </m:r>
          <m:r>
            <m:rPr>
              <m:sty m:val="p"/>
            </m:rPr>
            <m:t>⌈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sSup>
            <m:e>
              <m:r>
                <m:t>10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⌉</m:t>
          </m:r>
          <m:r>
            <m:rPr>
              <m:sty m:val="p"/>
            </m:rPr>
            <m:t>=</m:t>
          </m:r>
          <m:r>
            <m:t>20</m:t>
          </m:r>
          <m:r>
            <m:rPr>
              <m:nor/>
              <m:sty m:val="p"/>
            </m:rPr>
            <m:t> qubits</m:t>
          </m:r>
        </m:oMath>
      </m:oMathPara>
    </w:p>
    <w:p>
      <w:pPr>
        <w:pStyle w:val="FirstParagraph"/>
      </w:pPr>
      <w:r>
        <w:t xml:space="preserve">Con código superficial de distancia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≈</m:t>
        </m:r>
        <m:r>
          <m:t>1000</m:t>
        </m:r>
      </m:oMath>
      <w:r>
        <w:t xml:space="preserve"> </w:t>
      </w:r>
      <w:r>
        <w:t xml:space="preserve">qubits físicos por lógico):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qubits_físicos</m:t>
              </m:r>
            </m:sub>
          </m:sSub>
          <m:r>
            <m:rPr>
              <m:sty m:val="p"/>
            </m:rPr>
            <m:t>=</m:t>
          </m:r>
          <m:r>
            <m:t>20</m:t>
          </m:r>
          <m:r>
            <m:rPr>
              <m:sty m:val="p"/>
            </m:rPr>
            <m:t>×</m:t>
          </m:r>
          <m:r>
            <m:t>1000</m:t>
          </m:r>
          <m:r>
            <m:rPr>
              <m:sty m:val="p"/>
            </m:rPr>
            <m:t>=</m:t>
          </m:r>
          <m:r>
            <m:t>20</m:t>
          </m:r>
          <m:r>
            <m:rPr>
              <m:sty m:val="p"/>
            </m:rPr>
            <m:t>,</m:t>
          </m:r>
          <m:r>
            <m:t>000</m:t>
          </m:r>
          <m:r>
            <m:rPr>
              <m:nor/>
              <m:sty m:val="p"/>
            </m:rPr>
            <m:t> qubits físicos</m:t>
          </m:r>
        </m:oMath>
      </m:oMathPara>
    </w:p>
    <w:p>
      <w:pPr>
        <w:pStyle w:val="FirstParagraph"/>
      </w:pPr>
      <w:r>
        <w:t xml:space="preserve">IBM Quantum (2025) supera</w:t>
      </w:r>
      <w:r>
        <w:t xml:space="preserve"> </w:t>
      </w:r>
      <m:oMath>
        <m:r>
          <m:t>1000</m:t>
        </m:r>
        <m:r>
          <m:rPr>
            <m:sty m:val="p"/>
          </m:rPr>
          <m:t>+</m:t>
        </m:r>
      </m:oMath>
      <w:r>
        <w:t xml:space="preserve"> </w:t>
      </w:r>
      <w:r>
        <w:t xml:space="preserve">qubits físicos. El hardware para POLYDIM cuántico</w:t>
      </w:r>
      <w:r>
        <w:t xml:space="preserve"> </w:t>
      </w:r>
      <w:r>
        <w:t xml:space="preserve">está proyectado para 2028–2030 con sistemas de</w:t>
      </w:r>
      <w:r>
        <w:t xml:space="preserve"> </w:t>
      </w:r>
      <m:oMath>
        <m:r>
          <m:rPr>
            <m:sty m:val="p"/>
          </m:rPr>
          <m:t>&gt;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qubits de alta fidelidad.</w:t>
      </w:r>
    </w:p>
    <w:bookmarkEnd w:id="18"/>
    <w:bookmarkStart w:id="20" w:name="Xba83f58cf808f4ad6ee403519c662782b298946"/>
    <w:p>
      <w:pPr>
        <w:pStyle w:val="Heading2"/>
      </w:pPr>
      <w:r>
        <w:t xml:space="preserve">Síntesis Cuántica Discreta Clifford+T en Rust (Arquitectura V772)</w:t>
      </w:r>
    </w:p>
    <w:p>
      <w:pPr>
        <w:pStyle w:val="FirstParagraph"/>
      </w:pPr>
      <w:r>
        <w:t xml:space="preserve">En arquitecturas cuánticas tolerantes a fallos (FTQC), las rotaciones analógicas continuas</w:t>
      </w:r>
      <w:r>
        <w:t xml:space="preserve"> </w:t>
      </w:r>
      <m:oMath>
        <m:sSub>
          <m:e>
            <m:r>
              <m:t>R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son físicamente irrealizables sin introducir ruido de calibración continuo. La arquitectura V772 integra un compilador cuántico discreto nativo en Rust con interfaz C-ABI.</w:t>
      </w:r>
    </w:p>
    <w:p>
      <w:pPr>
        <w:pStyle w:val="BodyText"/>
      </w:pPr>
      <w:r>
        <w:t xml:space="preserve">Toda rotación arbitraria de Pauli</w:t>
      </w:r>
      <w:r>
        <w:t xml:space="preserve"> </w:t>
      </w:r>
      <m:oMath>
        <m:sSub>
          <m:e>
            <m:r>
              <m:t>R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R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en la esfera de Bloch se sintetiza de forma exacta a partir de rotaciones axiales</w:t>
      </w:r>
      <w:r>
        <w:t xml:space="preserve"> </w:t>
      </w:r>
      <m:oMath>
        <m:sSub>
          <m:e>
            <m:r>
              <m:t>R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conjugadas por elementos del grupo de Clifford: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R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H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⋅</m:t>
              </m:r>
              <m:r>
                <m:t>S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R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H</m:t>
              </m:r>
            </m:e>
          </m:eqAr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es la compuerta de Hadamard y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es la compuerta de fase.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Recordando las identidades de Pauli:</w:t>
      </w:r>
      <w:r>
        <w:t xml:space="preserve"> </w:t>
      </w:r>
      <m:oMath>
        <m:r>
          <m:t>H</m:t>
        </m:r>
        <m:r>
          <m:t>X</m:t>
        </m:r>
        <m:r>
          <m:t>H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H</m:t>
        </m:r>
        <m:r>
          <m:t>Z</m:t>
        </m:r>
        <m:r>
          <m:t>H</m:t>
        </m:r>
        <m:r>
          <m:rPr>
            <m:sty m:val="p"/>
          </m:rPr>
          <m:t>=</m:t>
        </m:r>
        <m:r>
          <m:t>X</m:t>
        </m:r>
      </m:oMath>
      <w:r>
        <w:t xml:space="preserve">. Para el eje</w:t>
      </w:r>
      <w:r>
        <w:t xml:space="preserve"> </w:t>
      </w:r>
      <m:oMath>
        <m:r>
          <m:t>Y</m:t>
        </m:r>
      </m:oMath>
      <w:r>
        <w:t xml:space="preserve">, dado que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†</m:t>
            </m:r>
          </m:sup>
        </m:sSup>
        <m:r>
          <m:t>X</m:t>
        </m:r>
        <m:r>
          <m:t>S</m:t>
        </m:r>
        <m:r>
          <m:rPr>
            <m:sty m:val="p"/>
          </m:rPr>
          <m:t>=</m:t>
        </m:r>
        <m:r>
          <m:t>Y</m:t>
        </m:r>
      </m:oMath>
      <w:r>
        <w:t xml:space="preserve">, se tiene</w:t>
      </w:r>
      <w:r>
        <w:t xml:space="preserve"> </w:t>
      </w:r>
      <m:oMath>
        <m:r>
          <m:t>H</m:t>
        </m:r>
        <m:sSup>
          <m:e>
            <m:r>
              <m:t>S</m:t>
            </m:r>
          </m:e>
          <m:sup>
            <m:r>
              <m:rPr>
                <m:sty m:val="p"/>
              </m:rPr>
              <m:t>†</m:t>
            </m:r>
          </m:sup>
        </m:sSup>
        <m:r>
          <m:t>X</m:t>
        </m:r>
        <m:r>
          <m:t>S</m:t>
        </m:r>
        <m:r>
          <m:t>H</m:t>
        </m:r>
        <m:r>
          <m:rPr>
            <m:sty m:val="p"/>
          </m:rPr>
          <m:t>=</m:t>
        </m:r>
        <m:r>
          <m:t>H</m:t>
        </m:r>
        <m:r>
          <m:t>Y</m:t>
        </m:r>
        <m:r>
          <m:t>H</m:t>
        </m:r>
      </m:oMath>
      <w:r>
        <w:t xml:space="preserve">. Conjugando las exponenciales matriciales correspondientes: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θ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Z</m:t>
                  </m:r>
                </m:sup>
              </m:sSup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θ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H</m:t>
                  </m:r>
                  <m:r>
                    <m:t>Z</m:t>
                  </m:r>
                  <m:r>
                    <m:t>H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θ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H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θ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X</m:t>
                  </m:r>
                </m:sup>
              </m:sSup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θ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H</m:t>
                  </m:r>
                  <m:r>
                    <m:t>X</m:t>
                  </m:r>
                  <m:r>
                    <m:t>H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θ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Aplicando la transformación de similitud con Hadamard a la rotación</w:t>
      </w:r>
      <w:r>
        <w:t xml:space="preserve"> </w:t>
      </w:r>
      <m:oMath>
        <m:sSub>
          <m:e>
            <m:r>
              <m:t>R</m:t>
            </m:r>
          </m:e>
          <m:sub>
            <m:r>
              <m:t>z</m:t>
            </m:r>
          </m:sub>
        </m:sSub>
      </m:oMath>
      <w:r>
        <w:t xml:space="preserve">, se obtiene directamente</w:t>
      </w:r>
      <w:r>
        <w:t xml:space="preserve"> </w:t>
      </w:r>
      <m:oMath>
        <m:sSub>
          <m:e>
            <m:r>
              <m:t>R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sSub>
          <m:e>
            <m:r>
              <m:t>R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H</m:t>
        </m:r>
      </m:oMath>
      <w:r>
        <w:t xml:space="preserve">. 0◻ ◻</w:t>
      </w:r>
    </w:p>
    <w:bookmarkStart w:id="19" w:name="X29640ee13bf4ef87f874e0c1d6856302394dab9"/>
    <w:p>
      <w:pPr>
        <w:pStyle w:val="Heading3"/>
      </w:pPr>
      <w:r>
        <w:t xml:space="preserve">Compilación Diádica y Optimización del</w:t>
      </w:r>
      <w:r>
        <w:t xml:space="preserve"> </w:t>
      </w:r>
      <m:oMath>
        <m:r>
          <m:t>T</m:t>
        </m:r>
      </m:oMath>
      <w:r>
        <w:t xml:space="preserve">-Count</w:t>
      </w:r>
    </w:p>
    <w:p>
      <w:pPr>
        <w:pStyle w:val="FirstParagraph"/>
      </w:pPr>
      <w:r>
        <w:t xml:space="preserve">La rotación axial</w:t>
      </w:r>
      <w:r>
        <w:t xml:space="preserve"> </w:t>
      </w:r>
      <m:oMath>
        <m:sSub>
          <m:e>
            <m:r>
              <m:t>R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se aproxima mediante descomposición en fracciones diádicas utilizando el algoritmo de</w:t>
      </w:r>
      <w:r>
        <w:t xml:space="preserve"> </w:t>
      </w:r>
      <w:r>
        <w:rPr>
          <w:i/>
          <w:iCs/>
        </w:rPr>
        <w:t xml:space="preserve">GridSynth</w:t>
      </w:r>
      <w:r>
        <w:t xml:space="preserve"> </w:t>
      </w:r>
      <w:r>
        <w:t xml:space="preserve">(Ross &amp; Selinger) sobre la base universal</w:t>
      </w:r>
      <w:r>
        <w:t xml:space="preserve"> </w:t>
      </w:r>
      <m:oMath>
        <m:r>
          <m:rPr>
            <m:sty m:val="p"/>
          </m:rPr>
          <m:t>{</m:t>
        </m:r>
        <m:r>
          <m:t>H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t>X</m:t>
        </m:r>
        <m:r>
          <m:rPr>
            <m:sty m:val="p"/>
          </m:rPr>
          <m:t>}</m:t>
        </m:r>
      </m:oMath>
      <w:r>
        <w:t xml:space="preserve">. El compilador genera una secuencia discreta de compuertas: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sSub>
            <m:e>
              <m:r>
                <m:t>U</m:t>
              </m:r>
            </m:e>
            <m:sub>
              <m:r>
                <m:t>m</m:t>
              </m:r>
            </m:sub>
          </m:sSub>
          <m:sSub>
            <m:e>
              <m:r>
                <m:t>U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H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con un costo de compuertas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acotado por</w:t>
      </w:r>
      <w: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logrando una síntesis determinista con error acotado en silicio local (Suite 5 PASS).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2026-09-28T19:51:26Z</dcterms:created>
  <dcterms:modified xsi:type="dcterms:W3CDTF">2026-09-28T19:51:26Z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