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insofos-el-sistema-operativo-latente"/>
    <w:p>
      <w:pPr>
        <w:pStyle w:val="Heading1"/>
      </w:pPr>
      <w:r>
        <w:t xml:space="preserve">EinsofOS: El Sistema Operativo Latente</w:t>
      </w:r>
    </w:p>
    <w:bookmarkStart w:id="9" w:name="Xe4133e69e6471413cb09ef4f5dc7a36f99a3af6"/>
    <w:p>
      <w:pPr>
        <w:pStyle w:val="Heading2"/>
      </w:pPr>
      <w:r>
        <w:t xml:space="preserve">Fundamentación Conceptual: La Inversión del Paradigma</w:t>
      </w:r>
    </w:p>
    <w:p>
      <w:pPr>
        <w:pStyle w:val="FirstParagraph"/>
      </w:pPr>
      <w:r>
        <w:t xml:space="preserve">Los sistemas operativos tradicionales (UNIX, Windows) fundamentan su ontología computacional en abstracciones mecanicistas herederas de la máquina de Turing clásica: procesos aislados, archivos de bytes unidimensionales, sockets POSIX y primitivas de concurrencia como los mutexes. En el ecosistema POLYDIM, la ontología se invierte radicalmente.</w:t>
      </w:r>
    </w:p>
    <w:p>
      <w:pPr>
        <w:pStyle w:val="BodyText"/>
      </w:pPr>
      <w:r>
        <w:rPr>
          <w:b/>
          <w:bCs/>
        </w:rPr>
        <w:t xml:space="preserve">EinsofOS</w:t>
      </w:r>
      <w:r>
        <w:t xml:space="preserve"> </w:t>
      </w:r>
      <w:r>
        <w:t xml:space="preserve">no es un sistema operativo sobre el que corre la geometría matemática; es un entorno donde</w:t>
      </w:r>
      <w:r>
        <w:t xml:space="preserve"> </w:t>
      </w:r>
      <w:r>
        <w:rPr>
          <w:i/>
          <w:iCs/>
        </w:rPr>
        <w:t xml:space="preserve">la geometría es el sistema operativo subyacente</w:t>
      </w:r>
      <w:r>
        <w:t xml:space="preserve">. Sus primitivas fundamentales no son descriptores de archivos o hilos, sino</w:t>
      </w:r>
      <w:r>
        <w:t xml:space="preserve"> </w:t>
      </w:r>
      <w:r>
        <w:rPr>
          <w:i/>
          <w:iCs/>
        </w:rPr>
        <w:t xml:space="preserve">functores, tensores, variedades diferenciables (manifolds) e isometrías</w:t>
      </w:r>
      <w:r>
        <w:t xml:space="preserve">. En esta inversión ontológica, el hardware (CPU, GPU, RAM) no se considera el sustrato de la realidad; el sustrato real, incorruptible e invariante, es el espacio vectorial hiperdimensional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El hardware se redefine matemáticamente como un simple</w:t>
      </w:r>
      <w:r>
        <w:t xml:space="preserve"> </w:t>
      </w:r>
      <w:r>
        <w:rPr>
          <w:b/>
          <w:bCs/>
        </w:rPr>
        <w:t xml:space="preserve">functor</w:t>
      </w:r>
      <w:r>
        <w:t xml:space="preserve"> </w:t>
      </w:r>
      <w:r>
        <w:t xml:space="preserve">que proyecta un estado ideal (el tensor latente) a sus límites físicos térmicos y de silicio temporalmente locales.</w:t>
      </w:r>
    </w:p>
    <w:bookmarkEnd w:id="9"/>
    <w:bookmarkStart w:id="10" w:name="la-arquitectura-de-functores-periféricos"/>
    <w:p>
      <w:pPr>
        <w:pStyle w:val="Heading2"/>
      </w:pPr>
      <w:r>
        <w:t xml:space="preserve">La Arquitectura de Functores Periféricos</w:t>
      </w:r>
    </w:p>
    <w:p>
      <w:pPr>
        <w:pStyle w:val="FirstParagraph"/>
      </w:pPr>
      <w:r>
        <w:t xml:space="preserve">Al eliminar la noción de drivers (controladores) y sustituirla por functores teóricos de categorías, el Sistema Operativo Latente abstrae el hardware externo en proyecciones deterministas del espacio vectorial: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Functor GPU (CUDA/ROCm):</w:t>
      </w:r>
      <w:r>
        <w:t xml:space="preserve"> </w:t>
      </w:r>
      <w:r>
        <w:t xml:space="preserve">Mapea los transformadores y rotores geométricos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núcleos paralelos (kernels), proyectando el tensor ideal sobre la cuadrícula masivamente paralela de los SMs (Streaming Multiprocessors).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Functor NIC (InfiniBand/RDMA):</w:t>
      </w:r>
      <w:r>
        <w:t xml:space="preserve"> </w:t>
      </w:r>
      <w:r>
        <w:t xml:space="preserve">Proyecta el tensor a flujos de red, ignorando el colapso TCP/IP. En la arquitectura de la Fase 11, este functor permite acceso remoto directo a memoria, moviendo geometría de un nodo a otro sin tocar los ciclos de CPU.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Functor CPU (SIMD+OpenMP):</w:t>
      </w:r>
      <w:r>
        <w:t xml:space="preserve"> </w:t>
      </w:r>
      <w:r>
        <w:t xml:space="preserve">Colapsa el cálculo a instrucciones vectoriales (AVX2/AVX-512) operando sobre caché estricta.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Functor de Pantalla (DIM_FLUTTER):</w:t>
      </w:r>
      <w:r>
        <w:t xml:space="preserve"> </w:t>
      </w:r>
      <w:r>
        <w:t xml:space="preserve">Proyecta un corte hiperdimensional en un array de píxeles 2D percibibles por el ser humano, operando como una ventana de visualización rudimentaria hacia la latencia de dimensión mayor.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Functor de Base de Datos (DIM_SQL):</w:t>
      </w:r>
      <w:r>
        <w:t xml:space="preserve"> </w:t>
      </w:r>
      <w:r>
        <w:t xml:space="preserve">Aplica un homomorfismo algebraico para colapsar y persistir subvariedades topológicas dentro de un esquema de SQL estrictamente estructurado (C.R.U.D).</w:t>
      </w:r>
    </w:p>
    <w:bookmarkEnd w:id="10"/>
    <w:bookmarkStart w:id="12" w:name="Xe467117dde7d368f8ce6477d9875d3a7e789d4d"/>
    <w:p>
      <w:pPr>
        <w:pStyle w:val="Heading2"/>
      </w:pPr>
      <w:r>
        <w:t xml:space="preserve">Teoría Formal: La Constitución de POLYDIM y Categorías Parametrizadas</w:t>
      </w:r>
    </w:p>
    <w:p>
      <w:pPr>
        <w:pStyle w:val="FirstParagraph"/>
      </w:pPr>
      <w:r>
        <w:t xml:space="preserve">El núcleo (kernel) de EinsofOS es definido por la teoría expuesta en el manifiesto de POLYDIM (</w:t>
      </w:r>
      <w:r>
        <w:rPr>
          <w:rStyle w:val="VerbatimChar"/>
        </w:rPr>
        <w:t xml:space="preserve">Constitución Final Blind.md</w:t>
      </w:r>
      <w:r>
        <w:t xml:space="preserve">). Utilizando teoría de categorías superiores, la computación se abstrae en las 2-categorías</w:t>
      </w:r>
      <w:r>
        <w:t xml:space="preserve"> </w:t>
      </w:r>
      <w:r>
        <w:rPr>
          <w:b/>
          <w:bCs/>
        </w:rPr>
        <w:t xml:space="preserve">Para(Vect)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Para(Smooth)</w:t>
      </w:r>
      <w:r>
        <w:t xml:space="preserve">.</w:t>
      </w:r>
    </w:p>
    <w:p>
      <w:pPr>
        <w:pStyle w:val="BodyText"/>
      </w:pPr>
      <w:r>
        <w:t xml:space="preserve">La unidad atómica de ejecución no es una instrucción en ensamblador, sino un morfismo suave parametrizado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 Sobre este morfismo, el sistema define cinco operadores constitucionales: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COMPOSE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Define un orden causal estricto, pero no conmutativo. Representa la composición de transformaciones. Sustituye conceptualmente las bifurcaciones de control (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imperativos) al encadenar lógicamente trayectorias en el espacio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MIX (</w:t>
      </w:r>
      <m:oMath>
        <m:r>
          <m:t>α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Superposición por Arquitectura Simbólica Vectorial (VSA). Introduce ramificación continua y evaluación concurrente. Al ponderar transformaciones de forma ortogonal, evalúa simultáneamente los equivalentes categóricos a ambas ramas lógicas sin bifurcación física de la instrucción de la CPU.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FIXPOINT (</w:t>
      </w:r>
      <m:oMath>
        <m:r>
          <m:t>T</m:t>
        </m:r>
        <m:r>
          <m:rPr>
            <m:sty m:val="p"/>
          </m:rPr>
          <m:t>,</m:t>
        </m:r>
        <m:r>
          <m:t>ϵ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Operador de bucle (loop). En lugar de saltos condicionales mecánicos (</w:t>
      </w:r>
      <w:r>
        <w:rPr>
          <w:rStyle w:val="VerbatimChar"/>
        </w:rPr>
        <w:t xml:space="preserve">jmp</w:t>
      </w:r>
      <w:r>
        <w:t xml:space="preserve">), se apoya en el Teorema del Punto Fijo de Banach, forzando la convergencia geométrica iterativa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hasta que el cambio caiga por debajo de la cota</w:t>
      </w:r>
      <w:r>
        <w:t xml:space="preserve"> </w:t>
      </w:r>
      <m:oMath>
        <m:r>
          <m:t>ϵ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RECUR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x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Modela recurrencia mediante arquitecturas de Espacio de Estados (State Space Models / Mamba).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PROJECT y ALIGN: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es el functor explícito desde la categoría de Geometría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al dominio de Ejecución Discreta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E</m:t>
            </m:r>
          </m:sub>
        </m:sSub>
      </m:oMath>
      <w:r>
        <w:t xml:space="preserve">.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rige la telepatía intra-agentes, mapeando alineaciones de Análisis de Correlación Canónica (CCA) o Procrustes Ortogonal entre agentes heterogéneos sin emplear formato JSON intermedio.</w:t>
      </w:r>
    </w:p>
    <w:bookmarkStart w:id="11" w:name="definiciones-categóricas-formales"/>
    <w:p>
      <w:pPr>
        <w:pStyle w:val="Heading3"/>
      </w:pPr>
      <w:r>
        <w:t xml:space="preserve">Definiciones Categóricas Formales</w:t>
      </w:r>
    </w:p>
    <w:p>
      <w:pPr>
        <w:pStyle w:val="FirstParagraph"/>
      </w:pPr>
      <w:r>
        <w:t xml:space="preserve">Definimos la categoría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</m:oMath>
      <w:r>
        <w:t xml:space="preserve"> </w:t>
      </w:r>
      <w:r>
        <w:t xml:space="preserve">como sigue: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Objetos:</w:t>
      </w:r>
      <w:r>
        <w:t xml:space="preserve"> </w:t>
      </w:r>
      <w:r>
        <w:t xml:space="preserve">Tensores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∥</m:t>
        </m:r>
        <m:r>
          <m:t>T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representando estados latentes de agentes.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Morfismos:</w:t>
      </w:r>
      <w:r>
        <w:t xml:space="preserve"> </w:t>
      </w:r>
      <w:r>
        <w:t xml:space="preserve">Aplicaciones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que preservan la norma:</w:t>
      </w:r>
      <w:r>
        <w:t xml:space="preserve"> </w:t>
      </w:r>
      <m:oMath>
        <m:r>
          <m:rPr>
            <m:sty m:val="p"/>
          </m:rPr>
          <m:t>∥</m:t>
        </m:r>
        <m: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Incluyen las rotaciones de Rodrigues (</w:t>
      </w:r>
      <m:oMath>
        <m:sSub>
          <m:e>
            <m:r>
              <m:t>R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), las</w:t>
      </w:r>
      <w:r>
        <w:t xml:space="preserve"> </w:t>
      </w:r>
      <w:r>
        <w:t xml:space="preserve">retracciones de Cayley, y las proyecciones de Procrustes ortogonal.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Composición:</w:t>
      </w:r>
      <w:r>
        <w:t xml:space="preserve"> </w:t>
      </w:r>
      <w:r>
        <w:t xml:space="preserve">La composición habitual de funciones</w:t>
      </w:r>
      <w:r>
        <w:t xml:space="preserve"> </w:t>
      </w:r>
      <m:oMath>
        <m:r>
          <m:t>ψ</m:t>
        </m:r>
        <m:r>
          <m:rPr>
            <m:sty m:val="p"/>
          </m:rPr>
          <m:t>∘</m:t>
        </m:r>
        <m:r>
          <m:t>φ</m:t>
        </m:r>
      </m:oMath>
      <w:r>
        <w:t xml:space="preserve">, que es asociativa y preserva la norma por</w:t>
      </w:r>
      <w:r>
        <w:t xml:space="preserve"> </w:t>
      </w:r>
      <w:r>
        <w:t xml:space="preserve">composición de isometrías.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Identidad:</w:t>
      </w:r>
      <w:r>
        <w:t xml:space="preserve"> </w:t>
      </w:r>
      <w:r>
        <w:t xml:space="preserve">El morfismo identidad</w:t>
      </w:r>
      <w:r>
        <w:t xml:space="preserve"> </w:t>
      </w:r>
      <m:oMath>
        <m:r>
          <m:rPr>
            <m:nor/>
            <m:sty m:val="p"/>
          </m:rPr>
          <m:t>id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↦</m:t>
        </m:r>
        <m:r>
          <m:t>T</m:t>
        </m:r>
      </m:oMath>
      <w:r>
        <w:t xml:space="preserve">.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i/>
          <w:iCs/>
        </w:rPr>
        <w:t xml:space="preserve">functor periférico</w:t>
      </w:r>
      <w:r>
        <w:t xml:space="preserve"> </w:t>
      </w:r>
      <w:r>
        <w:t xml:space="preserve">es un functor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→</m:t>
        </m:r>
        <m:r>
          <m:rPr>
            <m:sty m:val="bi"/>
          </m:rPr>
          <m:t>C</m:t>
        </m:r>
      </m:oMath>
      <w:r>
        <w:t xml:space="preserve"> </w:t>
      </w:r>
      <w:r>
        <w:t xml:space="preserve">donde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es una categoría</w:t>
      </w:r>
      <w:r>
        <w:t xml:space="preserve"> </w:t>
      </w:r>
      <w:r>
        <w:t xml:space="preserve">“colapsada”</w:t>
      </w:r>
      <w:r>
        <w:t xml:space="preserve"> </w:t>
      </w:r>
      <w:r>
        <w:t xml:space="preserve">que representa un dominio</w:t>
      </w:r>
      <w:r>
        <w:t xml:space="preserve"> </w:t>
      </w:r>
      <w:r>
        <w:t xml:space="preserve">físico de salida. Ejemplos:</w:t>
      </w:r>
    </w:p>
    <w:p>
      <w:pPr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GPU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→</m:t>
        </m:r>
        <m:sSub>
          <m:e>
            <m:r>
              <m:rPr>
                <m:sty m:val="bi"/>
              </m:rPr>
              <m:t>T</m:t>
            </m:r>
            <m:r>
              <m:rPr>
                <m:sty m:val="bi"/>
              </m:rPr>
              <m:t>e</m:t>
            </m:r>
            <m:r>
              <m:rPr>
                <m:sty m:val="bi"/>
              </m:rPr>
              <m:t>n</m:t>
            </m:r>
            <m:r>
              <m:rPr>
                <m:sty m:val="bi"/>
              </m:rPr>
              <m:t>s</m:t>
            </m:r>
            <m:r>
              <m:rPr>
                <m:sty m:val="bi"/>
              </m:rPr>
              <m:t>o</m:t>
            </m:r>
            <m:r>
              <m:rPr>
                <m:sty m:val="bi"/>
              </m:rPr>
              <m:t>r</m:t>
            </m:r>
          </m:e>
          <m:sub>
            <m:r>
              <m:rPr>
                <m:nor/>
                <m:sty m:val="p"/>
              </m:rPr>
              <m:t>fp16</m:t>
            </m:r>
          </m:sub>
        </m:sSub>
      </m:oMath>
      <w:r>
        <w:t xml:space="preserve"> </w:t>
      </w:r>
      <w:r>
        <w:t xml:space="preserve">(proyección a precisión reducida para cómputo GPU).</w:t>
      </w:r>
    </w:p>
    <w:p>
      <w:pPr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pantalla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→</m:t>
        </m:r>
        <m:r>
          <m:rPr>
            <m:sty m:val="bi"/>
          </m:rPr>
          <m:t>P</m:t>
        </m:r>
        <m:r>
          <m:rPr>
            <m:sty m:val="bi"/>
          </m:rPr>
          <m:t>i</m:t>
        </m:r>
        <m:r>
          <m:rPr>
            <m:sty m:val="bi"/>
          </m:rPr>
          <m:t>x</m:t>
        </m:r>
        <m:r>
          <m:rPr>
            <m:sty m:val="bi"/>
          </m:rPr>
          <m:t>e</m:t>
        </m:r>
        <m:r>
          <m:rPr>
            <m:sty m:val="bi"/>
          </m:rPr>
          <m:t>l</m:t>
        </m:r>
      </m:oMath>
      <w:r>
        <w:t xml:space="preserve"> </w:t>
      </w:r>
      <w:r>
        <w:t xml:space="preserve">(renderización a espacio de color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255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red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→</m:t>
        </m:r>
        <m:r>
          <m:rPr>
            <m:sty m:val="bi"/>
          </m:rPr>
          <m:t>B</m:t>
        </m:r>
        <m:r>
          <m:rPr>
            <m:sty m:val="bi"/>
          </m:rPr>
          <m:t>y</m:t>
        </m:r>
        <m:r>
          <m:rPr>
            <m:sty m:val="bi"/>
          </m:rPr>
          <m:t>t</m:t>
        </m:r>
        <m:r>
          <m:rPr>
            <m:sty m:val="bi"/>
          </m:rPr>
          <m:t>e</m:t>
        </m:r>
      </m:oMath>
      <w:r>
        <w:t xml:space="preserve"> </w:t>
      </w:r>
      <w:r>
        <w:t xml:space="preserve">(serialización para transmisión por red InfiniBand/RDMA).</w:t>
      </w:r>
    </w:p>
    <w:p>
      <w:pPr>
        <w:pStyle w:val="FirstParagraph"/>
      </w:pPr>
      <w:r>
        <w:t xml:space="preserve">Cada functor periférico constituye una instancia controlada del</w:t>
      </w:r>
      <w:r>
        <w:t xml:space="preserve"> </w:t>
      </w:r>
      <w:r>
        <w:t xml:space="preserve">“colapso dimensional”</w:t>
      </w:r>
      <w:r>
        <w:t xml:space="preserve">: la destrucción necesaria e inevitable para la</w:t>
      </w:r>
      <w:r>
        <w:t xml:space="preserve"> </w:t>
      </w:r>
      <w:r>
        <w:t xml:space="preserve">interfaz con el hardware físico.</w:t>
      </w:r>
    </w:p>
    <w:p>
      <w:pPr>
        <w:pStyle w:val="BodyText"/>
      </w:pPr>
      <w:r>
        <w:t xml:space="preserve">Los cinco operadores constitucionales se formalizan como sigue:</w:t>
      </w:r>
    </w:p>
    <w:p>
      <w:pPr>
        <w:pStyle w:val="BodyText"/>
      </w:pPr>
      <w:r>
        <w:t xml:space="preserve">Sean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nor/>
            <m:sty m:val="p"/>
          </m:rPr>
          <m:t>Mor</m:t>
        </m:r>
        <m:r>
          <m:rPr>
            <m:sty m:val="p"/>
          </m:rPr>
          <m:t>(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dos morfismos</w:t>
      </w:r>
      <w:r>
        <w:t xml:space="preserve"> </w:t>
      </w:r>
      <w:r>
        <w:t xml:space="preserve">latentes. Definimos: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COMPOSE</m:t>
          </m:r>
          <m:r>
            <m:rPr>
              <m:sty m:val="p"/>
            </m:rPr>
            <m:t>(</m:t>
          </m:r>
          <m:sSub>
            <m:e>
              <m: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φ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≜</m:t>
          </m:r>
          <m:r>
            <m:t> </m:t>
          </m:r>
          <m:sSub>
            <m:e>
              <m:r>
                <m:t>φ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φ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La composición impone un</w:t>
      </w:r>
      <w:r>
        <w:t xml:space="preserve"> </w:t>
      </w:r>
      <w:r>
        <w:rPr>
          <w:i/>
          <w:iCs/>
        </w:rPr>
        <w:t xml:space="preserve">orden causal estricto</w:t>
      </w:r>
      <w:r>
        <w:t xml:space="preserve"> </w:t>
      </w:r>
      <w:r>
        <w:t xml:space="preserve">(no conmutativo).</w:t>
      </w:r>
    </w:p>
    <w:p>
      <w:pPr>
        <w:pStyle w:val="BodyText"/>
      </w:pPr>
      <w:r>
        <w:t xml:space="preserve">Sean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dos estados latentes y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. Definimos: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MIX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≜</m:t>
          </m:r>
          <m:r>
            <m:t> </m:t>
          </m:r>
          <m:f>
            <m:fPr>
              <m:type m:val="bar"/>
            </m:fPr>
            <m:num>
              <m:r>
                <m:t>α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α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La renormalización garantiza que el resultado permanece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siempre que el denominador no se anule.</w:t>
      </w:r>
    </w:p>
    <w:p>
      <w:pPr>
        <w:pStyle w:val="BodyText"/>
      </w:pPr>
      <w:r>
        <w:t xml:space="preserve">El operador MIX es una</w:t>
      </w:r>
      <w:r>
        <w:t xml:space="preserve"> </w:t>
      </w:r>
      <w:r>
        <w:rPr>
          <w:i/>
          <w:iCs/>
        </w:rPr>
        <w:t xml:space="preserve">función parcial</w:t>
      </w:r>
      <w:r>
        <w:t xml:space="preserve"> </w:t>
      </w:r>
      <w:r>
        <w:t xml:space="preserve">con dominio: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dom</m:t>
          </m:r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MIX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rPr>
              <m:sty m:val="p"/>
            </m:rPr>
            <m:t>∥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La singularidad</w:t>
      </w:r>
      <w:r>
        <w:t xml:space="preserve"> </w:t>
      </w:r>
      <m:oMath>
        <m:r>
          <m:t>α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ocurre si y solo si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)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(configuración antipodal ponderada).</w:t>
      </w:r>
      <w:r>
        <w:t xml:space="preserve"> </w:t>
      </w:r>
      <w:r>
        <w:t xml:space="preserve">En dimensión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 la probabilidad de que dos estados</w:t>
      </w:r>
      <w:r>
        <w:t xml:space="preserve"> </w:t>
      </w:r>
      <w:r>
        <w:t xml:space="preserve">latentes independientes uniformes satisfagan esta condición exacta</w:t>
      </w:r>
      <w:r>
        <w:t xml:space="preserve"> </w:t>
      </w:r>
      <w:r>
        <w:t xml:space="preserve">es cero (medida de Lebesgue nula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  <w:r>
        <w:t xml:space="preserve"> </w:t>
      </w:r>
      <w:r>
        <w:t xml:space="preserve">Más aún, por concentración de medida en la esfera de alta dimensión</w:t>
      </w:r>
      <w:r>
        <w:t xml:space="preserve"> </w:t>
      </w:r>
      <w:r>
        <w:t xml:space="preserve">(Lema de Lévy, §</w:t>
      </w:r>
      <w:hyperlink w:anchor="sec:levy">
        <w:r>
          <w:rPr>
            <w:rStyle w:val="Hyperlink"/>
          </w:rPr>
          <w:t xml:space="preserve">[sec:levy]</w:t>
        </w:r>
      </w:hyperlink>
      <w:r>
        <w:t xml:space="preserve">), la probabilidad de</w:t>
      </w:r>
      <w:r>
        <w:t xml:space="preserve"> </w:t>
      </w:r>
      <m:oMath>
        <m:r>
          <m:rPr>
            <m:sty m:val="p"/>
          </m:rPr>
          <m:t>∥</m:t>
        </m:r>
        <m:r>
          <m:t>α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decrece</w:t>
      </w:r>
      <w:r>
        <w:t xml:space="preserve"> </w:t>
      </w:r>
      <w:r>
        <w:t xml:space="preserve">exponencialmente en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En la implementación, el guardián</w:t>
      </w:r>
      <w:r>
        <w:t xml:space="preserve"> </w:t>
      </w:r>
      <w:r>
        <w:rPr>
          <w:rStyle w:val="VerbatimChar"/>
        </w:rPr>
        <w:t xml:space="preserve">FtzDazGuard</w:t>
      </w:r>
      <w:r>
        <w:t xml:space="preserve"> </w:t>
      </w:r>
      <w:r>
        <w:t xml:space="preserve">detecta</w:t>
      </w:r>
      <w:r>
        <w:t xml:space="preserve"> </w:t>
      </w:r>
      <m:oMath>
        <m:r>
          <m:rPr>
            <m:sty m:val="p"/>
          </m:rPr>
          <m:t>∥</m:t>
        </m:r>
        <m:r>
          <m:t>α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y aplica</w:t>
      </w:r>
      <w:r>
        <w:t xml:space="preserve"> </w:t>
      </w:r>
      <w:r>
        <w:t xml:space="preserve">la interpolación geodésica de respaldo: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cr m:val="monospace"/>
                  <m:sty m:val="p"/>
                </m:rPr>
                <m:t>MIX</m:t>
              </m:r>
            </m:e>
            <m:sub>
              <m:r>
                <m:rPr>
                  <m:nor/>
                  <m:sty m:val="p"/>
                </m:rPr>
                <m:t>safe</m:t>
              </m:r>
            </m:sub>
          </m:sSub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exp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den>
              </m:f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que es bien definida para todo par no-idéntico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(la geodésica es no-única solo en el caso exactamente antipodal,</w:t>
      </w:r>
      <w:r>
        <w:t xml:space="preserve"> </w:t>
      </w:r>
      <w:r>
        <w:t xml:space="preserve">que tiene medida cero).</w:t>
      </w:r>
    </w:p>
    <w:p>
      <w:pPr>
        <w:pStyle w:val="BodyText"/>
      </w:pPr>
      <w:r>
        <w:t xml:space="preserve">El operador FIXPOINT opera sobre la categoría ampliada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t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cuyos morfismos incluyen tanto las isometrías</w:t>
      </w:r>
      <w:r>
        <w:t xml:space="preserve"> </w:t>
      </w:r>
      <w:r>
        <w:t xml:space="preserve">de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</m:oMath>
      <w:r>
        <w:t xml:space="preserve"> </w:t>
      </w:r>
      <w:r>
        <w:t xml:space="preserve">como las aplicaciones</w:t>
      </w:r>
      <w:r>
        <w:t xml:space="preserve"> </w:t>
      </w:r>
      <w:r>
        <w:rPr>
          <w:i/>
          <w:iCs/>
        </w:rPr>
        <w:t xml:space="preserve">estrictamente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contractivas</w:t>
      </w:r>
      <w:r>
        <w:t xml:space="preserve"> </w:t>
      </w:r>
      <w:r>
        <w:t xml:space="preserve">sobre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geo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un morfismo de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t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 constante de Lipschitz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κ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Definimos: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FIXPOINT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,</m:t>
          </m:r>
          <m:r>
            <m:t>ϵ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≜</m:t>
          </m:r>
          <m:r>
            <m:t> 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φ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 la iteración se detiene cuando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S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t>φ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φ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Las isometrías de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</m:oMath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son contracciones y por lo tanto FIXPOINT no se les aplica.</w:t>
      </w:r>
      <w:r>
        <w:t xml:space="preserve"> </w:t>
      </w:r>
      <w:r>
        <w:t xml:space="preserve">Los operadores contractivos típicos en POLYDIM son las composiciones</w:t>
      </w:r>
      <w:r>
        <w:t xml:space="preserve"> </w:t>
      </w:r>
      <w:r>
        <w:t xml:space="preserve">de MIX con pesos desiguales (</w:t>
      </w:r>
      <m:oMath>
        <m:r>
          <m:t>α</m:t>
        </m:r>
        <m:r>
          <m:rPr>
            <m:sty m:val="p"/>
          </m:rPr>
          <m:t>≠</m:t>
        </m:r>
        <m:r>
          <m:t>β</m:t>
        </m:r>
      </m:oMath>
      <w:r>
        <w:t xml:space="preserve">), que inducen</w:t>
      </w:r>
      <w:r>
        <w:t xml:space="preserve"> </w:t>
      </w:r>
      <w:r>
        <w:t xml:space="preserve">contracciones naturales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Si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nor/>
            <m:sty m:val="p"/>
          </m:rPr>
          <m:t>Mor</m:t>
        </m:r>
        <m:r>
          <m:rPr>
            <m:sty m:val="p"/>
          </m:rPr>
          <m:t>(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)</m:t>
        </m:r>
      </m:oMath>
      <w:r>
        <w:t xml:space="preserve">, entonces</w:t>
      </w:r>
      <w:r>
        <w:t xml:space="preserve"> </w:t>
      </w:r>
      <m:oMath>
        <m:r>
          <m:rPr>
            <m:nor/>
            <m:scr m:val="monospace"/>
            <m:sty m:val="p"/>
          </m:rPr>
          <m:t>COMPOSE</m:t>
        </m:r>
        <m:r>
          <m:rPr>
            <m:sty m:val="p"/>
          </m:rPr>
          <m:t>(</m:t>
        </m:r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preserva la norma: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nor/>
              <m:scr m:val="monospace"/>
              <m:sty m:val="p"/>
            </m:rPr>
            <m:t>COMPOSE</m:t>
          </m:r>
          <m:r>
            <m:rPr>
              <m:sty m:val="p"/>
            </m:rPr>
            <m:t>(</m:t>
          </m:r>
          <m:sSub>
            <m:e>
              <m: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φ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T</m:t>
          </m:r>
          <m:r>
            <m:rPr>
              <m:sty m:val="p"/>
            </m:rPr>
            <m:t>∈</m:t>
          </m:r>
          <m:sSup>
            <m:e>
              <m:r>
                <m:t>S</m:t>
              </m:r>
            </m:e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Por definición de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preserva la norma: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Como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φ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también preserva la norma,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0◻ ◻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→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una contracción con constante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1</m:t>
        </m:r>
      </m:oMath>
      <w:r>
        <w:t xml:space="preserve">. Entonces:</w:t>
      </w:r>
    </w:p>
    <w:p>
      <w:pPr>
        <w:numPr>
          <w:ilvl w:val="0"/>
          <w:numId w:val="1005"/>
        </w:numPr>
      </w:pPr>
      <w:r>
        <w:t xml:space="preserve">Existe un único punto fijo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Para todo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φ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Convergencia geométrica: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S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sSup>
          <m:e>
            <m:r>
              <m:t>φ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κ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κ</m:t>
            </m:r>
          </m:den>
        </m:f>
        <m:r>
          <m:t> </m:t>
        </m:r>
        <m:sSub>
          <m:e>
            <m:r>
              <m:t>d</m:t>
            </m:r>
          </m:e>
          <m:sub>
            <m:sSup>
              <m:e>
                <m:r>
                  <m:t>S</m:t>
                </m:r>
              </m:e>
              <m:sup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φ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con la distancia geodésica es un espacio métrico completo y</w:t>
      </w:r>
      <w:r>
        <w:t xml:space="preserve"> </w:t>
      </w:r>
      <w:r>
        <w:t xml:space="preserve">compacto. Aplicamos el Teorema del Punto Fijo de Banach.</w:t>
      </w:r>
      <w:r>
        <w:t xml:space="preserve"> </w:t>
      </w:r>
      <w:r>
        <w:t xml:space="preserve">La cota se obtiene por la serie geométrica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κ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κ</m:t>
        </m:r>
        <m:r>
          <m:rPr>
            <m:sty m:val="p"/>
          </m:rPr>
          <m:t>)</m:t>
        </m:r>
      </m:oMath>
      <w:r>
        <w:t xml:space="preserve">. 0◻ ◻</w:t>
      </w:r>
    </w:p>
    <w:bookmarkEnd w:id="11"/>
    <w:bookmarkEnd w:id="12"/>
    <w:bookmarkStart w:id="13" w:name="Xa8368bd7e43b51bad0f94f3e6731f546866d4c2"/>
    <w:p>
      <w:pPr>
        <w:pStyle w:val="Heading2"/>
      </w:pPr>
      <w:r>
        <w:t xml:space="preserve">GEO_ID: La Identidad Homotópica y la Invarianza Anti-Deriva</w:t>
      </w:r>
    </w:p>
    <w:p>
      <w:pPr>
        <w:pStyle w:val="FirstParagraph"/>
      </w:pPr>
      <w:r>
        <w:t xml:space="preserve">Para rastrear la verdad y eliminar definitivamente las alucinaciones matemáticas, EinsofOS no recurre a</w:t>
      </w:r>
      <w:r>
        <w:t xml:space="preserve"> </w:t>
      </w:r>
      <w:r>
        <w:rPr>
          <w:i/>
          <w:iCs/>
        </w:rPr>
        <w:t xml:space="preserve">hashes</w:t>
      </w:r>
      <w:r>
        <w:t xml:space="preserve"> </w:t>
      </w:r>
      <w:r>
        <w:t xml:space="preserve">criptográficos convencionales estocásticos (como SHA-256), sino a</w:t>
      </w:r>
      <w:r>
        <w:t xml:space="preserve"> </w:t>
      </w:r>
      <w:r>
        <w:rPr>
          <w:b/>
          <w:bCs/>
        </w:rPr>
        <w:t xml:space="preserve">GEO_ID</w:t>
      </w:r>
      <w:r>
        <w:t xml:space="preserve">: la Identidad Homotópica.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GEO_ID(C, R)</w:t>
      </w:r>
      <w:r>
        <w:t xml:space="preserve"> </w:t>
      </w:r>
      <w:r>
        <w:t xml:space="preserve">es una tupla que ancla el estado del sistema: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0-esqueleto (Nodos):</w:t>
      </w:r>
      <w:r>
        <w:t xml:space="preserve"> </w:t>
      </w:r>
      <w:r>
        <w:t xml:space="preserve">Un punto anclado al Libro de Códigos Universal (Universal Codebook) dentro de la topología estática.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1-esqueleto (Rutas - path):</w:t>
      </w:r>
      <w:r>
        <w:t xml:space="preserve"> </w:t>
      </w:r>
      <w:r>
        <w:t xml:space="preserve">Asegura la equivalencia semántica, trazando la curva geodésica o vector desde el ancla hasta el tensor latente actual.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2-esqueleto (Superficie - surf):</w:t>
      </w:r>
      <w:r>
        <w:t xml:space="preserve"> </w:t>
      </w:r>
      <w:r>
        <w:t xml:space="preserve">Mantiene la coherencia superior. Si un agente computacional A y un agente B alcanzan el mismo estado subyacente a través de transformaciones categóricas diferentes, el 2-esqueleto demuestra homotopía: las dos rutas (1-esqueletos) pueden deformarse suavemente la una en la otra, demostrando que representan la</w:t>
      </w:r>
      <w:r>
        <w:t xml:space="preserve"> </w:t>
      </w:r>
      <w:r>
        <w:rPr>
          <w:b/>
          <w:bCs/>
        </w:rPr>
        <w:t xml:space="preserve">misma realidad matemática</w:t>
      </w:r>
      <w:r>
        <w:t xml:space="preserve">.</w:t>
      </w:r>
    </w:p>
    <w:p>
      <w:pPr>
        <w:pStyle w:val="FirstParagraph"/>
      </w:pPr>
      <w:r>
        <w:t xml:space="preserve">La preservación de</w:t>
      </w:r>
      <w:r>
        <w:t xml:space="preserve"> </w:t>
      </w:r>
      <w:r>
        <w:rPr>
          <w:rStyle w:val="VerbatimChar"/>
        </w:rPr>
        <w:t xml:space="preserve">GEO_ID</w:t>
      </w:r>
      <w:r>
        <w:t xml:space="preserve"> </w:t>
      </w:r>
      <w:r>
        <w:t xml:space="preserve">es el mecanismo intrínseco de hardware/software de POLYDIM para eliminar la deriva geométrica (hallucination drift) que destruye el razonamiento de múltiples pasos en LLMs puramente lingüísticos.</w:t>
      </w:r>
    </w:p>
    <w:bookmarkEnd w:id="13"/>
    <w:bookmarkStart w:id="14" w:name="X3aa698e572d6c4973eb5d9311218a2012684e15"/>
    <w:p>
      <w:pPr>
        <w:pStyle w:val="Heading2"/>
      </w:pPr>
      <w:r>
        <w:t xml:space="preserve">Arquitectura Simbólica Vectorial (VSA) en POLYDIM</w:t>
      </w:r>
    </w:p>
    <w:p>
      <w:pPr>
        <w:pStyle w:val="FirstParagraph"/>
      </w:pPr>
      <w:r>
        <w:t xml:space="preserve">La memoria latente dentro del bus PMTP no opera bajo direccionamiento posicional rígido clásico. Emplea los fundamentos del</w:t>
      </w:r>
      <w:r>
        <w:t xml:space="preserve"> </w:t>
      </w:r>
      <w:r>
        <w:rPr>
          <w:b/>
          <w:bCs/>
        </w:rPr>
        <w:t xml:space="preserve">VSA</w:t>
      </w:r>
      <w:r>
        <w:t xml:space="preserve"> </w:t>
      </w:r>
      <w:r>
        <w:t xml:space="preserve">(Vector Symbolic Architectures) donde el direccionamiento y la información se mezclan espacialmente.</w:t>
      </w:r>
      <w:r>
        <w:t xml:space="preserve"> </w:t>
      </w:r>
      <w:r>
        <w:t xml:space="preserve">En espacios</w:t>
      </w:r>
      <w:r>
        <w:t xml:space="preserve"> </w:t>
      </w:r>
      <m:oMath>
        <m:sSup>
          <m:e>
            <m:r>
              <m:t>R</m:t>
            </m:r>
          </m:e>
          <m:sup>
            <m:r>
              <m:t>10000</m:t>
            </m:r>
          </m:sup>
        </m:sSup>
      </m:oMath>
      <w:r>
        <w:t xml:space="preserve"> </w:t>
      </w:r>
      <w:r>
        <w:t xml:space="preserve">o mayores, dos vectores aleatorios son asintóticamente casi-ortogonales con probabilidad abrumadora (fenómeno de la maldición de la dimensión convertido en bendición). El operador</w:t>
      </w:r>
      <w:r>
        <w:t xml:space="preserve"> </w:t>
      </w:r>
      <w:r>
        <w:rPr>
          <w:rStyle w:val="VerbatimChar"/>
        </w:rPr>
        <w:t xml:space="preserve">MIX</w:t>
      </w:r>
      <w:r>
        <w:t xml:space="preserve"> </w:t>
      </w:r>
      <w:r>
        <w:t xml:space="preserve">emplea la superposición para sumar conocimiento de memoria en la matriz subyacente. El operador</w:t>
      </w:r>
      <w:r>
        <w:t xml:space="preserve"> </w:t>
      </w:r>
      <w:r>
        <w:rPr>
          <w:rStyle w:val="VerbatimChar"/>
        </w:rPr>
        <w:t xml:space="preserve">COMPOSE</w:t>
      </w:r>
      <w:r>
        <w:t xml:space="preserve"> </w:t>
      </w:r>
      <w:r>
        <w:t xml:space="preserve">realiza el enlace de roles y contenidos (Role-Content binding) vía rotaciones de Clifford. Todo punto latente de memoria en RAM se almacena como una tupla funcional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: Posición en el hipercubo (</w:t>
      </w:r>
      <m:oMath>
        <m:r>
          <m:t>V</m:t>
        </m:r>
      </m:oMath>
      <w:r>
        <w:t xml:space="preserve">), Diferenciación estructural dimensional (</w:t>
      </w:r>
      <m:oMath>
        <m:r>
          <m:t>D</m:t>
        </m:r>
      </m:oMath>
      <w:r>
        <w:t xml:space="preserve">) y función de Activación de energía (</w:t>
      </w:r>
      <m:oMath>
        <m:r>
          <m:t>A</m:t>
        </m:r>
      </m:oMath>
      <w:r>
        <w:t xml:space="preserve">).</w:t>
      </w:r>
    </w:p>
    <w:bookmarkEnd w:id="14"/>
    <w:bookmarkStart w:id="16" w:name="X4ce86098716b5b99b6cc812babf8cf59b8e929e"/>
    <w:p>
      <w:pPr>
        <w:pStyle w:val="Heading2"/>
      </w:pPr>
      <w:r>
        <w:t xml:space="preserve">CRDTs Geométricos y Concurrencia Pura Sin Bloqueos</w:t>
      </w:r>
    </w:p>
    <w:p>
      <w:pPr>
        <w:pStyle w:val="FirstParagraph"/>
      </w:pPr>
      <w:r>
        <w:t xml:space="preserve">Uno de los mayores problemas de la paralelización OS clásica es el</w:t>
      </w:r>
      <w:r>
        <w:t xml:space="preserve"> </w:t>
      </w:r>
      <w:r>
        <w:rPr>
          <w:i/>
          <w:iCs/>
        </w:rPr>
        <w:t xml:space="preserve">Data Race</w:t>
      </w:r>
      <w:r>
        <w:t xml:space="preserve"> </w:t>
      </w:r>
      <w:r>
        <w:t xml:space="preserve">y los Deadlocks, mitigados vía Mutexes (bloqueos mutuos). EinsofOS introduce la teoría matemática de</w:t>
      </w:r>
      <w:r>
        <w:t xml:space="preserve"> </w:t>
      </w:r>
      <w:r>
        <w:rPr>
          <w:b/>
          <w:bCs/>
        </w:rPr>
        <w:t xml:space="preserve">Geometric-CRDTs</w:t>
      </w:r>
      <w:r>
        <w:t xml:space="preserve"> </w:t>
      </w:r>
      <w:r>
        <w:t xml:space="preserve">(Conflict-free Replicated Data Types de orden superior).</w:t>
      </w:r>
    </w:p>
    <w:p>
      <w:pPr>
        <w:pStyle w:val="BodyText"/>
      </w:pPr>
      <w:r>
        <w:t xml:space="preserve">Si múltiples subagentes mutan la memoria de forma concurrente desde threads separados o nodos remotos, el kernel de EinsofOS no bloquea. Aplica la resolución matemática</w:t>
      </w:r>
      <w:r>
        <w:t xml:space="preserve"> </w:t>
      </w:r>
      <m:oMath>
        <m:r>
          <m:rPr>
            <m:nor/>
            <m:sty m:val="p"/>
          </m:rPr>
          <m:t>MIX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. Gracias a la casi-ortogonalidad del VSA, las modificaciones se superponen constructivamente sin interferencia destructiva asintótica. La convergencia matemática está garantizada y probada; la operación</w:t>
      </w:r>
      <w:r>
        <w:t xml:space="preserve"> </w:t>
      </w:r>
      <w:r>
        <w:rPr>
          <w:rStyle w:val="VerbatimChar"/>
        </w:rPr>
        <w:t xml:space="preserve">MIX</w:t>
      </w:r>
      <w:r>
        <w:t xml:space="preserve"> </w:t>
      </w:r>
      <w:r>
        <w:t xml:space="preserve">forma un semirretículo algebraico garantizando que la perturbación mantendrá invariante el punto fijo global de</w:t>
      </w:r>
      <w:r>
        <w:t xml:space="preserve"> </w:t>
      </w:r>
      <w:r>
        <w:rPr>
          <w:rStyle w:val="VerbatimChar"/>
        </w:rPr>
        <w:t xml:space="preserve">GEO_ID</w:t>
      </w:r>
      <w:r>
        <w:t xml:space="preserve">.</w:t>
      </w:r>
    </w:p>
    <w:bookmarkStart w:id="15" w:name="Xbdded3532eb5af4ddcad70e4ded97d4d94421bf"/>
    <w:p>
      <w:pPr>
        <w:pStyle w:val="Heading3"/>
      </w:pPr>
      <w:r>
        <w:t xml:space="preserve">El Ciclo Skill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Latent OS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Skill como Endofunctor</w:t>
      </w:r>
    </w:p>
    <w:p>
      <w:pPr>
        <w:pStyle w:val="FirstParagraph"/>
      </w:pPr>
      <w:r>
        <w:t xml:space="preserve">El flujo operativo de un agente en EinsofOS sigue el ciclo: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produce un tensor latente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lo inyecta</w:t>
      </w:r>
      <w:r>
        <w:t xml:space="preserve"> </w:t>
      </w:r>
      <w:r>
        <w:t xml:space="preserve">en el bus PMTP, y otro agente lo recupera para procesarlo con otra Skill.</w:t>
      </w:r>
    </w:p>
    <w:p>
      <w:pPr>
        <w:pStyle w:val="BodyText"/>
      </w:pPr>
      <w:r>
        <w:t xml:space="preserve">Una</w:t>
      </w:r>
      <w:r>
        <w:t xml:space="preserve"> </w:t>
      </w:r>
      <w:r>
        <w:rPr>
          <w:i/>
          <w:iCs/>
        </w:rPr>
        <w:t xml:space="preserve">Skill</w:t>
      </w:r>
      <w:r>
        <w:t xml:space="preserve"> </w:t>
      </w:r>
      <w:r>
        <w:t xml:space="preserve">es un endofunctor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: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  <m:r>
          <m:rPr>
            <m:sty m:val="p"/>
          </m:rPr>
          <m:t>→</m:t>
        </m:r>
        <m:r>
          <m:rPr>
            <m:sty m:val="bi"/>
          </m:rPr>
          <m:t>L</m:t>
        </m:r>
        <m:r>
          <m:rPr>
            <m:sty m:val="bi"/>
          </m:rPr>
          <m:t>a</m:t>
        </m:r>
        <m:r>
          <m:rPr>
            <m:sty m:val="bi"/>
          </m:rPr>
          <m:t>t</m:t>
        </m:r>
      </m:oMath>
      <w:r>
        <w:t xml:space="preserve"> </w:t>
      </w:r>
      <w:r>
        <w:t xml:space="preserve">que satisface la clausura: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para todo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El ciclo completo Skill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PMTP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Skill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es la composición: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B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cr m:val="monospace"/>
                  <m:sty m:val="p"/>
                </m:rPr>
                <m:t>PMTP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∘</m:t>
          </m:r>
          <m:r>
            <m:rPr>
              <m:nor/>
              <m:sty m:val="p"/>
            </m:rPr>
            <m:t>id</m:t>
          </m:r>
          <m:r>
            <m:rPr>
              <m:sty m:val="p"/>
            </m:rPr>
            <m:t>∘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donde usamos que</w:t>
      </w:r>
      <w:r>
        <w:t xml:space="preserve"> </w:t>
      </w:r>
      <m:oMath>
        <m:r>
          <m:rPr>
            <m:nor/>
            <m:scr m:val="monospace"/>
            <m:sty m:val="p"/>
          </m:rPr>
          <m:t>PMTP</m:t>
        </m:r>
        <m:r>
          <m:rPr>
            <m:sty m:val="p"/>
          </m:rPr>
          <m:t>=</m:t>
        </m:r>
        <m:r>
          <m:rPr>
            <m:nor/>
            <m:sty m:val="p"/>
          </m:rPr>
          <m:t>id</m:t>
        </m:r>
      </m:oMath>
      <w:r>
        <w:t xml:space="preserve"> </w:t>
      </w:r>
      <w:r>
        <w:t xml:space="preserve">por el</w:t>
      </w:r>
      <w:r>
        <w:t xml:space="preserve"> </w:t>
      </w:r>
      <w:r>
        <w:t xml:space="preserve">Teorema </w:t>
      </w:r>
      <w:hyperlink w:anchor="thm:pmtp_integrity">
        <w:r>
          <w:rPr>
            <w:rStyle w:val="Hyperlink"/>
          </w:rPr>
          <w:t xml:space="preserve">[thm:pmtp_integrity]</w:t>
        </w:r>
      </w:hyperlink>
      <w:r>
        <w:t xml:space="preserve"> </w:t>
      </w:r>
      <w:r>
        <w:t xml:space="preserve">(integridad bitwise).</w:t>
      </w:r>
    </w:p>
    <w:p>
      <w:pPr>
        <w:pStyle w:val="BodyText"/>
      </w:pPr>
      <w:r>
        <w:t xml:space="preserve">La ecuación</w:t>
      </w:r>
      <w:r>
        <w:t xml:space="preserve"> </w:t>
      </w:r>
      <m:oMath>
        <m:r>
          <m:rPr>
            <m:nor/>
            <m:scr m:val="monospace"/>
            <m:sty m:val="p"/>
          </m:rPr>
          <m:t>PMTP</m:t>
        </m:r>
        <m:r>
          <m:rPr>
            <m:sty m:val="p"/>
          </m:rPr>
          <m:t>=</m:t>
        </m:r>
        <m:r>
          <m:rPr>
            <m:nor/>
            <m:sty m:val="p"/>
          </m:rPr>
          <m:t>id</m:t>
        </m:r>
      </m:oMath>
      <w:r>
        <w:t xml:space="preserve"> </w:t>
      </w:r>
      <w:r>
        <w:t xml:space="preserve">es la formalización categórica</w:t>
      </w:r>
      <w:r>
        <w:t xml:space="preserve"> </w:t>
      </w:r>
      <w:r>
        <w:t xml:space="preserve">del argumento central de POLYDIM: el canal de comunicación PMTP es</w:t>
      </w:r>
      <w:r>
        <w:t xml:space="preserve"> </w:t>
      </w:r>
      <w:r>
        <w:rPr>
          <w:i/>
          <w:iCs/>
        </w:rPr>
        <w:t xml:space="preserve">transparente</w:t>
      </w:r>
      <w:r>
        <w:t xml:space="preserve"> </w:t>
      </w:r>
      <w:r>
        <w:t xml:space="preserve">— no introduce ningún morfismo adicional. La Skill</w:t>
      </w:r>
      <w:r>
        <w:t xml:space="preserve"> </w:t>
      </w:r>
      <w:r>
        <w:t xml:space="preserve">del agente receptor opera exactamente sobre el mismo objeto geométrico que</w:t>
      </w:r>
      <w:r>
        <w:t xml:space="preserve"> </w:t>
      </w:r>
      <w:r>
        <w:t xml:space="preserve">la Skill del emisor produjo. Contráste con el pipeline 1D, donde la</w:t>
      </w:r>
      <w:r>
        <w:t xml:space="preserve"> </w:t>
      </w:r>
      <w:r>
        <w:t xml:space="preserve">comunicación introduce al menos 3 morfismos no fieles (tokenización,</w:t>
      </w:r>
      <w:r>
        <w:t xml:space="preserve"> </w:t>
      </w:r>
      <w:r>
        <w:t xml:space="preserve">serialización, re-embedding).</w:t>
      </w:r>
    </w:p>
    <w:bookmarkEnd w:id="15"/>
    <w:bookmarkEnd w:id="16"/>
    <w:bookmarkStart w:id="17" w:name="X9e233984b3fd8a331ca3821f71197d4657b18c3"/>
    <w:p>
      <w:pPr>
        <w:pStyle w:val="Heading2"/>
      </w:pPr>
      <w:r>
        <w:t xml:space="preserve">Reservorio Estructurado vía Fast Walsh-Hadamard Transform (FWHT)</w:t>
      </w:r>
    </w:p>
    <w:p>
      <w:pPr>
        <w:pStyle w:val="FirstParagraph"/>
      </w:pPr>
      <w:r>
        <w:t xml:space="preserve">En la computación de reservorio continuo (LSM / Echo State Networks)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el mezclado ortogonal global mediante matrices densas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res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colapsa para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por el requerimiento de terabytes de memoria.</w:t>
      </w:r>
    </w:p>
    <w:p>
      <w:pPr>
        <w:pStyle w:val="BodyText"/>
      </w:pPr>
      <w:r>
        <w:t xml:space="preserve">La serie V812 formaliza la **Transformada Rápida de Walsh-Hadamard** (</w:t>
      </w:r>
      <w:r>
        <w:rPr>
          <w:i/>
          <w:iCs/>
        </w:rPr>
        <w:t xml:space="preserve">Fast Walsh-Hadamard Transform</w:t>
      </w:r>
      <w:r>
        <w:t xml:space="preserve">, FWHT) con modulación diagonal de Rademacher como endomorfismo ortogonal exacto: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 La matriz de Hadamard normalizada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satisface</w:t>
      </w:r>
      <w:r>
        <w:t xml:space="preserve"> </w:t>
      </w:r>
      <m:oMath>
        <m:sSubSup>
          <m:e>
            <m:r>
              <m:t>H</m:t>
            </m:r>
          </m:e>
          <m:sub>
            <m:r>
              <m:t>D</m:t>
            </m:r>
          </m:sub>
          <m:sup>
            <m:r>
              <m:t>T</m:t>
            </m:r>
          </m:sup>
        </m:sSubSup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. El operador de actualización del estado latente se define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Rad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cr m:val="monospace"/>
                  <m:sty m:val="p"/>
                </m:rPr>
                <m:t>FWHT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rPr>
                <m:sty m:val="bi"/>
              </m:rPr>
              <m:t>D</m:t>
            </m:r>
          </m:e>
          <m:sub>
            <m:r>
              <m:rPr>
                <m:nor/>
                <m:sty m:val="p"/>
              </m:rPr>
              <m:t>Rad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es una permutación de signos pseudo-aleatoria fijada al inicializar.</w:t>
      </w:r>
    </w:p>
    <w:p>
      <w:pPr>
        <w:pStyle w:val="BodyText"/>
      </w:pPr>
      <w:r>
        <w:t xml:space="preserve">El cómputo de</w:t>
      </w:r>
      <w:r>
        <w:t xml:space="preserve"> </w:t>
      </w:r>
      <m:oMath>
        <m:r>
          <m:rPr>
            <m:nor/>
            <m:scr m:val="monospace"/>
            <m:sty m:val="p"/>
          </m:rPr>
          <m:t>FWHT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requiere: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Cero Multiplicaciones:</w:t>
      </w:r>
      <w:r>
        <w:t xml:space="preserve"> </w:t>
      </w:r>
      <w:r>
        <w:t xml:space="preserve">Únicamente sumas y restas estructuradas en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operaciones aritméticas.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Memoria In-Place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Cero asignaciones dinámicas en el bucle crítico.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Preservación de Norma:</w:t>
      </w:r>
      <w:r>
        <w:t xml:space="preserve"> </w:t>
      </w:r>
      <m:oMath>
        <m:r>
          <m:rPr>
            <m:sty m:val="p"/>
          </m:rPr>
          <m:t>∥</m:t>
        </m:r>
        <m:r>
          <m:rPr>
            <m:nor/>
            <m:scr m:val="monospace"/>
            <m:sty m:val="p"/>
          </m:rPr>
          <m:t>FWHT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t>T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1.0000</m:t>
        </m:r>
      </m:oMath>
      <w:r>
        <w:t xml:space="preserve"> </w:t>
      </w:r>
      <w:r>
        <w:t xml:space="preserve">(isometría estricta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p>
      <w:pPr>
        <w:pStyle w:val="FirstParagraph"/>
      </w:pPr>
      <w:r>
        <w:t xml:space="preserve">En silicio real 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048</m:t>
        </m:r>
        <m:r>
          <m:rPr>
            <m:sty m:val="p"/>
          </m:rPr>
          <m:t>,</m:t>
        </m:r>
        <m:r>
          <m:t>576</m:t>
        </m:r>
      </m:oMath>
      <w:r>
        <w:t xml:space="preserve"> </w:t>
      </w:r>
      <w:r>
        <w:t xml:space="preserve">(</w:t>
      </w:r>
      <m:oMath>
        <m:sSup>
          <m:e>
            <m:r>
              <m:t>2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dimensiones), la transformación completa se ejecuta en **</w:t>
      </w:r>
      <m:oMath>
        <m:r>
          <m:t>0.02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** (Benchmark V812).</w:t>
      </w:r>
    </w:p>
    <w:bookmarkEnd w:id="17"/>
    <w:bookmarkStart w:id="18" w:name="Xfe05abfa219c5ab4b95c048fd758159c50232be"/>
    <w:p>
      <w:pPr>
        <w:pStyle w:val="Heading2"/>
      </w:pPr>
      <w:r>
        <w:t xml:space="preserve">El Contrato de Hardware de Producción (Fase 11)</w:t>
      </w:r>
    </w:p>
    <w:p>
      <w:pPr>
        <w:pStyle w:val="FirstParagraph"/>
      </w:pPr>
      <w:r>
        <w:t xml:space="preserve">EinsofOS dicta un estricto "Contrato de Hardware" de producción que el usuario o el clúster debe acatar para maximizar el ancho de banda del canal PMTP en D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Afinidad NUMA (Non-Uniform Memory Access):</w:t>
      </w:r>
      <w:r>
        <w:t xml:space="preserve"> </w:t>
      </w:r>
      <w:r>
        <w:t xml:space="preserve">La NIC (Network Interface Card) InfiniBand y los clústeres de GPUs (A100/H100)</w:t>
      </w:r>
      <w:r>
        <w:t xml:space="preserve"> </w:t>
      </w:r>
      <w:r>
        <w:rPr>
          <w:i/>
          <w:iCs/>
        </w:rPr>
        <w:t xml:space="preserve">deben</w:t>
      </w:r>
      <w:r>
        <w:t xml:space="preserve"> </w:t>
      </w:r>
      <w:r>
        <w:t xml:space="preserve">residir físicamente sobre el mismo complejo PCIe bajo un mismo nodo NUMA.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Ancho de Banda PCIe:</w:t>
      </w:r>
      <w:r>
        <w:t xml:space="preserve"> </w:t>
      </w:r>
      <w:r>
        <w:t xml:space="preserve">Tarjetas como ConnectX-6 (200 Gbps) se emparejan a dominios PCIe Gen4 x16 (252 Gbps), mientras que ConnectX-7 (400 Gbps) exigen Gen5 x16 (504 Gbps) para garantizar cero latencia de cuello de botella durante las transferencias RDMA.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GPUDirect RDMA:</w:t>
      </w:r>
      <w:r>
        <w:t xml:space="preserve"> </w:t>
      </w:r>
      <w:r>
        <w:t xml:space="preserve">Obligatorio para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 Los tensores deben transferirse directamente desde la memoria de video (VRAM) de la GPU en el nodo A hacia la VRAM de la GPU en el nodo B empleando hardware de red, eludiendo por completo la costosa interrupción de la CPU del sistema host y los búferes del sistema operativo convencional.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2026-09-28T19:51:29Z</dcterms:created>
  <dcterms:modified xsi:type="dcterms:W3CDTF">2026-09-28T19:51:29Z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