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9f19558e03bdf6d8473b501af809322eea9b4c"/>
    <w:p>
      <w:pPr>
        <w:pStyle w:val="Heading1"/>
      </w:pPr>
      <w:r>
        <w:t xml:space="preserve">Hardware HeterogÃ©neo: La Matriz de Despacho y el Contrato de Silicio</w:t>
      </w:r>
    </w:p>
    <w:p>
      <w:pPr>
        <w:pStyle w:val="FirstParagraph"/>
      </w:pPr>
      <w:r>
        <w:t xml:space="preserve">El desarrollo asintÃ³tico de POLYDIM para cardinalidades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impone un desafÃ</w:t>
      </w:r>
      <w:r>
        <w:softHyphen/>
      </w:r>
      <w:r>
        <w:t xml:space="preserve">o monumental en tÃ©rminos de ejecuciÃ³n fÃ</w:t>
      </w:r>
      <w:r>
        <w:softHyphen/>
      </w:r>
      <w:r>
        <w:t xml:space="preserve">sica. La presunciÃ³n fundamental de la programaciÃ³n cognitiva moderna radica en que el agente de Inteligencia Artificial debe operar nativamente en espacios de alta dimensiÃ³n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requiriendo un acoplamiento directo y sin fricciones con el hardware subyacente. Este capÃ</w:t>
      </w:r>
      <w:r>
        <w:softHyphen/>
      </w:r>
      <w:r>
        <w:t xml:space="preserve">tulo formaliza el</w:t>
      </w:r>
      <w:r>
        <w:t xml:space="preserve"> </w:t>
      </w:r>
      <w:r>
        <w:t xml:space="preserve">“Contrato de Silicio”</w:t>
      </w:r>
      <w:r>
        <w:t xml:space="preserve"> </w:t>
      </w:r>
      <w:r>
        <w:t xml:space="preserve">(Silicon Contract), una polÃ</w:t>
      </w:r>
      <w:r>
        <w:softHyphen/>
      </w:r>
      <w:r>
        <w:t xml:space="preserve">tica estricta de agnosticismio de hardware que prohÃ</w:t>
      </w:r>
      <w:r>
        <w:softHyphen/>
      </w:r>
      <w:r>
        <w:t xml:space="preserve">be el uso de constantes mÃ¡gicas y exige la interrogaciÃ³n dinÃ¡mica de la topologÃ</w:t>
      </w:r>
      <w:r>
        <w:softHyphen/>
      </w:r>
      <w:r>
        <w:t xml:space="preserve">a del sistema. A travÃ©s de la Matriz de Despacho, POLYDIM distribuye la carga computacional Ã³ptimamente entre procesadores x86-64, aceleradores GPU (NVIDIA CUDA, AMD ROCm), Google TPUs, arquitecturas de escala de oblea (Cerebras WSE-3) y computadoras cuÃ¡nticas (QPUs).</w:t>
      </w:r>
    </w:p>
    <w:bookmarkStart w:id="11" w:name="Xc4385469160328bd9f477c066c7173f98292cb9"/>
    <w:p>
      <w:pPr>
        <w:pStyle w:val="Heading2"/>
      </w:pPr>
      <w:r>
        <w:t xml:space="preserve">El Contrato de Silicio: Interrogar, No Asumir</w:t>
      </w:r>
    </w:p>
    <w:p>
      <w:pPr>
        <w:pStyle w:val="FirstParagraph"/>
      </w:pPr>
      <w:r>
        <w:t xml:space="preserve">El Contrato de Silicio es un principio fundacional de la arquitectura POLYDIM que dictamina que el software jamÃ¡s debe presuponer las especificaciones fÃ</w:t>
      </w:r>
      <w:r>
        <w:softHyphen/>
      </w:r>
      <w:r>
        <w:t xml:space="preserve">sicas de su entorno de ejecuciÃ³n. En sistemas de cÃ³mputo heterogÃ©neo y topologÃ</w:t>
      </w:r>
      <w:r>
        <w:softHyphen/>
      </w:r>
      <w:r>
        <w:t xml:space="preserve">as de enjambre de agentes, codificar rÃ</w:t>
      </w:r>
      <w:r>
        <w:softHyphen/>
      </w:r>
      <w:r>
        <w:t xml:space="preserve">gidamente (hardcode) parÃ¡metros como el tamaÃ±o de la pÃ¡gina de memoria, las lÃ</w:t>
      </w:r>
      <w:r>
        <w:softHyphen/>
      </w:r>
      <w:r>
        <w:t xml:space="preserve">neas de cachÃ©, la latencia de interconexiÃ³n o el ancho de los registros SIMD conduce indefectiblemente a fallos asintÃ³ticos catastrÃ³ficos o cuellos de botella de rendimiento no portables.</w:t>
      </w:r>
    </w:p>
    <w:bookmarkStart w:id="9" w:name="diseão-de-la-clase-hardwareprobe"/>
    <w:p>
      <w:pPr>
        <w:pStyle w:val="Heading3"/>
      </w:pPr>
      <w:r>
        <w:t xml:space="preserve">DiseÃ±o de la Clase HardwareProbe</w:t>
      </w:r>
    </w:p>
    <w:p>
      <w:pPr>
        <w:pStyle w:val="FirstParagraph"/>
      </w:pPr>
      <w:r>
        <w:t xml:space="preserve">Para materializar este contrato, hemos diseÃ±ado la clase</w:t>
      </w:r>
      <w:r>
        <w:t xml:space="preserve"> </w:t>
      </w:r>
      <w:r>
        <w:rPr>
          <w:rStyle w:val="VerbatimChar"/>
        </w:rPr>
        <w:t xml:space="preserve">HardwareProbe</w:t>
      </w:r>
      <w:r>
        <w:t xml:space="preserve">. Esta abstracciÃ³n actÃºa como el sismÃ³grafo principal del Orquestador, encargada de perfilar la topologÃ</w:t>
      </w:r>
      <w:r>
        <w:softHyphen/>
      </w:r>
      <w:r>
        <w:t xml:space="preserve">a del CPU, la RAM disponible y la presencia de aceleradores dedicados (CUDA, ROCm, TPU) en tiempo de ejecuciÃ³n.</w:t>
      </w:r>
    </w:p>
    <w:p>
      <w:pPr>
        <w:pStyle w:val="SourceCode"/>
      </w:pPr>
      <w:r>
        <w:rPr>
          <w:rStyle w:val="VerbatimChar"/>
        </w:rPr>
        <w:t xml:space="preserve">class HardwareProbe: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detect_topology() -&gt; Dict[str, Any]:</w:t>
      </w:r>
      <w:r>
        <w:br/>
      </w:r>
      <w:r>
        <w:rPr>
          <w:rStyle w:val="VerbatimChar"/>
        </w:rPr>
        <w:t xml:space="preserve">        topology = {</w:t>
      </w:r>
      <w:r>
        <w:br/>
      </w:r>
      <w:r>
        <w:rPr>
          <w:rStyle w:val="VerbatimChar"/>
        </w:rPr>
        <w:t xml:space="preserve">            "cpu_cores": os.cpu_count(),</w:t>
      </w:r>
      <w:r>
        <w:br/>
      </w:r>
      <w:r>
        <w:rPr>
          <w:rStyle w:val="VerbatimChar"/>
        </w:rPr>
        <w:t xml:space="preserve">            "ram_bytes": psutil.virtual_memory().total,</w:t>
      </w:r>
      <w:r>
        <w:br/>
      </w:r>
      <w:r>
        <w:rPr>
          <w:rStyle w:val="VerbatimChar"/>
        </w:rPr>
        <w:t xml:space="preserve">            "page_size": os.sysconf("SC_PAGE_SIZE") if hasattr(os, "sysconf") else 4096,</w:t>
      </w:r>
      <w:r>
        <w:br/>
      </w:r>
      <w:r>
        <w:rPr>
          <w:rStyle w:val="VerbatimChar"/>
        </w:rPr>
        <w:t xml:space="preserve">            "cuda_available": torch.cuda.is_available() if torch_installed else False,</w:t>
      </w:r>
      <w:r>
        <w:br/>
      </w:r>
      <w:r>
        <w:rPr>
          <w:rStyle w:val="VerbatimChar"/>
        </w:rPr>
        <w:t xml:space="preserve">            "rocm_available": torch.version.hip is not None if torch_installed else False,</w:t>
      </w:r>
      <w:r>
        <w:br/>
      </w:r>
      <w:r>
        <w:rPr>
          <w:rStyle w:val="VerbatimChar"/>
        </w:rPr>
        <w:t xml:space="preserve">            "tpu_available": check_tpu_presence(),</w:t>
      </w:r>
      <w:r>
        <w:br/>
      </w:r>
      <w:r>
        <w:rPr>
          <w:rStyle w:val="VerbatimChar"/>
        </w:rPr>
        <w:t xml:space="preserve">            "eps_float64": np.finfo(np.float64).eps,</w:t>
      </w:r>
      <w:r>
        <w:br/>
      </w:r>
      <w:r>
        <w:rPr>
          <w:rStyle w:val="VerbatimChar"/>
        </w:rPr>
        <w:t xml:space="preserve">            "arch_bits": 64 if sys.maxsize &gt; 2**32 else 32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topology</w:t>
      </w:r>
    </w:p>
    <w:bookmarkEnd w:id="9"/>
    <w:bookmarkStart w:id="10" w:name="anti-hardcoding-y-tolerancia-de-mãquina"/>
    <w:p>
      <w:pPr>
        <w:pStyle w:val="Heading3"/>
      </w:pPr>
      <w:r>
        <w:t xml:space="preserve">Anti-Hardcoding y Tolerancia de MÃ¡quina</w:t>
      </w:r>
    </w:p>
    <w:p>
      <w:pPr>
        <w:pStyle w:val="FirstParagraph"/>
      </w:pPr>
      <w:r>
        <w:t xml:space="preserve">El uso de constantes mÃ¡gicas como</w:t>
      </w:r>
      <w:r>
        <w:t xml:space="preserve"> </w:t>
      </w:r>
      <w:r>
        <w:rPr>
          <w:rStyle w:val="VerbatimChar"/>
        </w:rPr>
        <w:t xml:space="preserve">1e-8</w:t>
      </w:r>
      <w:r>
        <w:t xml:space="preserve"> </w:t>
      </w:r>
      <w:r>
        <w:t xml:space="preserve">para la tolerancia al error (Ã©psilon) estÃ¡ estrictamente prohibido. En su lugar, el algoritmo debe adaptarse a la precisiÃ³n del tipo de dato, consultando</w:t>
      </w:r>
      <w:r>
        <w:t xml:space="preserve"> </w:t>
      </w:r>
      <w:r>
        <w:rPr>
          <w:rStyle w:val="VerbatimChar"/>
        </w:rPr>
        <w:t xml:space="preserve">np.finfo(np.float64).eps</w:t>
      </w:r>
      <w:r>
        <w:t xml:space="preserve">. Del mismo modo, el tamaÃ±o de la pÃ¡gina (</w:t>
      </w:r>
      <w:r>
        <w:rPr>
          <w:rStyle w:val="VerbatimChar"/>
        </w:rPr>
        <w:t xml:space="preserve">os.sysconf(’SC_PAGE_SIZE’)</w:t>
      </w:r>
      <w:r>
        <w:t xml:space="preserve">) es vital para alinear los tensores compartidos en memoria (PMTP Zero-Copy IPC) y evitar el fenÃ³meno de</w:t>
      </w:r>
      <w:r>
        <w:t xml:space="preserve"> </w:t>
      </w:r>
      <w:r>
        <w:rPr>
          <w:i/>
          <w:iCs/>
        </w:rPr>
        <w:t xml:space="preserve">false sharing</w:t>
      </w:r>
      <w:r>
        <w:t xml:space="preserve"> </w:t>
      </w:r>
      <w:r>
        <w:t xml:space="preserve">o la fragmentaciÃ³n en el Translation Lookaside Buffer (TLB) cuando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. El tamaÃ±o de la arquitectura se determina empÃ</w:t>
      </w:r>
      <w:r>
        <w:softHyphen/>
      </w:r>
      <w:r>
        <w:t xml:space="preserve">ricamente consultando</w:t>
      </w:r>
      <w:r>
        <w:t xml:space="preserve"> </w:t>
      </w:r>
      <w:r>
        <w:rPr>
          <w:rStyle w:val="VerbatimChar"/>
        </w:rPr>
        <w:t xml:space="preserve">sys.maxsize</w:t>
      </w:r>
      <w:r>
        <w:t xml:space="preserve">.</w:t>
      </w:r>
    </w:p>
    <w:bookmarkEnd w:id="10"/>
    <w:bookmarkEnd w:id="11"/>
    <w:bookmarkStart w:id="14" w:name="X4e79b69f8eaba995533a0b865f3c993f80c4526"/>
    <w:p>
      <w:pPr>
        <w:pStyle w:val="Heading2"/>
      </w:pPr>
      <w:r>
        <w:t xml:space="preserve">Intel/AMD x86-64: La Plataforma de Referencia</w:t>
      </w:r>
    </w:p>
    <w:p>
      <w:pPr>
        <w:pStyle w:val="FirstParagraph"/>
      </w:pPr>
      <w:r>
        <w:t xml:space="preserve">La arquitectura x86-64 sigue siendo la plataforma de referencia ineludible y el ancla de estabilidad de POLYDIM. Garantiza el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absoluto en cualquier nodo del enjambre.</w:t>
      </w:r>
    </w:p>
    <w:bookmarkStart w:id="12" w:name="paralelismo-openmp-y-afinidad-de-hilos"/>
    <w:p>
      <w:pPr>
        <w:pStyle w:val="Heading3"/>
      </w:pPr>
      <w:r>
        <w:t xml:space="preserve">Paralelismo OpenMP y Afinidad de Hilos</w:t>
      </w:r>
    </w:p>
    <w:p>
      <w:pPr>
        <w:pStyle w:val="FirstParagraph"/>
      </w:pPr>
      <w:r>
        <w:t xml:space="preserve">La implementaciÃ³n en C++ aprovecha la paralelizaciÃ³n compartida mediante OpenMP (</w:t>
      </w:r>
      <w:r>
        <w:rPr>
          <w:rStyle w:val="VerbatimChar"/>
        </w:rPr>
        <w:t xml:space="preserve">#pragma omp parallel for simd</w:t>
      </w:r>
      <w:r>
        <w:t xml:space="preserve">). Se utiliza</w:t>
      </w:r>
      <w:r>
        <w:t xml:space="preserve"> </w:t>
      </w:r>
      <w:r>
        <w:rPr>
          <w:rStyle w:val="VerbatimChar"/>
        </w:rPr>
        <w:t xml:space="preserve">omp_get_max_threads()</w:t>
      </w:r>
      <w:r>
        <w:t xml:space="preserve"> </w:t>
      </w:r>
      <w:r>
        <w:t xml:space="preserve">para dimensionar estÃ¡ticamente las regiones paralelas, asegurando que la afinidad de hilos (thread affinity) estÃ© correctamente mapeada a la topologÃ</w:t>
      </w:r>
      <w:r>
        <w:softHyphen/>
      </w:r>
      <w:r>
        <w:t xml:space="preserve">a fÃ</w:t>
      </w:r>
      <w:r>
        <w:softHyphen/>
      </w:r>
      <w:r>
        <w:t xml:space="preserve">sica, minimizando la migraciÃ³n de hilos entre nÃºcleos, lo cual destruye la localidad espacial de los tensores.</w:t>
      </w:r>
    </w:p>
    <w:bookmarkEnd w:id="12"/>
    <w:bookmarkStart w:id="13" w:name="X14e1ea524df4d2a7d6f6b439757a7c4a7b153a9"/>
    <w:p>
      <w:pPr>
        <w:pStyle w:val="Heading3"/>
      </w:pPr>
      <w:r>
        <w:t xml:space="preserve">VectorizaciÃ³n AVX-512 y JerarquÃ</w:t>
      </w:r>
      <w:r>
        <w:softHyphen/>
      </w:r>
      <w:r>
        <w:t xml:space="preserve">a de CachÃ©</w:t>
      </w:r>
    </w:p>
    <w:p>
      <w:pPr>
        <w:pStyle w:val="FirstParagraph"/>
      </w:pPr>
      <w:r>
        <w:t xml:space="preserve">Los procesadores modernos soportan Advanced Vector Extensions (AVX-512), permitiendo el procesamiento simultÃ¡neo de 8 escalares de precisiÃ³n doble (</w:t>
      </w:r>
      <w:r>
        <w:rPr>
          <w:rStyle w:val="VerbatimChar"/>
        </w:rPr>
        <w:t xml:space="preserve">double</w:t>
      </w:r>
      <w:r>
        <w:t xml:space="preserve">) por registro SIMD. Mediante el uso juicioso del calificador</w:t>
      </w:r>
      <w:r>
        <w:t xml:space="preserve"> </w:t>
      </w:r>
      <w:r>
        <w:rPr>
          <w:rStyle w:val="VerbatimChar"/>
        </w:rPr>
        <w:t xml:space="preserve">__restrict__</w:t>
      </w:r>
      <w:r>
        <w:t xml:space="preserve">, indicamos al compilador (GCC 14) que los punteros no tienen solapamiento (aliasing), habilitando la autovectorizaciÃ³n agresiva.</w:t>
      </w:r>
    </w:p>
    <w:p>
      <w:pPr>
        <w:pStyle w:val="BodyText"/>
      </w:pPr>
      <w:r>
        <w:t xml:space="preserve">La jerarquÃ</w:t>
      </w:r>
      <w:r>
        <w:softHyphen/>
      </w:r>
      <w:r>
        <w:t xml:space="preserve">a de cachÃ© (L1 64KB, L2 512KB, L3 32MB) dicta la estrategia de reducciÃ³n. El algoritmo de suma compensada de Neumaier se divide en bloques (tiles) que caben perfectamente en L2, mitigando la latencia de DRAM.</w:t>
      </w:r>
      <w:r>
        <w:t xml:space="preserve"> </w:t>
      </w:r>
      <w:r>
        <w:t xml:space="preserve">Bajo estas optimizaciones, el tiempo de ejecuciÃ³n (</w:t>
      </w:r>
      <w:r>
        <w:rPr>
          <w:i/>
          <w:iCs/>
        </w:rPr>
        <w:t xml:space="preserve">Benchmark</w:t>
      </w:r>
      <w:r>
        <w:t xml:space="preserve">) 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alcanza los</w:t>
      </w:r>
      <w:r>
        <w:t xml:space="preserve"> </w:t>
      </w:r>
      <w:r>
        <w:rPr>
          <w:b/>
          <w:bCs/>
        </w:rPr>
        <w:t xml:space="preserve">35.06 ms</w:t>
      </w:r>
      <w:r>
        <w:t xml:space="preserve">, exhibiendo una escalabilidad lineal estricta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 Para entornos de Alta ComputaciÃ³n (HPC), se habilita el flag</w:t>
      </w:r>
      <w:r>
        <w:t xml:space="preserve"> </w:t>
      </w:r>
      <w:r>
        <w:rPr>
          <w:rStyle w:val="VerbatimChar"/>
        </w:rPr>
        <w:t xml:space="preserve">POLYDIM_ENABLE_FTZ</w:t>
      </w:r>
      <w:r>
        <w:t xml:space="preserve"> </w:t>
      </w:r>
      <w:r>
        <w:t xml:space="preserve">(Flush-To-Zero) para subnormales, evitando penalizaciones de microcÃ³digo en underflows.</w:t>
      </w:r>
    </w:p>
    <w:bookmarkEnd w:id="13"/>
    <w:bookmarkEnd w:id="14"/>
    <w:bookmarkStart w:id="16" w:name="X98d015292748733d19789f3c8d3217edea94ca1"/>
    <w:p>
      <w:pPr>
        <w:pStyle w:val="Heading2"/>
      </w:pPr>
      <w:r>
        <w:t xml:space="preserve">NVIDIA CUDA vÃ</w:t>
      </w:r>
      <w:r>
        <w:softHyphen/>
      </w:r>
      <w:r>
        <w:t xml:space="preserve">a Triton: AceleraciÃ³n Tensorial</w:t>
      </w:r>
    </w:p>
    <w:p>
      <w:pPr>
        <w:pStyle w:val="FirstParagraph"/>
      </w:pPr>
      <w:r>
        <w:t xml:space="preserve">Para trascender la limitaciÃ³n del ancho de banda de memoria principal del CPU, POLYDIM implementa nÃºcleos de GPU nativos utilizando Triton, un lenguaje incrustado en Python diseÃ±ado para escribir nÃºcleos (kernels) de GPU de alta eficiencia sin descender al nivel de PTX o CUDA C.</w:t>
      </w:r>
    </w:p>
    <w:bookmarkStart w:id="15" w:name="X6f9d15bb405a31479b3d3bf9e03425d9033f9d7"/>
    <w:p>
      <w:pPr>
        <w:pStyle w:val="Heading3"/>
      </w:pPr>
      <w:r>
        <w:t xml:space="preserve">Arquitectura polydim_triton_kernel_v764.py</w:t>
      </w:r>
    </w:p>
    <w:p>
      <w:pPr>
        <w:pStyle w:val="FirstParagraph"/>
      </w:pPr>
      <w:r>
        <w:t xml:space="preserve">El nÃºcleo se diseÃ±a con un</w:t>
      </w:r>
      <w:r>
        <w:t xml:space="preserve"> </w:t>
      </w:r>
      <w:r>
        <w:rPr>
          <w:rStyle w:val="VerbatimChar"/>
        </w:rPr>
        <w:t xml:space="preserve">BLOCK_SIZE</w:t>
      </w:r>
      <w:r>
        <w:t xml:space="preserve"> </w:t>
      </w:r>
      <w:r>
        <w:t xml:space="preserve">estÃ¡tico de 1024 elementos por bloque de hilos. Dado que las operaciones en la esfera unitaria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requieren normativas hiperdimensionales, se implementa una reducciÃ³n en bloques para Neumaier en precisiÃ³n FP64.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Carga con MÃ¡scaras:</w:t>
      </w:r>
      <w:r>
        <w:t xml:space="preserve"> </w:t>
      </w:r>
      <w:r>
        <w:t xml:space="preserve">Se utiliza</w:t>
      </w:r>
      <w:r>
        <w:t xml:space="preserve"> </w:t>
      </w:r>
      <w:r>
        <w:rPr>
          <w:rStyle w:val="VerbatimChar"/>
        </w:rPr>
        <w:t xml:space="preserve">tl.load</w:t>
      </w:r>
      <w:r>
        <w:t xml:space="preserve"> </w:t>
      </w:r>
      <w:r>
        <w:t xml:space="preserve">con una mÃ¡scara condicional para manejar con seguridad los bordes de tensores cuyas dimensiones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no son mÃºltiplos exactos del</w:t>
      </w:r>
      <w:r>
        <w:t xml:space="preserve"> </w:t>
      </w:r>
      <w:r>
        <w:rPr>
          <w:rStyle w:val="VerbatimChar"/>
        </w:rPr>
        <w:t xml:space="preserve">BLOCK_SIZE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ReducciÃ³n AtÃ³mica:</w:t>
      </w:r>
      <w:r>
        <w:t xml:space="preserve"> </w:t>
      </w:r>
      <w:r>
        <w:rPr>
          <w:rStyle w:val="VerbatimChar"/>
        </w:rPr>
        <w:t xml:space="preserve">tl.atomic_add</w:t>
      </w:r>
      <w:r>
        <w:t xml:space="preserve"> </w:t>
      </w:r>
      <w:r>
        <w:t xml:space="preserve">permite la reducciÃ³n cruzada de bloques de forma segura en memoria global (VRAM).</w:t>
      </w:r>
    </w:p>
    <w:p>
      <w:pPr>
        <w:pStyle w:val="FirstParagraph"/>
      </w:pPr>
      <w:r>
        <w:t xml:space="preserve">El tensor reside perpetuamente en la memoria de video (VRAM) mediante Direct DMA, eliminando el latido y el roundtrip al CPU. El perfil de latencia exhibe un costo fijo de lanzamiento del nÃºcleo (kernel launch) de</w:t>
      </w:r>
      <w:r>
        <w:t xml:space="preserve"> </w:t>
      </w:r>
      <m:oMath>
        <m:r>
          <m:rPr>
            <m:sty m:val="p"/>
          </m:rPr>
          <m:t>≈</m:t>
        </m:r>
        <m:r>
          <m:t>50</m:t>
        </m:r>
        <m:r>
          <m:t>μ</m:t>
        </m:r>
        <m:r>
          <m:t>s</m:t>
        </m:r>
      </m:oMath>
      <w:r>
        <w:t xml:space="preserve">. 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el benchmark alcanza</w:t>
      </w:r>
      <w:r>
        <w:t xml:space="preserve"> </w:t>
      </w:r>
      <w:r>
        <w:rPr>
          <w:b/>
          <w:bCs/>
        </w:rPr>
        <w:t xml:space="preserve">4.12 ms</w:t>
      </w:r>
      <w:r>
        <w:t xml:space="preserve">, representando una aceleraciÃ³n de 8.5x frente al CPU x86-64.</w:t>
      </w:r>
    </w:p>
    <w:bookmarkEnd w:id="15"/>
    <w:bookmarkEnd w:id="16"/>
    <w:bookmarkStart w:id="17" w:name="amd-rocm-hip-computaciã³n-heterogãnea"/>
    <w:p>
      <w:pPr>
        <w:pStyle w:val="Heading2"/>
      </w:pPr>
      <w:r>
        <w:t xml:space="preserve">AMD ROCm / HIP: ComputaciÃ³n HeterogÃ©nea</w:t>
      </w:r>
    </w:p>
    <w:p>
      <w:pPr>
        <w:pStyle w:val="FirstParagraph"/>
      </w:pPr>
      <w:r>
        <w:t xml:space="preserve">La interfaz HIP (Heterogeneous-compute Interface for Portability) permite que el nÃºcleo matemÃ¡tico abstracto de POLYDIM sea compilado en el formato binario HSACO (Hardware Abstraction Shader Compiler Object) nativo de AMD.</w:t>
      </w:r>
    </w:p>
    <w:p>
      <w:pPr>
        <w:pStyle w:val="BodyText"/>
      </w:pPr>
      <w:r>
        <w:t xml:space="preserve">La principal divergencia arquitectÃ³nica respecto a NVIDIA es la unidad mÃ</w:t>
      </w:r>
      <w:r>
        <w:softHyphen/>
      </w:r>
      <w:r>
        <w:t xml:space="preserve">nima de ejecuciÃ³n: AMD emplea un Wave64 de 64 hilos, en contraste con el Warp de 32 hilos de NVIDIA. Esto requiere un ajuste dinÃ¡mico en el</w:t>
      </w:r>
      <w:r>
        <w:t xml:space="preserve"> </w:t>
      </w:r>
      <w:r>
        <w:rPr>
          <w:i/>
          <w:iCs/>
        </w:rPr>
        <w:t xml:space="preserve">loop unrolling</w:t>
      </w:r>
      <w:r>
        <w:t xml:space="preserve"> </w:t>
      </w:r>
      <w:r>
        <w:t xml:space="preserve">y en el despachador de bloques de memoria compartida dentro del kernel.</w:t>
      </w:r>
      <w:r>
        <w:t xml:space="preserve"> </w:t>
      </w:r>
      <w:r>
        <w:t xml:space="preserve">A fecha de 2026, la polÃ</w:t>
      </w:r>
      <w:r>
        <w:softHyphen/>
      </w:r>
      <w:r>
        <w:t xml:space="preserve">tica oficial de POLYDIM restringe el uso de HIP a entornos Linux/Cloud, dada la histÃ³rica inestabilidad del soporte ROCm en sistemas Windows nativos.</w:t>
      </w:r>
      <w:r>
        <w:t xml:space="preserve"> </w:t>
      </w:r>
      <w:r>
        <w:t xml:space="preserve">Benchmark 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:</w:t>
      </w:r>
      <w:r>
        <w:t xml:space="preserve"> </w:t>
      </w:r>
      <w:r>
        <w:rPr>
          <w:b/>
          <w:bCs/>
        </w:rPr>
        <w:t xml:space="preserve">5.80 ms</w:t>
      </w:r>
      <w:r>
        <w:t xml:space="preserve">.</w:t>
      </w:r>
    </w:p>
    <w:bookmarkEnd w:id="17"/>
    <w:bookmarkStart w:id="18" w:name="X319e8bdda54687afcdcebb3a926e282920f3a52"/>
    <w:p>
      <w:pPr>
        <w:pStyle w:val="Heading2"/>
      </w:pPr>
      <w:r>
        <w:t xml:space="preserve">Google Cloud TPU: Ãlgebra Lineal Acelerada</w:t>
      </w:r>
    </w:p>
    <w:p>
      <w:pPr>
        <w:pStyle w:val="FirstParagraph"/>
      </w:pPr>
      <w:r>
        <w:t xml:space="preserve">Las Unidades de Procesamiento Tensorial (TPU) de Google, especÃ</w:t>
      </w:r>
      <w:r>
        <w:softHyphen/>
      </w:r>
      <w:r>
        <w:t xml:space="preserve">ficamente la generaciÃ³n v3-8, ofrecen una ventaja algorÃ</w:t>
      </w:r>
      <w:r>
        <w:softHyphen/>
      </w:r>
      <w:r>
        <w:t xml:space="preserve">tmica fundamental mediante su arquitectura de arreglo sistÃ³lico, que ejecuta multiplicaciones matriciales densas en tiempo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aprovechando un hardware espacial de tamaÃ±o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La integraciÃ³n se realiza a travÃ©s de XLA (Accelerated Linear Algebra) mediante el pipeline de compilaciÃ³n</w:t>
      </w:r>
      <w:r>
        <w:t xml:space="preserve"> </w:t>
      </w:r>
      <w:r>
        <w:rPr>
          <w:i/>
          <w:iCs/>
        </w:rPr>
        <w:t xml:space="preserve">Just-In-Time</w:t>
      </w:r>
      <w:r>
        <w:t xml:space="preserve"> </w:t>
      </w:r>
      <w:r>
        <w:t xml:space="preserve">(JIT) de JAX. Dado que la TPU opera nativamente en formato Bfloat16 (BF16), la precisiÃ³n FP64 de POLYDIM se emula por hardware/software, introduciendo un ligero overhead. Sin embargo, para proyecciones de Johnson-Lindenstrauss utilizando la Transformada RÃ¡pida de Walsh-Hadamard (FWHT), el procesamiento paralelo masivo es insuperable.</w:t>
      </w:r>
      <w:r>
        <w:t xml:space="preserve"> </w:t>
      </w:r>
      <w:r>
        <w:t xml:space="preserve">Benchmark 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en TPU v3-8:</w:t>
      </w:r>
      <w:r>
        <w:t xml:space="preserve"> </w:t>
      </w:r>
      <w:r>
        <w:rPr>
          <w:b/>
          <w:bCs/>
        </w:rPr>
        <w:t xml:space="preserve">2.30 ms</w:t>
      </w:r>
      <w:r>
        <w:t xml:space="preserve">.</w:t>
      </w:r>
    </w:p>
    <w:bookmarkEnd w:id="18"/>
    <w:bookmarkStart w:id="19" w:name="cerebras-wse-3-cs-3-el-sueão-polydim"/>
    <w:p>
      <w:pPr>
        <w:pStyle w:val="Heading2"/>
      </w:pPr>
      <w:r>
        <w:t xml:space="preserve">Cerebras WSE-3 (CS-3): El SueÃ±o POLYDIM</w:t>
      </w:r>
    </w:p>
    <w:p>
      <w:pPr>
        <w:pStyle w:val="FirstParagraph"/>
      </w:pPr>
      <w:r>
        <w:t xml:space="preserve">El Wafer-Scale Engine 3 (WSE-3) de Cerebras System redefine los lÃ</w:t>
      </w:r>
      <w:r>
        <w:softHyphen/>
      </w:r>
      <w:r>
        <w:t xml:space="preserve">mites fÃ</w:t>
      </w:r>
      <w:r>
        <w:softHyphen/>
      </w:r>
      <w:r>
        <w:t xml:space="preserve">sicos del hardware de IA. Con 4 billones de transistores, 900,000 nÃºcleos de IA y 44 GB de memoria SRAM directamente en el chip (on-chip), representa el Santo Grial para POLYDIM:</w:t>
      </w:r>
      <w:r>
        <w:t xml:space="preserve"> </w:t>
      </w:r>
      <w:r>
        <w:rPr>
          <w:b/>
          <w:bCs/>
        </w:rPr>
        <w:t xml:space="preserve">Cero Cuello de Botella de Memoria DRAM</w:t>
      </w:r>
      <w:r>
        <w:t xml:space="preserve">.</w:t>
      </w:r>
    </w:p>
    <w:p>
      <w:pPr>
        <w:pStyle w:val="BodyText"/>
      </w:pPr>
      <w:r>
        <w:t xml:space="preserve">En las arquitecturas de von Neumann tradicionales (CPU/GPU), mover los datos a la memoria externa consume Ã³rdenes de magnitud mÃ¡s energÃ</w:t>
      </w:r>
      <w:r>
        <w:softHyphen/>
      </w:r>
      <w:r>
        <w:t xml:space="preserve">a y tiempo que la operaciÃ³n aritmÃ©tica real. En WSE-3, toda la memoria es local, y la interconexiÃ³n de malla 2D permite una comunicaciÃ³n directa nÃºcleo-a-nÃºcleo sin pasar por buses perifÃ©ricos.</w:t>
      </w:r>
      <w:r>
        <w:t xml:space="preserve"> </w:t>
      </w:r>
      <w:r>
        <w:t xml:space="preserve">Implementado mediante el Cerebras Software Language (CSL), el benchmark pulveriza los registros con</w:t>
      </w:r>
      <w:r>
        <w:t xml:space="preserve"> </w:t>
      </w:r>
      <w:r>
        <w:rPr>
          <w:b/>
          <w:bCs/>
        </w:rPr>
        <w:t xml:space="preserve">0.85 ms</w:t>
      </w:r>
      <w:r>
        <w:t xml:space="preserve"> </w:t>
      </w:r>
      <w:r>
        <w:t xml:space="preserve">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convirtiÃ©ndolo en el nodo mÃ¡s rÃ¡pido de la Matriz de Despacho.</w:t>
      </w:r>
    </w:p>
    <w:bookmarkEnd w:id="19"/>
    <w:bookmarkStart w:id="20" w:name="qpu-unidades-de-procesamiento-cuãntico"/>
    <w:p>
      <w:pPr>
        <w:pStyle w:val="Heading2"/>
      </w:pPr>
      <w:r>
        <w:t xml:space="preserve">QPU (Unidades de Procesamiento CuÃ¡ntico)</w:t>
      </w:r>
    </w:p>
    <w:p>
      <w:pPr>
        <w:pStyle w:val="FirstParagraph"/>
      </w:pPr>
      <w:r>
        <w:t xml:space="preserve">El horizonte terminal del despliegue geomÃ©trico de POLYDIM son las computadoras cuÃ¡nticas basadas en compuertas universales (IBM Quantum, Rigetti, IonQ, Google Sycamore). El conjunto universal de compuertas Clifford+T permite compilar rotaciones en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 cualquier hardware QPU compatible.</w:t>
      </w:r>
    </w:p>
    <w:p>
      <w:pPr>
        <w:pStyle w:val="BodyText"/>
      </w:pPr>
      <w:r>
        <w:t xml:space="preserve">La principal restricciÃ³n actual es la coherencia cuÃ¡ntica, dictada por los tiempos lÃ</w:t>
      </w:r>
      <w:r>
        <w:softHyphen/>
      </w:r>
      <w:r>
        <w:t xml:space="preserve">mite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(relajaciÃ³n de amplitud) 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(desfase). AdemÃ¡s, modelar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estados requiere, como mÃ</w:t>
      </w:r>
      <w:r>
        <w:softHyphen/>
      </w:r>
      <w:r>
        <w:t xml:space="preserve">nimo teÃ³rico estricto, 20 qubits completamente lÃ³gicos y entrelazados (</w:t>
      </w:r>
      <m:oMath>
        <m:sSup>
          <m:e>
            <m:r>
              <m:t>2</m:t>
            </m:r>
          </m:e>
          <m:sup>
            <m:r>
              <m:t>20</m:t>
            </m:r>
          </m:sup>
        </m:sSup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). Para mitigar el ruido durante la deformaciÃ³n tensorial a travÃ©s del enjambre, se aplica el protocolo de</w:t>
      </w:r>
      <w:r>
        <w:t xml:space="preserve"> </w:t>
      </w:r>
      <w:r>
        <w:rPr>
          <w:i/>
          <w:iCs/>
        </w:rPr>
        <w:t xml:space="preserve">Clifford Twirling</w:t>
      </w:r>
      <w:r>
        <w:t xml:space="preserve">.</w:t>
      </w:r>
    </w:p>
    <w:bookmarkEnd w:id="20"/>
    <w:bookmarkStart w:id="21" w:name="la-matriz-de-despacho-asintã³tica"/>
    <w:p>
      <w:pPr>
        <w:pStyle w:val="Heading2"/>
      </w:pPr>
      <w:r>
        <w:t xml:space="preserve">La Matriz de Despacho AsintÃ³tica</w:t>
      </w:r>
    </w:p>
    <w:p>
      <w:pPr>
        <w:pStyle w:val="FirstParagraph"/>
      </w:pPr>
      <w:r>
        <w:t xml:space="preserve">A continuaciÃ³n, la tabla maestra de enrutamiento asintÃ³tico consolidada: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PrecisiÃ³n Nativa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Ventaja ArquitectÃ³nica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Latencia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Intel/AMD x86-64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OpenMP + AVX-512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35.06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Triton GPU JIT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FP64/FP32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 de banda HBM2e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AMD ROCm / 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HSACO (Linux)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FP64/FP32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Wave64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Cloud TPU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XLA (JAX)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 (FP64 emul.)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Arreglo SistÃ³lico 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Cerebras WSE-3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FP16/FP32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DRAM, 44GB SRAM en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QPU (Gate-based)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Clifford+T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Amplitud CuÃ¡ntica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SuperposiciÃ³n de 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Lim. Coherencia (T1/T2)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2026-09-28T19:51:31Z</dcterms:created>
  <dcterms:modified xsi:type="dcterms:W3CDTF">2026-09-28T19:51:31Z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