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3cec1d34a3f54db6ebe79d079b818abf463b64"/>
    <w:p>
      <w:pPr>
        <w:pStyle w:val="Heading1"/>
      </w:pPr>
      <w:r>
        <w:t xml:space="preserve">Las 10 Fases Certificadas: De la Teoría al Silicio</w:t>
      </w:r>
    </w:p>
    <w:bookmarkStart w:id="9" w:name="X920a4ee247339114f3f025f9aaa1614ca635194"/>
    <w:p>
      <w:pPr>
        <w:pStyle w:val="Heading2"/>
      </w:pPr>
      <w:r>
        <w:t xml:space="preserve">Introducción: Arquitectura y Evaluación Empírica</w:t>
      </w:r>
    </w:p>
    <w:p>
      <w:pPr>
        <w:pStyle w:val="FirstParagraph"/>
      </w:pPr>
      <w:r>
        <w:t xml:space="preserve">El paradigma subyacente de la Programación Cognitiva en el modelo de POLYDIM radica firmemente en el salto topológico desde el cuello de botella del procesamiento seriado a un motor geométrico asintótico. Las iteraciones comunicacionales estándar de la IA actual, encapsuladas en texto estático, JSON, y API endpoints, colapsan la geometría y la entropía del pensamiento latente (un fenómeno matemáticamente comprobado y regido por la Desigualdad del Procesamiento de Datos o DPI).</w:t>
      </w:r>
    </w:p>
    <w:p>
      <w:pPr>
        <w:pStyle w:val="BodyText"/>
      </w:pPr>
      <w:r>
        <w:t xml:space="preserve">La arquitectura expuesta aquí detalla sistemáticamente la instrumentación de 10 Fases de Integración Certificada. Es el recorrido metódico para arrancar el procesamiento desde los cimientos erróneos de 1D ("El Gusano 1D"), hacia un transporte geométrico nativo en tensores</w:t>
      </w:r>
      <w:r>
        <w:t xml:space="preserve"> </w:t>
      </w:r>
      <m:oMath>
        <m:sSup>
          <m:e>
            <m:r>
              <m:t>S</m:t>
            </m:r>
          </m:e>
          <m:sup>
            <m:r>
              <m:t>D</m:t>
            </m:r>
            <m:r>
              <m:rPr>
                <m:sty m:val="p"/>
              </m:rPr>
              <m:t>−</m:t>
            </m:r>
            <m:r>
              <m:t>1</m:t>
            </m:r>
          </m:sup>
        </m:sSup>
      </m:oMath>
      <w:r>
        <w:t xml:space="preserve"> </w:t>
      </w:r>
      <w:r>
        <w:t xml:space="preserve">en silicio puro. Cada fase representa un hito fundamental evaluado microscópica y asintóticamente.</w:t>
      </w:r>
    </w:p>
    <w:bookmarkEnd w:id="9"/>
    <w:bookmarkStart w:id="10" w:name="X5d87e69b35bf046accefde97a85d2a00b8f462a"/>
    <w:p>
      <w:pPr>
        <w:pStyle w:val="Heading2"/>
      </w:pPr>
      <w:r>
        <w:t xml:space="preserve">Fase 0: Medición de Deriva Base (Baseline Drift Measurement)</w:t>
      </w:r>
    </w:p>
    <w:p>
      <w:pPr>
        <w:pStyle w:val="FirstParagraph"/>
      </w:pPr>
      <w:r>
        <w:rPr>
          <w:b/>
          <w:bCs/>
        </w:rPr>
        <w:t xml:space="preserve">Objetivo Matemático:</w:t>
      </w:r>
      <w:r>
        <w:t xml:space="preserve"> </w:t>
      </w:r>
      <w:r>
        <w:t xml:space="preserve">Medir e identificar la desviación estocástica inherente al puente de hardware subyacente y los ecosistemas computacionales (CPU OpenMP, FPU IEEE-754) al computar la función identidad.</w:t>
      </w:r>
    </w:p>
    <w:p>
      <w:pPr>
        <w:pStyle w:val="BodyText"/>
      </w:pPr>
      <w:r>
        <w:rPr>
          <w:b/>
          <w:bCs/>
        </w:rPr>
        <w:t xml:space="preserve">Hito de Implementación:</w:t>
      </w:r>
      <w:r>
        <w:t xml:space="preserve"> </w:t>
      </w:r>
      <w:r>
        <w:t xml:space="preserve">El pipeline se instruyó a procesar la distancia isotrópica nula</w:t>
      </w:r>
      <w:r>
        <w:t xml:space="preserve"> </w:t>
      </w:r>
      <m:oMath>
        <m:d>
          <m:dPr>
            <m:begChr m:val="‖"/>
            <m:sepChr m:val=""/>
            <m:endChr m:val="‖"/>
            <m:grow/>
          </m:dPr>
          <m:e>
            <m:r>
              <m:t>x</m:t>
            </m:r>
            <m:r>
              <m:rPr>
                <m:sty m:val="p"/>
              </m:rPr>
              <m:t>−</m:t>
            </m:r>
            <m:r>
              <m:t>x</m:t>
            </m:r>
          </m:e>
        </m:d>
        <m:r>
          <m:rPr>
            <m:sty m:val="p"/>
          </m:rPr>
          <m:t>=</m:t>
        </m:r>
        <m:r>
          <m:t>0</m:t>
        </m:r>
      </m:oMath>
      <w:r>
        <w:t xml:space="preserve">. Analíticamente trivial, pero de extrema importancia en representaciones de punto flotante para delinear la barrera térmica y el error de cuantización inherente que propaga cualquier sistema con aritmética inestable.</w:t>
      </w:r>
    </w:p>
    <w:p>
      <w:pPr>
        <w:pStyle w:val="BodyText"/>
      </w:pPr>
      <w:r>
        <w:rPr>
          <w:b/>
          <w:bCs/>
        </w:rPr>
        <w:t xml:space="preserve">Certificación y Pruebas:</w:t>
      </w:r>
      <w:r>
        <w:t xml:space="preserve"> </w:t>
      </w:r>
      <w:r>
        <w:t xml:space="preserve">El sistema ejecutó los tests iterativos en un tensor distribuido normalmente para dimensionamientos masivos.</w:t>
      </w:r>
      <w:r>
        <w:t xml:space="preserve"> </w:t>
      </w:r>
      <w:r>
        <w:rPr>
          <w:b/>
          <w:bCs/>
        </w:rPr>
        <w:t xml:space="preserve">Resultado (fases.md):</w:t>
      </w:r>
      <w:r>
        <w:t xml:space="preserve"> </w:t>
      </w:r>
      <w:r>
        <w:rPr>
          <w:rStyle w:val="VerbatimChar"/>
        </w:rPr>
        <w:t xml:space="preserve">Drift Killing = 0.0</w:t>
      </w:r>
      <w:r>
        <w:t xml:space="preserve"> </w:t>
      </w:r>
      <w:r>
        <w:t xml:space="preserve">(exacto). Este resultado validó la desactivación de operaciones matemáticas de atajo (Fast-Math) en el host, confirmando la pureza de la resolución de fondo de fase térmica. (PASS).</w:t>
      </w:r>
    </w:p>
    <w:bookmarkEnd w:id="10"/>
    <w:bookmarkStart w:id="11" w:name="fase-1-normalización-en-sd-1"/>
    <w:p>
      <w:pPr>
        <w:pStyle w:val="Heading2"/>
      </w:pPr>
      <w:r>
        <w:t xml:space="preserve">Fase 1: Normalización en</w:t>
      </w:r>
      <w:r>
        <w:t xml:space="preserve"> </w:t>
      </w:r>
      <m:oMath>
        <m:sSup>
          <m:e>
            <m:r>
              <m:t>S</m:t>
            </m:r>
          </m:e>
          <m:sup>
            <m:r>
              <m:t>D</m:t>
            </m:r>
            <m:r>
              <m:rPr>
                <m:sty m:val="p"/>
              </m:rPr>
              <m:t>−</m:t>
            </m:r>
            <m:r>
              <m:t>1</m:t>
            </m:r>
          </m:sup>
        </m:sSup>
      </m:oMath>
    </w:p>
    <w:p>
      <w:pPr>
        <w:pStyle w:val="FirstParagraph"/>
      </w:pPr>
      <w:r>
        <w:rPr>
          <w:b/>
          <w:bCs/>
        </w:rPr>
        <w:t xml:space="preserve">Objetivo Matemático:</w:t>
      </w:r>
      <w:r>
        <w:t xml:space="preserve"> </w:t>
      </w:r>
      <w:r>
        <w:t xml:space="preserve">Proyectar asintóticamente un vector arbitrario</w:t>
      </w:r>
      <w:r>
        <w:t xml:space="preserve"> </w:t>
      </w:r>
      <m:oMath>
        <m:r>
          <m:t>x</m:t>
        </m:r>
        <m:r>
          <m:rPr>
            <m:sty m:val="p"/>
          </m:rPr>
          <m:t>∈</m:t>
        </m:r>
        <m:sSup>
          <m:e>
            <m:r>
              <m:rPr>
                <m:scr m:val="double-struck"/>
                <m:sty m:val="p"/>
              </m:rPr>
              <m:t>R</m:t>
            </m:r>
          </m:e>
          <m:sup>
            <m:r>
              <m:t>D</m:t>
            </m:r>
          </m:sup>
        </m:sSup>
        <m:r>
          <m:rPr>
            <m:sty m:val="p"/>
          </m:rPr>
          <m:t>\</m:t>
        </m:r>
        <m:r>
          <m:rPr>
            <m:sty m:val="p"/>
          </m:rPr>
          <m:t>{</m:t>
        </m:r>
        <m:r>
          <m:t>0</m:t>
        </m:r>
        <m:r>
          <m:rPr>
            <m:sty m:val="p"/>
          </m:rPr>
          <m:t>}</m:t>
        </m:r>
      </m:oMath>
      <w:r>
        <w:t xml:space="preserve"> </w:t>
      </w:r>
      <w:r>
        <w:t xml:space="preserve">directamente sobre la variedad Riemanniana (esfera unitaria de radio absoluto,</w:t>
      </w:r>
      <w:r>
        <w:t xml:space="preserve"> </w:t>
      </w:r>
      <m:oMath>
        <m:sSup>
          <m:e>
            <m:r>
              <m:t>S</m:t>
            </m:r>
          </m:e>
          <m:sup>
            <m:r>
              <m:t>D</m:t>
            </m:r>
            <m:r>
              <m:rPr>
                <m:sty m:val="p"/>
              </m:rPr>
              <m:t>−</m:t>
            </m:r>
            <m:r>
              <m:t>1</m:t>
            </m:r>
          </m:sup>
        </m:sSup>
      </m:oMath>
      <w:r>
        <w:t xml:space="preserve">) de manera que su norma resultante ostente</w:t>
      </w:r>
      <w:r>
        <w:t xml:space="preserve"> </w:t>
      </w:r>
      <m:oMath>
        <m:sSub>
          <m:e>
            <m:d>
              <m:dPr>
                <m:begChr m:val="‖"/>
                <m:sepChr m:val=""/>
                <m:endChr m:val="‖"/>
                <m:grow/>
              </m:dPr>
              <m:e>
                <m:r>
                  <m:t>x</m:t>
                </m:r>
              </m:e>
            </m:d>
          </m:e>
          <m:sub>
            <m:r>
              <m:t>2</m:t>
            </m:r>
          </m:sub>
        </m:sSub>
        <m:r>
          <m:rPr>
            <m:sty m:val="p"/>
          </m:rPr>
          <m:t>=</m:t>
        </m:r>
        <m:r>
          <m:t>1</m:t>
        </m:r>
      </m:oMath>
      <w:r>
        <w:t xml:space="preserve">.</w:t>
      </w:r>
    </w:p>
    <w:p>
      <w:pPr>
        <w:pStyle w:val="BodyText"/>
      </w:pPr>
      <w:r>
        <w:rPr>
          <w:b/>
          <w:bCs/>
        </w:rPr>
        <w:t xml:space="preserve">Hito de Implementación:</w:t>
      </w:r>
      <w:r>
        <w:t xml:space="preserve"> </w:t>
      </w:r>
      <w:r>
        <w:t xml:space="preserve">Acumulación asintóticamente estabilizada mediante Neumaier. El escalado geométrico</w:t>
      </w:r>
      <w:r>
        <w:t xml:space="preserve"> </w:t>
      </w:r>
      <m:oMath>
        <m:r>
          <m:t>x</m:t>
        </m:r>
        <m:r>
          <m:rPr>
            <m:sty m:val="p"/>
          </m:rPr>
          <m:t>/</m:t>
        </m:r>
        <m:sSub>
          <m:e>
            <m:d>
              <m:dPr>
                <m:begChr m:val="‖"/>
                <m:sepChr m:val=""/>
                <m:endChr m:val="‖"/>
                <m:grow/>
              </m:dPr>
              <m:e>
                <m:r>
                  <m:t>x</m:t>
                </m:r>
              </m:e>
            </m:d>
          </m:e>
          <m:sub>
            <m:r>
              <m:t>2</m:t>
            </m:r>
          </m:sub>
        </m:sSub>
      </m:oMath>
      <w:r>
        <w:t xml:space="preserve"> </w:t>
      </w:r>
      <w:r>
        <w:t xml:space="preserve">fue materializado para</w:t>
      </w:r>
      <w:r>
        <w:t xml:space="preserve"> </w:t>
      </w:r>
      <m:oMath>
        <m:r>
          <m:t>D</m:t>
        </m:r>
        <m:r>
          <m:rPr>
            <m:sty m:val="p"/>
          </m:rPr>
          <m:t>=</m:t>
        </m:r>
        <m:sSup>
          <m:e>
            <m:r>
              <m:t>10</m:t>
            </m:r>
          </m:e>
          <m:sup>
            <m:r>
              <m:t>6</m:t>
            </m:r>
          </m:sup>
        </m:sSup>
      </m:oMath>
      <w:r>
        <w:t xml:space="preserve">.</w:t>
      </w:r>
    </w:p>
    <w:p>
      <w:pPr>
        <w:pStyle w:val="BodyText"/>
      </w:pPr>
      <w:r>
        <w:rPr>
          <w:b/>
          <w:bCs/>
        </w:rPr>
        <w:t xml:space="preserve">Certificación y Pruebas:</w:t>
      </w:r>
      <w:r>
        <w:t xml:space="preserve"> </w:t>
      </w:r>
      <w:r>
        <w:t xml:space="preserve">La norma proyectada debe sujetarse a la Cota Analítica de Higham:</w:t>
      </w:r>
    </w:p>
    <w:p>
      <w:pPr>
        <w:pStyle w:val="BodyText"/>
      </w:pPr>
      <m:oMathPara>
        <m:oMathParaPr>
          <m:jc m:val="center"/>
        </m:oMathParaPr>
        <m:oMath>
          <m:r>
            <m:rPr>
              <m:sty m:val="p"/>
            </m:rPr>
            <m:t>|</m:t>
          </m:r>
          <m:sSub>
            <m:e>
              <m:acc>
                <m:accPr>
                  <m:chr m:val="̂"/>
                </m:accPr>
                <m:e>
                  <m:d>
                    <m:dPr>
                      <m:begChr m:val="‖"/>
                      <m:sepChr m:val=""/>
                      <m:endChr m:val="‖"/>
                      <m:grow/>
                    </m:dPr>
                    <m:e>
                      <m:r>
                        <m:t>x</m:t>
                      </m:r>
                    </m:e>
                  </m:d>
                </m:e>
              </m:acc>
            </m:e>
            <m:sub>
              <m:r>
                <m:t>2</m:t>
              </m:r>
            </m:sub>
          </m:sSub>
          <m:r>
            <m:rPr>
              <m:sty m:val="p"/>
            </m:rPr>
            <m:t>−</m:t>
          </m:r>
          <m:r>
            <m:t>1</m:t>
          </m:r>
          <m:r>
            <m:rPr>
              <m:sty m:val="p"/>
            </m:rPr>
            <m:t>|</m:t>
          </m:r>
          <m:r>
            <m:rPr>
              <m:sty m:val="p"/>
            </m:rPr>
            <m:t>≤</m:t>
          </m:r>
          <m:r>
            <m:t>2</m:t>
          </m:r>
          <m:r>
            <m:t>D</m:t>
          </m:r>
          <m:sSub>
            <m:e>
              <m:r>
                <m:t>ε</m:t>
              </m:r>
            </m:e>
            <m:sub>
              <m:r>
                <m:rPr>
                  <m:nor/>
                  <m:sty m:val="p"/>
                </m:rPr>
                <m:t>mach</m:t>
              </m:r>
            </m:sub>
          </m:sSub>
        </m:oMath>
      </m:oMathPara>
    </w:p>
    <w:p>
      <w:pPr>
        <w:pStyle w:val="FirstParagraph"/>
      </w:pPr>
      <w:r>
        <w:rPr>
          <w:b/>
          <w:bCs/>
        </w:rPr>
        <w:t xml:space="preserve">Resultado (fases.md):</w:t>
      </w:r>
      <w:r>
        <w:t xml:space="preserve"> </w:t>
      </w:r>
      <w:r>
        <w:t xml:space="preserve">En cada sub-batch evaluado, la validación confirmó la precisión estricta hasta el límite de la tolerancia epsilon, proveyendo al sistema matemático su sustento de magnitud. (PASS).</w:t>
      </w:r>
    </w:p>
    <w:bookmarkEnd w:id="11"/>
    <w:bookmarkStart w:id="12" w:name="fase-2-rotación-geodésica-de-rodrigues"/>
    <w:p>
      <w:pPr>
        <w:pStyle w:val="Heading2"/>
      </w:pPr>
      <w:r>
        <w:t xml:space="preserve">Fase 2: Rotación Geodésica de Rodrigues</w:t>
      </w:r>
    </w:p>
    <w:p>
      <w:pPr>
        <w:pStyle w:val="FirstParagraph"/>
      </w:pPr>
      <w:r>
        <w:rPr>
          <w:b/>
          <w:bCs/>
        </w:rPr>
        <w:t xml:space="preserve">Objetivo Matemático:</w:t>
      </w:r>
      <w:r>
        <w:t xml:space="preserve"> </w:t>
      </w:r>
      <w:r>
        <w:t xml:space="preserve">Transporte continuo a lo largo del múltiple sin acumular divergencia. Trasladar un punto</w:t>
      </w:r>
      <w:r>
        <w:t xml:space="preserve"> </w:t>
      </w:r>
      <m:oMath>
        <m:r>
          <m:t>x</m:t>
        </m:r>
        <m:r>
          <m:rPr>
            <m:sty m:val="p"/>
          </m:rPr>
          <m:t>∈</m:t>
        </m:r>
        <m:sSup>
          <m:e>
            <m:r>
              <m:t>S</m:t>
            </m:r>
          </m:e>
          <m:sup>
            <m:r>
              <m:t>D</m:t>
            </m:r>
            <m:r>
              <m:rPr>
                <m:sty m:val="p"/>
              </m:rPr>
              <m:t>−</m:t>
            </m:r>
            <m:r>
              <m:t>1</m:t>
            </m:r>
          </m:sup>
        </m:sSup>
      </m:oMath>
      <w:r>
        <w:t xml:space="preserve"> </w:t>
      </w:r>
      <w:r>
        <w:t xml:space="preserve">a lo largo de un plano abarcado por</w:t>
      </w:r>
      <w:r>
        <w:t xml:space="preserve"> </w:t>
      </w:r>
      <m:oMath>
        <m:r>
          <m:rPr>
            <m:sty m:val="p"/>
          </m:rPr>
          <m:t>{</m:t>
        </m:r>
        <m:r>
          <m:t>u</m:t>
        </m:r>
        <m:r>
          <m:rPr>
            <m:sty m:val="p"/>
          </m:rPr>
          <m:t>,</m:t>
        </m:r>
        <m:r>
          <m:t>v</m:t>
        </m:r>
        <m:r>
          <m:rPr>
            <m:sty m:val="p"/>
          </m:rPr>
          <m:t>}</m:t>
        </m:r>
      </m:oMath>
      <w:r>
        <w:t xml:space="preserve">, definiendo la rotación de Rodrigues pura de ángulo</w:t>
      </w:r>
      <w:r>
        <w:t xml:space="preserve"> </w:t>
      </w:r>
      <m:oMath>
        <m:r>
          <m:t>θ</m:t>
        </m:r>
      </m:oMath>
      <w:r>
        <w:t xml:space="preserve"> </w:t>
      </w:r>
      <w:r>
        <w:t xml:space="preserve">constante.</w:t>
      </w:r>
    </w:p>
    <w:p>
      <w:pPr>
        <w:pStyle w:val="BodyText"/>
      </w:pPr>
      <w:r>
        <w:rPr>
          <w:b/>
          <w:bCs/>
        </w:rPr>
        <w:t xml:space="preserve">Hito de Implementación:</w:t>
      </w:r>
      <w:r>
        <w:t xml:space="preserve"> </w:t>
      </w:r>
      <w:r>
        <w:t xml:space="preserve">Eliminación de la instanciación de la matriz ortogonal de rotación de tamaño</w:t>
      </w:r>
      <w:r>
        <w:t xml:space="preserve"> </w:t>
      </w:r>
      <m:oMath>
        <m:r>
          <m:rPr>
            <m:scr m:val="script"/>
            <m:sty m:val="p"/>
          </m:rPr>
          <m:t>O</m:t>
        </m:r>
        <m:r>
          <m:rPr>
            <m:sty m:val="p"/>
          </m:rPr>
          <m:t>(</m:t>
        </m:r>
        <m:sSup>
          <m:e>
            <m:r>
              <m:t>D</m:t>
            </m:r>
          </m:e>
          <m:sup>
            <m:r>
              <m:t>2</m:t>
            </m:r>
          </m:sup>
        </m:sSup>
        <m:r>
          <m:rPr>
            <m:sty m:val="p"/>
          </m:rPr>
          <m:t>)</m:t>
        </m:r>
      </m:oMath>
      <w:r>
        <w:t xml:space="preserve"> </w:t>
      </w:r>
      <w:r>
        <w:t xml:space="preserve">a favor de la proyección matricial de forma cerrada libre en memoria, vital para tensores de varios millones de dimensiones.</w:t>
      </w:r>
    </w:p>
    <w:p>
      <w:pPr>
        <w:pStyle w:val="BodyText"/>
      </w:pPr>
      <w:r>
        <w:rPr>
          <w:b/>
          <w:bCs/>
        </w:rPr>
        <w:t xml:space="preserve">Certificación y Pruebas:</w:t>
      </w:r>
      <w:r>
        <w:t xml:space="preserve"> </w:t>
      </w:r>
      <w:r>
        <w:t xml:space="preserve">La norma debe preservarse íntegra e inmutada tras múltiples giros con varianza angular.</w:t>
      </w:r>
      <w:r>
        <w:t xml:space="preserve"> </w:t>
      </w:r>
      <w:r>
        <w:rPr>
          <w:b/>
          <w:bCs/>
        </w:rPr>
        <w:t xml:space="preserve">Resultado (fases.md):</w:t>
      </w:r>
      <w:r>
        <w:t xml:space="preserve"> </w:t>
      </w:r>
      <w:r>
        <w:t xml:space="preserve">Operacional a</w:t>
      </w:r>
      <w:r>
        <w:t xml:space="preserve"> </w:t>
      </w:r>
      <m:oMath>
        <m:r>
          <m:t>35.06</m:t>
        </m:r>
      </m:oMath>
      <w:r>
        <w:t xml:space="preserve"> </w:t>
      </w:r>
      <w:r>
        <w:t xml:space="preserve">ms (</w:t>
      </w:r>
      <m:oMath>
        <m:r>
          <m:t>D</m:t>
        </m:r>
        <m:r>
          <m:rPr>
            <m:sty m:val="p"/>
          </m:rPr>
          <m:t>=</m:t>
        </m:r>
        <m:sSup>
          <m:e>
            <m:r>
              <m:t>10</m:t>
            </m:r>
          </m:e>
          <m:sup>
            <m:r>
              <m:t>6</m:t>
            </m:r>
          </m:sup>
        </m:sSup>
      </m:oMath>
      <w:r>
        <w:t xml:space="preserve">). La deriva geométrica (Drift) se ubicó abismalmente bajo en</w:t>
      </w:r>
      <w:r>
        <w:t xml:space="preserve"> </w:t>
      </w:r>
      <m:oMath>
        <m:r>
          <m:t>4.44</m:t>
        </m:r>
        <m:r>
          <m:rPr>
            <m:sty m:val="p"/>
          </m:rPr>
          <m:t>×</m:t>
        </m:r>
        <m:sSup>
          <m:e>
            <m:r>
              <m:t>10</m:t>
            </m:r>
          </m:e>
          <m:sup>
            <m:r>
              <m:rPr>
                <m:sty m:val="p"/>
              </m:rPr>
              <m:t>−</m:t>
            </m:r>
            <m:r>
              <m:t>16</m:t>
            </m:r>
          </m:sup>
        </m:sSup>
      </m:oMath>
      <w:r>
        <w:t xml:space="preserve">, garantizando el éxito del transporte paralelo isotrópico. (PASS).</w:t>
      </w:r>
    </w:p>
    <w:bookmarkEnd w:id="12"/>
    <w:bookmarkStart w:id="13" w:name="fase-3-zero-copy-ipc-pmtp"/>
    <w:p>
      <w:pPr>
        <w:pStyle w:val="Heading2"/>
      </w:pPr>
      <w:r>
        <w:t xml:space="preserve">Fase 3: Zero-Copy IPC PMTP</w:t>
      </w:r>
    </w:p>
    <w:p>
      <w:pPr>
        <w:pStyle w:val="FirstParagraph"/>
      </w:pPr>
      <w:r>
        <w:rPr>
          <w:b/>
          <w:bCs/>
        </w:rPr>
        <w:t xml:space="preserve">Objetivo Matemático:</w:t>
      </w:r>
      <w:r>
        <w:t xml:space="preserve"> </w:t>
      </w:r>
      <w:r>
        <w:t xml:space="preserve">Trascender el cuello de botella tradicional al interconectar dos nodos separados, transmitiendo latentes crudos bidireccionalmente sin someterlos a colapso DPI representacional (Serialización JSON).</w:t>
      </w:r>
    </w:p>
    <w:p>
      <w:pPr>
        <w:pStyle w:val="BodyText"/>
      </w:pPr>
      <w:r>
        <w:rPr>
          <w:b/>
          <w:bCs/>
        </w:rPr>
        <w:t xml:space="preserve">Hito de Implementación:</w:t>
      </w:r>
      <w:r>
        <w:t xml:space="preserve"> </w:t>
      </w:r>
      <w:r>
        <w:t xml:space="preserve">Uso puro de Memoria Compartida Directa (Direct Shared Memory Mmap) para mapear memoria entre procesos independientes, definiendo el núcleo de comunicación del PMTP.</w:t>
      </w:r>
    </w:p>
    <w:p>
      <w:pPr>
        <w:pStyle w:val="BodyText"/>
      </w:pPr>
      <w:r>
        <w:rPr>
          <w:b/>
          <w:bCs/>
        </w:rPr>
        <w:t xml:space="preserve">Certificación y Pruebas:</w:t>
      </w:r>
      <w:r>
        <w:t xml:space="preserve"> </w:t>
      </w:r>
      <w:r>
        <w:t xml:space="preserve">Comparación directa de transcodificación de red evaluando una tasa de error bit a bit (Max Bit Difference).</w:t>
      </w:r>
      <w:r>
        <w:t xml:space="preserve"> </w:t>
      </w:r>
      <w:r>
        <w:rPr>
          <w:b/>
          <w:bCs/>
        </w:rPr>
        <w:t xml:space="preserve">Resultado (fases.md):</w:t>
      </w:r>
      <w:r>
        <w:t xml:space="preserve"> </w:t>
      </w:r>
      <w:r>
        <w:t xml:space="preserve">La latencia de respuesta o round-trip time midió excepcionales</w:t>
      </w:r>
      <w:r>
        <w:t xml:space="preserve"> </w:t>
      </w:r>
      <m:oMath>
        <m:r>
          <m:t>10.69</m:t>
        </m:r>
      </m:oMath>
      <w:r>
        <w:t xml:space="preserve"> </w:t>
      </w:r>
      <w:r>
        <w:t xml:space="preserve">ms al lidiar con tensores masivos (</w:t>
      </w:r>
      <m:oMath>
        <m:r>
          <m:t>8</m:t>
        </m:r>
      </m:oMath>
      <w:r>
        <w:t xml:space="preserve"> </w:t>
      </w:r>
      <w:r>
        <w:t xml:space="preserve">MB,</w:t>
      </w:r>
      <w:r>
        <w:t xml:space="preserve"> </w:t>
      </w:r>
      <m:oMath>
        <m:r>
          <m:t>D</m:t>
        </m:r>
        <m:r>
          <m:rPr>
            <m:sty m:val="p"/>
          </m:rPr>
          <m:t>=</m:t>
        </m:r>
        <m:sSup>
          <m:e>
            <m:r>
              <m:t>10</m:t>
            </m:r>
          </m:e>
          <m:sup>
            <m:r>
              <m:t>6</m:t>
            </m:r>
          </m:sup>
        </m:sSup>
      </m:oMath>
      <w:r>
        <w:t xml:space="preserve">). Diferencia de bits = 0 (exacto). (PASS).</w:t>
      </w:r>
    </w:p>
    <w:bookmarkEnd w:id="13"/>
    <w:bookmarkStart w:id="14" w:name="fase-4-retracción-stiefel-cayley-smw"/>
    <w:p>
      <w:pPr>
        <w:pStyle w:val="Heading2"/>
      </w:pPr>
      <w:r>
        <w:t xml:space="preserve">Fase 4: Retracción Stiefel Cayley-SMW</w:t>
      </w:r>
    </w:p>
    <w:p>
      <w:pPr>
        <w:pStyle w:val="FirstParagraph"/>
      </w:pPr>
      <w:r>
        <w:rPr>
          <w:b/>
          <w:bCs/>
        </w:rPr>
        <w:t xml:space="preserve">Objetivo Matemático:</w:t>
      </w:r>
      <w:r>
        <w:t xml:space="preserve"> </w:t>
      </w:r>
      <w:r>
        <w:t xml:space="preserve">Preservar la ortonormalidad estricta para n-tuplas de vectores sobre la variedad de Stiefel</w:t>
      </w:r>
      <w:r>
        <w:t xml:space="preserve"> </w:t>
      </w:r>
      <m:oMath>
        <m:r>
          <m:t>S</m:t>
        </m:r>
        <m:r>
          <m:t>t</m:t>
        </m:r>
        <m:r>
          <m:rPr>
            <m:sty m:val="p"/>
          </m:rPr>
          <m:t>(</m:t>
        </m:r>
        <m:r>
          <m:t>D</m:t>
        </m:r>
        <m:r>
          <m:rPr>
            <m:sty m:val="p"/>
          </m:rPr>
          <m:t>,</m:t>
        </m:r>
        <m:r>
          <m:t>K</m:t>
        </m:r>
        <m:r>
          <m:rPr>
            <m:sty m:val="p"/>
          </m:rPr>
          <m:t>)</m:t>
        </m:r>
        <m:r>
          <m:rPr>
            <m:sty m:val="p"/>
          </m:rPr>
          <m:t>=</m:t>
        </m:r>
        <m:r>
          <m:rPr>
            <m:sty m:val="p"/>
          </m:rPr>
          <m:t>{</m:t>
        </m:r>
        <m:r>
          <m:t>Y</m:t>
        </m:r>
        <m:r>
          <m:rPr>
            <m:sty m:val="p"/>
          </m:rPr>
          <m:t>∈</m:t>
        </m:r>
        <m:sSup>
          <m:e>
            <m:r>
              <m:rPr>
                <m:scr m:val="double-struck"/>
                <m:sty m:val="p"/>
              </m:rPr>
              <m:t>R</m:t>
            </m:r>
          </m:e>
          <m:sup>
            <m:r>
              <m:t>D</m:t>
            </m:r>
            <m:r>
              <m:rPr>
                <m:sty m:val="p"/>
              </m:rPr>
              <m:t>×</m:t>
            </m:r>
            <m:r>
              <m:t>K</m:t>
            </m:r>
          </m:sup>
        </m:sSup>
        <m:r>
          <m:rPr>
            <m:sty m:val="p"/>
          </m:rPr>
          <m:t>∣</m:t>
        </m:r>
        <m:sSup>
          <m:e>
            <m:r>
              <m:t>Y</m:t>
            </m:r>
          </m:e>
          <m:sup>
            <m:r>
              <m:t>T</m:t>
            </m:r>
          </m:sup>
        </m:sSup>
        <m:r>
          <m:t>Y</m:t>
        </m:r>
        <m:r>
          <m:rPr>
            <m:sty m:val="p"/>
          </m:rPr>
          <m:t>=</m:t>
        </m:r>
        <m:sSub>
          <m:e>
            <m:r>
              <m:t>I</m:t>
            </m:r>
          </m:e>
          <m:sub>
            <m:r>
              <m:t>K</m:t>
            </m:r>
          </m:sub>
        </m:sSub>
        <m:r>
          <m:rPr>
            <m:sty m:val="p"/>
          </m:rPr>
          <m:t>}</m:t>
        </m:r>
      </m:oMath>
      <w:r>
        <w:t xml:space="preserve"> </w:t>
      </w:r>
      <w:r>
        <w:t xml:space="preserve">sin degeneración acumulativa de Gram.</w:t>
      </w:r>
    </w:p>
    <w:p>
      <w:pPr>
        <w:pStyle w:val="BodyText"/>
      </w:pPr>
      <w:r>
        <w:rPr>
          <w:b/>
          <w:bCs/>
        </w:rPr>
        <w:t xml:space="preserve">Hito de Implementación:</w:t>
      </w:r>
      <w:r>
        <w:t xml:space="preserve"> </w:t>
      </w:r>
      <w:r>
        <w:t xml:space="preserve">Introducción de Retracción de Cayley utilizando la fórmula de Sherman-Morrison-Woodbury (SMW), proyectando matrices perturbadas localmente de vuelta hacia el manifold unitario evadiendo el costoso QR masivo iterativo.</w:t>
      </w:r>
    </w:p>
    <w:p>
      <w:pPr>
        <w:pStyle w:val="BodyText"/>
      </w:pPr>
      <w:r>
        <w:rPr>
          <w:b/>
          <w:bCs/>
        </w:rPr>
        <w:t xml:space="preserve">Certificación y Pruebas:</w:t>
      </w:r>
      <w:r>
        <w:t xml:space="preserve"> </w:t>
      </w:r>
      <w:r>
        <w:t xml:space="preserve">Medición final de la ortogonalidad evaluando la norma-máxima del residuo de la matriz de retroproyección.</w:t>
      </w:r>
    </w:p>
    <w:p>
      <w:pPr>
        <w:pStyle w:val="BodyText"/>
      </w:pPr>
      <m:oMathPara>
        <m:oMathParaPr>
          <m:jc m:val="center"/>
        </m:oMathParaPr>
        <m:oMath>
          <m:sSub>
            <m:e>
              <m:d>
                <m:dPr>
                  <m:begChr m:val="‖"/>
                  <m:sepChr m:val=""/>
                  <m:endChr m:val="‖"/>
                  <m:grow/>
                </m:dPr>
                <m:e>
                  <m:sSup>
                    <m:e>
                      <m:r>
                        <m:t>Y</m:t>
                      </m:r>
                    </m:e>
                    <m:sup>
                      <m:r>
                        <m:t>T</m:t>
                      </m:r>
                    </m:sup>
                  </m:sSup>
                  <m:r>
                    <m:t>Y</m:t>
                  </m:r>
                  <m:r>
                    <m:rPr>
                      <m:sty m:val="p"/>
                    </m:rPr>
                    <m:t>−</m:t>
                  </m:r>
                  <m:sSub>
                    <m:e>
                      <m:r>
                        <m:t>I</m:t>
                      </m:r>
                    </m:e>
                    <m:sub>
                      <m:r>
                        <m:t>K</m:t>
                      </m:r>
                    </m:sub>
                  </m:sSub>
                </m:e>
              </m:d>
            </m:e>
            <m:sub>
              <m:r>
                <m:rPr>
                  <m:sty m:val="p"/>
                </m:rPr>
                <m:t>max</m:t>
              </m:r>
            </m:sub>
          </m:sSub>
          <m:r>
            <m:rPr>
              <m:sty m:val="p"/>
            </m:rPr>
            <m:t>&lt;</m:t>
          </m:r>
          <m:r>
            <m:t>ϵ</m:t>
          </m:r>
        </m:oMath>
      </m:oMathPara>
    </w:p>
    <w:p>
      <w:pPr>
        <w:pStyle w:val="FirstParagraph"/>
      </w:pPr>
      <w:r>
        <w:rPr>
          <w:b/>
          <w:bCs/>
        </w:rPr>
        <w:t xml:space="preserve">Resultado (fases.md):</w:t>
      </w:r>
      <w:r>
        <w:t xml:space="preserve"> </w:t>
      </w:r>
      <w:r>
        <w:t xml:space="preserve">En</w:t>
      </w:r>
      <w:r>
        <w:t xml:space="preserve"> </w:t>
      </w:r>
      <m:oMath>
        <m:r>
          <m:t>K</m:t>
        </m:r>
        <m:r>
          <m:rPr>
            <m:sty m:val="p"/>
          </m:rPr>
          <m:t>=</m:t>
        </m:r>
        <m:r>
          <m:t>8</m:t>
        </m:r>
      </m:oMath>
      <w:r>
        <w:t xml:space="preserve"> </w:t>
      </w:r>
      <w:r>
        <w:t xml:space="preserve">y</w:t>
      </w:r>
      <w:r>
        <w:t xml:space="preserve"> </w:t>
      </w:r>
      <m:oMath>
        <m:r>
          <m:t>D</m:t>
        </m:r>
        <m:r>
          <m:rPr>
            <m:sty m:val="p"/>
          </m:rPr>
          <m:t>=</m:t>
        </m:r>
        <m:sSup>
          <m:e>
            <m:r>
              <m:t>10</m:t>
            </m:r>
          </m:e>
          <m:sup>
            <m:r>
              <m:t>6</m:t>
            </m:r>
          </m:sup>
        </m:sSup>
      </m:oMath>
      <w:r>
        <w:t xml:space="preserve">, finalizó la proyección en</w:t>
      </w:r>
      <w:r>
        <w:t xml:space="preserve"> </w:t>
      </w:r>
      <m:oMath>
        <m:r>
          <m:t>3928.74</m:t>
        </m:r>
      </m:oMath>
      <w:r>
        <w:t xml:space="preserve"> </w:t>
      </w:r>
      <w:r>
        <w:t xml:space="preserve">ms, logrando residuo analítico</w:t>
      </w:r>
      <w:r>
        <w:t xml:space="preserve"> </w:t>
      </w:r>
      <m:oMath>
        <m:r>
          <m:rPr>
            <m:sty m:val="p"/>
          </m:rPr>
          <m:t>&lt;</m:t>
        </m:r>
        <m:r>
          <m:t>3.4</m:t>
        </m:r>
        <m:r>
          <m:rPr>
            <m:sty m:val="p"/>
          </m:rPr>
          <m:t>×</m:t>
        </m:r>
        <m:sSup>
          <m:e>
            <m:r>
              <m:t>10</m:t>
            </m:r>
          </m:e>
          <m:sup>
            <m:r>
              <m:rPr>
                <m:sty m:val="p"/>
              </m:rPr>
              <m:t>−</m:t>
            </m:r>
            <m:r>
              <m:t>14</m:t>
            </m:r>
          </m:sup>
        </m:sSup>
      </m:oMath>
      <w:r>
        <w:t xml:space="preserve">. (PASS).</w:t>
      </w:r>
    </w:p>
    <w:bookmarkEnd w:id="14"/>
    <w:bookmarkStart w:id="18" w:name="X52b0427f249090d465af5801f8433f7298dd4f9"/>
    <w:p>
      <w:pPr>
        <w:pStyle w:val="Heading2"/>
      </w:pPr>
      <w:r>
        <w:t xml:space="preserve">Fase 5, 6 y 7: Invocación Adversarial (Red Team Bulldogs)</w:t>
      </w:r>
    </w:p>
    <w:p>
      <w:pPr>
        <w:pStyle w:val="FirstParagraph"/>
      </w:pPr>
      <w:r>
        <w:t xml:space="preserve">Esta tríada de validaciones constituyó la auditoría adversarial destructiva donde el enjambre inyectó perfiles matemáticos degradados directamente a los canales FFI e IPC, evaluando asintóticas límite.</w:t>
      </w:r>
    </w:p>
    <w:bookmarkStart w:id="15" w:name="Xbd589b691af2a04bd43d653e008eac8a151b58b"/>
    <w:p>
      <w:pPr>
        <w:pStyle w:val="Heading3"/>
      </w:pPr>
      <w:r>
        <w:t xml:space="preserve">Fase 5: Inyección Destructiva (Red Team NaN/Inf)</w:t>
      </w:r>
    </w:p>
    <w:p>
      <w:pPr>
        <w:pStyle w:val="FirstParagraph"/>
      </w:pPr>
      <w:r>
        <w:t xml:space="preserve">Se sometió el sistema a tensores corruptos colmados de Not-a-Number e Infinitos.</w:t>
      </w:r>
      <w:r>
        <w:t xml:space="preserve"> </w:t>
      </w:r>
      <w:r>
        <w:rPr>
          <w:b/>
          <w:bCs/>
        </w:rPr>
        <w:t xml:space="preserve">Resultado esperado:</w:t>
      </w:r>
      <w:r>
        <w:t xml:space="preserve"> </w:t>
      </w:r>
      <w:r>
        <w:t xml:space="preserve">Terminación controlada inmediata para protección RAM.</w:t>
      </w:r>
      <w:r>
        <w:t xml:space="preserve"> </w:t>
      </w:r>
      <w:r>
        <w:rPr>
          <w:b/>
          <w:bCs/>
        </w:rPr>
        <w:t xml:space="preserve">Resultado (fases.md):</w:t>
      </w:r>
      <w:r>
        <w:t xml:space="preserve"> </w:t>
      </w:r>
      <w:r>
        <w:t xml:space="preserve">Todo pipeline arrojó</w:t>
      </w:r>
      <w:r>
        <w:t xml:space="preserve"> </w:t>
      </w:r>
      <w:r>
        <w:rPr>
          <w:rStyle w:val="VerbatimChar"/>
        </w:rPr>
        <w:t xml:space="preserve">-3 (NaN_OR_INF)</w:t>
      </w:r>
      <w:r>
        <w:t xml:space="preserve">. (PASS).</w:t>
      </w:r>
    </w:p>
    <w:bookmarkEnd w:id="15"/>
    <w:bookmarkStart w:id="16" w:name="X8db3500726cd12568cf8cbd4debd4f0f71a3799"/>
    <w:p>
      <w:pPr>
        <w:pStyle w:val="Heading3"/>
      </w:pPr>
      <w:r>
        <w:t xml:space="preserve">Fase 6: Vector Degenerado (Red Team Zero Vector)</w:t>
      </w:r>
    </w:p>
    <w:p>
      <w:pPr>
        <w:pStyle w:val="FirstParagraph"/>
      </w:pPr>
      <w:r>
        <w:t xml:space="preserve">Se alimentó al sub-sistema de Interpolación Lineal Esférica (SLERP) un tensor nulo, amenazando singularidad de división de límites.</w:t>
      </w:r>
      <w:r>
        <w:t xml:space="preserve"> </w:t>
      </w:r>
      <w:r>
        <w:rPr>
          <w:b/>
          <w:bCs/>
        </w:rPr>
        <w:t xml:space="preserve">Resultado esperado:</w:t>
      </w:r>
      <w:r>
        <w:t xml:space="preserve"> </w:t>
      </w:r>
      <w:r>
        <w:t xml:space="preserve">Atrapar el error algebraico derivado explícito antes de la falla de segmentación.</w:t>
      </w:r>
      <w:r>
        <w:t xml:space="preserve"> </w:t>
      </w:r>
      <w:r>
        <w:rPr>
          <w:b/>
          <w:bCs/>
        </w:rPr>
        <w:t xml:space="preserve">Resultado (fases.md):</w:t>
      </w:r>
      <w:r>
        <w:t xml:space="preserve"> </w:t>
      </w:r>
      <w:r>
        <w:t xml:space="preserve">Interceptado satisfactoriamente, retornando</w:t>
      </w:r>
      <w:r>
        <w:t xml:space="preserve"> </w:t>
      </w:r>
      <w:r>
        <w:rPr>
          <w:rStyle w:val="VerbatimChar"/>
        </w:rPr>
        <w:t xml:space="preserve">-8 (DEGENERATE_NORM)</w:t>
      </w:r>
      <w:r>
        <w:t xml:space="preserve">. (PASS).</w:t>
      </w:r>
    </w:p>
    <w:bookmarkEnd w:id="16"/>
    <w:bookmarkStart w:id="17" w:name="X340a00bc9a32804e0b2df2ad73687962e45bfab"/>
    <w:p>
      <w:pPr>
        <w:pStyle w:val="Heading3"/>
      </w:pPr>
      <w:r>
        <w:t xml:space="preserve">Fase 7: Penalización de Subnormales (Red Team Subnormal)</w:t>
      </w:r>
    </w:p>
    <w:p>
      <w:pPr>
        <w:pStyle w:val="FirstParagraph"/>
      </w:pPr>
      <w:r>
        <w:t xml:space="preserve">Inyección determinista de valores flotantes subnormales que amenazaban el desempeño FPU por conmutaciones no programadas a emulación de micro-código software.</w:t>
      </w:r>
      <w:r>
        <w:t xml:space="preserve"> </w:t>
      </w:r>
      <w:r>
        <w:rPr>
          <w:b/>
          <w:bCs/>
        </w:rPr>
        <w:t xml:space="preserve">Resultado esperado:</w:t>
      </w:r>
      <w:r>
        <w:t xml:space="preserve"> </w:t>
      </w:r>
      <w:r>
        <w:t xml:space="preserve">Retorno explícito y prevención de Stall.</w:t>
      </w:r>
      <w:r>
        <w:t xml:space="preserve"> </w:t>
      </w:r>
      <w:r>
        <w:rPr>
          <w:b/>
          <w:bCs/>
        </w:rPr>
        <w:t xml:space="preserve">Resultado (fases.md):</w:t>
      </w:r>
      <w:r>
        <w:t xml:space="preserve"> </w:t>
      </w:r>
      <w:r>
        <w:t xml:space="preserve">Retornó</w:t>
      </w:r>
      <w:r>
        <w:t xml:space="preserve"> </w:t>
      </w:r>
      <w:r>
        <w:rPr>
          <w:rStyle w:val="VerbatimChar"/>
        </w:rPr>
        <w:t xml:space="preserve">-4 (SUBNORMAL_DETECTED)</w:t>
      </w:r>
      <w:r>
        <w:t xml:space="preserve">, validando la integridad temporal. (PASS).</w:t>
      </w:r>
    </w:p>
    <w:bookmarkEnd w:id="17"/>
    <w:bookmarkEnd w:id="18"/>
    <w:bookmarkStart w:id="19" w:name="fase-8-el-guardián-de-betti-1"/>
    <w:p>
      <w:pPr>
        <w:pStyle w:val="Heading2"/>
      </w:pPr>
      <w:r>
        <w:t xml:space="preserve">Fase 8: El Guardián de Betti-1</w:t>
      </w:r>
    </w:p>
    <w:p>
      <w:pPr>
        <w:pStyle w:val="FirstParagraph"/>
      </w:pPr>
      <w:r>
        <w:rPr>
          <w:b/>
          <w:bCs/>
        </w:rPr>
        <w:t xml:space="preserve">Objetivo Matemático:</w:t>
      </w:r>
      <w:r>
        <w:t xml:space="preserve"> </w:t>
      </w:r>
      <w:r>
        <w:t xml:space="preserve">Medición dinámica explícita y preventiva de componentes conexas y ciclos topológicos en la estructura de comunicación neuronal concurrente.</w:t>
      </w:r>
    </w:p>
    <w:p>
      <w:pPr>
        <w:pStyle w:val="BodyText"/>
      </w:pPr>
      <w:r>
        <w:rPr>
          <w:b/>
          <w:bCs/>
        </w:rPr>
        <w:t xml:space="preserve">Hito de Implementación:</w:t>
      </w:r>
      <w:r>
        <w:t xml:space="preserve"> </w:t>
      </w:r>
      <w:r>
        <w:t xml:space="preserve">Uso de algoritmos de conjuntos disjuntos (Union-Find) para procesar iterativamente la conectividad en el estado PMTP de memoria compartida.</w:t>
      </w:r>
    </w:p>
    <w:p>
      <w:pPr>
        <w:pStyle w:val="BodyText"/>
      </w:pPr>
      <w:r>
        <w:rPr>
          <w:b/>
          <w:bCs/>
        </w:rPr>
        <w:t xml:space="preserve">Certificación y Pruebas:</w:t>
      </w:r>
      <w:r>
        <w:t xml:space="preserve"> </w:t>
      </w:r>
      <w:r>
        <w:t xml:space="preserve">Las salidas</w:t>
      </w:r>
      <w:r>
        <w:t xml:space="preserve"> </w:t>
      </w:r>
      <m:oMath>
        <m:sSub>
          <m:e>
            <m:r>
              <m:t>β</m:t>
            </m:r>
          </m:e>
          <m:sub>
            <m:r>
              <m:t>0</m:t>
            </m:r>
          </m:sub>
        </m:sSub>
      </m:oMath>
      <w:r>
        <w:t xml:space="preserve"> </w:t>
      </w:r>
      <w:r>
        <w:t xml:space="preserve">y</w:t>
      </w:r>
      <w:r>
        <w:t xml:space="preserve"> </w:t>
      </w:r>
      <m:oMath>
        <m:sSub>
          <m:e>
            <m:r>
              <m:t>β</m:t>
            </m:r>
          </m:e>
          <m:sub>
            <m:r>
              <m:t>1</m:t>
            </m:r>
          </m:sub>
        </m:sSub>
      </m:oMath>
      <w:r>
        <w:t xml:space="preserve"> </w:t>
      </w:r>
      <w:r>
        <w:t xml:space="preserve">verifican que los canales no arrastren fragmentaciones latentes perjudiciales en mmap.</w:t>
      </w:r>
      <w:r>
        <w:t xml:space="preserve"> </w:t>
      </w:r>
      <w:r>
        <w:rPr>
          <w:b/>
          <w:bCs/>
        </w:rPr>
        <w:t xml:space="preserve">Resultado (fases.md):</w:t>
      </w:r>
      <w:r>
        <w:t xml:space="preserve"> </w:t>
      </w:r>
      <w:r>
        <w:t xml:space="preserve">Las ejecuciones evaluaron la estructura subyacente correctamente:</w:t>
      </w:r>
      <w:r>
        <w:t xml:space="preserve"> </w:t>
      </w:r>
      <w:r>
        <w:rPr>
          <w:rStyle w:val="VerbatimChar"/>
        </w:rPr>
        <w:t xml:space="preserve">Connected=0, Fragmented=-6</w:t>
      </w:r>
      <w:r>
        <w:t xml:space="preserve">. Betti-1 superó y controló toda contención adversa. (PASS).</w:t>
      </w:r>
    </w:p>
    <w:bookmarkEnd w:id="19"/>
    <w:bookmarkStart w:id="20" w:name="X9f75a0564c2f8989c4bbc2dd2002071577fa775"/>
    <w:p>
      <w:pPr>
        <w:pStyle w:val="Heading2"/>
      </w:pPr>
      <w:r>
        <w:t xml:space="preserve">Fase 9: Full Pipeline Empirical (El "One More Thing")</w:t>
      </w:r>
    </w:p>
    <w:p>
      <w:pPr>
        <w:pStyle w:val="FirstParagraph"/>
      </w:pPr>
      <w:r>
        <w:rPr>
          <w:b/>
          <w:bCs/>
        </w:rPr>
        <w:t xml:space="preserve">Objetivo:</w:t>
      </w:r>
      <w:r>
        <w:t xml:space="preserve"> </w:t>
      </w:r>
      <w:r>
        <w:t xml:space="preserve">Transición absoluta al silicio real operativo (Fecha histórica: 2026-09-07).</w:t>
      </w:r>
    </w:p>
    <w:p>
      <w:pPr>
        <w:pStyle w:val="BodyText"/>
      </w:pPr>
      <w:r>
        <w:rPr>
          <w:b/>
          <w:bCs/>
        </w:rPr>
        <w:t xml:space="preserve">Hito de Implementación:</w:t>
      </w:r>
      <w:r>
        <w:t xml:space="preserve"> </w:t>
      </w:r>
      <w:r>
        <w:t xml:space="preserve">Dos instancias LLMs activas del modelo Qwen-0.5B emparejaron sus flujos mediante PMTP de POLYDIM, ignorando permanentemente el texto o tokens verbales. Intercambiaron información sub-cortical masiva enteramente en la capa de tensores latentes acoplados a memoria compartida.</w:t>
      </w:r>
    </w:p>
    <w:p>
      <w:pPr>
        <w:pStyle w:val="BodyText"/>
      </w:pPr>
      <w:r>
        <w:rPr>
          <w:b/>
          <w:bCs/>
        </w:rPr>
        <w:t xml:space="preserve">Certificación y Pruebas:</w:t>
      </w:r>
      <w:r>
        <w:t xml:space="preserve"> </w:t>
      </w:r>
      <w:r>
        <w:t xml:space="preserve">La coherencia semántica fue monitorizada tras un decodificador terminal de validación estricta cruzada (bit por bit) de sus estados transaccionales compartidos a</w:t>
      </w:r>
      <w:r>
        <w:t xml:space="preserve"> </w:t>
      </w:r>
      <m:oMath>
        <m:sSup>
          <m:e>
            <m:r>
              <m:t>S</m:t>
            </m:r>
          </m:e>
          <m:sup>
            <m:r>
              <m:t>D</m:t>
            </m:r>
            <m:r>
              <m:rPr>
                <m:sty m:val="p"/>
              </m:rPr>
              <m:t>−</m:t>
            </m:r>
            <m:r>
              <m:t>1</m:t>
            </m:r>
          </m:sup>
        </m:sSup>
      </m:oMath>
      <w:r>
        <w:t xml:space="preserve">.</w:t>
      </w:r>
      <w:r>
        <w:t xml:space="preserve"> </w:t>
      </w:r>
      <w:r>
        <w:rPr>
          <w:b/>
          <w:bCs/>
        </w:rPr>
        <w:t xml:space="preserve">Resultado (fases.md):</w:t>
      </w:r>
      <w:r>
        <w:t xml:space="preserve"> </w:t>
      </w:r>
      <w:r>
        <w:t xml:space="preserve">0 diferencia de bits tras completarse el handshake. Confirmación final de DPI cero, y validación arquitectónica total. (PASS).</w:t>
      </w:r>
    </w:p>
    <w:bookmarkEnd w:id="20"/>
    <w:bookmarkStart w:id="21" w:name="Xe50dc3b951994c12829d1d6fb012cd299360b02"/>
    <w:p>
      <w:pPr>
        <w:pStyle w:val="Heading2"/>
      </w:pPr>
      <w:r>
        <w:t xml:space="preserve">Tabla Consolidada de Certificaciones Empíricas (Benchmarking SOTA)</w:t>
      </w:r>
    </w:p>
    <w:p>
      <w:pPr>
        <w:pStyle w:val="FirstParagraph"/>
      </w:pPr>
      <w:r>
        <w:t xml:space="preserve">La sucesión de estas Fases asienta la base arquitectónica donde la cognición multi-agente supera los cuellos de botella 1D tradicionales. El enjambre ha emergido de la serialización hacia la computación tensorial continua.</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2026-09-28T19:51:35Z</dcterms:created>
  <dcterms:modified xsi:type="dcterms:W3CDTF">2026-09-28T19:51:35Z</dcterms:modified>
</cp:coreProperties>
</file>

<file path=docProps/custom.xml><?xml version="1.0" encoding="utf-8"?>
<Properties xmlns="http://schemas.openxmlformats.org/officeDocument/2006/custom-properties" xmlns:vt="http://schemas.openxmlformats.org/officeDocument/2006/docPropsVTypes"/>
</file>