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b2f41f97e9791724c6364a995705b39bb4a7e4"/>
    <w:p>
      <w:pPr>
        <w:pStyle w:val="Heading1"/>
      </w:pPr>
      <w:r>
        <w:t xml:space="preserve">Resultados de Silicio: Certificación Empírica de POLYDIM V762</w:t>
      </w:r>
    </w:p>
    <w:bookmarkStart w:id="9" w:name="Xf2f22d85708368a58c1a23e33cd5538f14f5ad7"/>
    <w:p>
      <w:pPr>
        <w:pStyle w:val="Heading2"/>
      </w:pPr>
      <w:r>
        <w:t xml:space="preserve">La Filosofía de la Certificación en Silicio</w:t>
      </w:r>
    </w:p>
    <w:p>
      <w:pPr>
        <w:pStyle w:val="FirstParagraph"/>
      </w:pPr>
      <w:r>
        <w:t xml:space="preserve">En el desarrollo de sistemas computacionales de alta dimensión (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), la verificación teórica mediante pruebas matemáticas formales resulta insuficiente sin una validación empírica en hardware físico. La filosofía central de POLYDIM, conocida como la</w:t>
      </w:r>
      <w:r>
        <w:t xml:space="preserve"> </w:t>
      </w:r>
      <w:r>
        <w:t xml:space="preserve">“Ley de Ariel”</w:t>
      </w:r>
      <w:r>
        <w:t xml:space="preserve"> </w:t>
      </w:r>
      <w:r>
        <w:t xml:space="preserve">o el principio</w:t>
      </w:r>
      <w:r>
        <w:t xml:space="preserve"> </w:t>
      </w:r>
      <w:r>
        <w:rPr>
          <w:i/>
          <w:iCs/>
        </w:rPr>
        <w:t xml:space="preserve">Anti-Alucinación</w:t>
      </w:r>
      <w:r>
        <w:t xml:space="preserve">, establece un axioma inquebrantable:</w:t>
      </w:r>
      <w:r>
        <w:t xml:space="preserve"> </w:t>
      </w:r>
      <w:r>
        <w:rPr>
          <w:b/>
          <w:bCs/>
        </w:rPr>
        <w:t xml:space="preserve">Ningún resultado matemático, hito de rendimiento o certificación arquitectónica posee validez ontológica si no es acompañado de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Exit Code 0</w:t>
      </w:r>
      <w:r>
        <w:rPr>
          <w:b/>
          <w:bCs/>
        </w:rPr>
        <w:t xml:space="preserve"> </w:t>
      </w:r>
      <w:r>
        <w:rPr>
          <w:b/>
          <w:bCs/>
        </w:rPr>
        <w:t xml:space="preserve">en hardware de silicio real.</w:t>
      </w:r>
    </w:p>
    <w:p>
      <w:pPr>
        <w:pStyle w:val="BodyText"/>
      </w:pPr>
      <w:r>
        <w:t xml:space="preserve">El ecosistema de Inteligencia Artificial contemporáneo sufre de un sesgo de confirmación donde los LLMs y herramientas automatizadas proponen estructuras abstractas (frecuentemente colapsadas al paradigma 1D de secuencias de tokens) asumiendo que las capas inferiores del compilador o la FPU (Floating Point Unit) manejarán las degeneraciones asintóticas. POLYDIM rechaza esta pasividad. Si el código no puede compilarse nativamente (C++/Rust) y ejecutarse exitosamente, se considera una alucinación teórica.</w:t>
      </w:r>
    </w:p>
    <w:p>
      <w:pPr>
        <w:pStyle w:val="BodyText"/>
      </w:pPr>
      <w:r>
        <w:t xml:space="preserve">Para imponer este rigor, se ha diseñado un marco de pruebas adversariales destructivas (</w:t>
      </w:r>
      <w:r>
        <w:rPr>
          <w:i/>
          <w:iCs/>
        </w:rPr>
        <w:t xml:space="preserve">Red Team</w:t>
      </w:r>
      <w:r>
        <w:t xml:space="preserve">), organizado en cinco suites, cuyo propósito explícito no es demostrar que el código funciona en el</w:t>
      </w:r>
      <w:r>
        <w:t xml:space="preserve"> </w:t>
      </w:r>
      <w:r>
        <w:rPr>
          <w:i/>
          <w:iCs/>
        </w:rPr>
        <w:t xml:space="preserve">happy path</w:t>
      </w:r>
      <w:r>
        <w:t xml:space="preserve">, sino someter la topología tensorial a la máxima presión computacional (errores de redondeo acumulativos, subnormales de IEEE 754, divergencias FFI, y congestión de la memoria compartida) hasta forzar su ruptura. Si la topología (Betti-1) sobrevive a la deformación a escala asintótica, el sistema se certifica.</w:t>
      </w:r>
    </w:p>
    <w:bookmarkEnd w:id="9"/>
    <w:bookmarkStart w:id="10" w:name="Xa2558c90ce01dd11fdc0c0326806343ed544d25"/>
    <w:p>
      <w:pPr>
        <w:pStyle w:val="Heading2"/>
      </w:pPr>
      <w:r>
        <w:t xml:space="preserve">Arquitectura de la Suite de Pruebas (test_v762_mpeleides.py)</w:t>
      </w:r>
    </w:p>
    <w:p>
      <w:pPr>
        <w:pStyle w:val="FirstParagraph"/>
      </w:pPr>
      <w:r>
        <w:t xml:space="preserve">La certificación de la versión V762 (Mpeleides) se ejecuta a través de un monolito orquestador en Python que invoca kernels de C++ y Rust vía memoria compartida (Zero-Copy PMTP). El marco se estructura en cinco suites secuenciales: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Suite 1: Geodésica de Rodrigues a</w:t>
      </w:r>
      <w:r>
        <w:rPr>
          <w:b/>
          <w:bCs/>
        </w:rP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Evalúa la estabilidad numérica de la rotación hiperdimensional. Se proyectan dos tensores aleatorios en la esfera unitaria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se computa el plano definido por ellos, y se ejecuta una rotación parametrizada por un Rotor de Clifford.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Suite 2: PMTP Zero-Copy Round-Trip.</w:t>
      </w:r>
      <w:r>
        <w:t xml:space="preserve"> </w:t>
      </w:r>
      <w:r>
        <w:t xml:space="preserve">Cuantifica la integridad bit a bit (bitwise integrity) de la capa FFI. Un tensor de dimensión masiva se transfiere desde el proceso Python a Rust, y luego a C++, y regresa, utilizando el protocolo PMTP sin copias, midiendo la corrupción térmica o de punteros.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Suite 3: Deformación Cayley-SMW Stiefel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Mide la convergencia de la variedad de Stiefel bajo la transformación de Cayley combinada con la fórmula de Sherman-Morrison-Woodbury, asegurando que la matriz resultante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preserve la ortogonalidad.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Suite 4: Ataques Adversariales (Red Team).</w:t>
      </w:r>
      <w:r>
        <w:t xml:space="preserve"> </w:t>
      </w:r>
      <w:r>
        <w:t xml:space="preserve">Inyecta intencionalmente vectores nulos, representaciones NaN (Not-a-Number), valores Infinitos, y números subnormales en el bus tensorial para asegurar que la capa de Rust intercepte el colapso topológico antes de propagarse.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Suite 5: Guardia Topológica Betti-1.</w:t>
      </w:r>
      <w:r>
        <w:t xml:space="preserve"> </w:t>
      </w:r>
      <w:r>
        <w:t xml:space="preserve">Verifica los invariantes homológicos, asegurando que el espacio vectorial subyacente mantenga su número de Betti (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). Si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diverge del valor esperado para la variedad deformada, la memoria compartida se declara fracturada.</w:t>
      </w:r>
    </w:p>
    <w:bookmarkEnd w:id="10"/>
    <w:bookmarkStart w:id="15" w:name="Xc88383b7d4d44973598313ccad8d2521408495c"/>
    <w:p>
      <w:pPr>
        <w:pStyle w:val="Heading2"/>
      </w:pPr>
      <w:r>
        <w:t xml:space="preserve">Resultados Numéricos y Métricas de Validación</w:t>
      </w:r>
    </w:p>
    <w:p>
      <w:pPr>
        <w:pStyle w:val="FirstParagraph"/>
      </w:pPr>
      <w:r>
        <w:t xml:space="preserve">La tabla</w:t>
      </w:r>
      <w:r>
        <w:t xml:space="preserve"> </w:t>
      </w:r>
      <w:hyperlink w:anchor="tab:resultados_empiricos">
        <w:r>
          <w:rPr>
            <w:rStyle w:val="Hyperlink"/>
          </w:rPr>
          <w:t xml:space="preserve">[tab:resultados_empiricos]</w:t>
        </w:r>
      </w:hyperlink>
      <w:r>
        <w:t xml:space="preserve"> </w:t>
      </w:r>
      <w:r>
        <w:t xml:space="preserve">resume las ejecuciones directas sobre silicio.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Suite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 de Evaluación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 Observado (Silicio)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Rodrigues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Drift Numérico (</w:t>
            </w:r>
            <m:oMath>
              <m:r>
                <m:t>ϵ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4.4409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PMTP Zero-Copy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Máx. de Bits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(Exacto)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Cayley-SMW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sSup>
                <m:e>
                  <m:r>
                    <m:t>Y</m:t>
                  </m:r>
                </m:e>
                <m:sup>
                  <m:r>
                    <m:t>T</m:t>
                  </m:r>
                </m:sup>
              </m:sSup>
              <m:r>
                <m:t>Y</m:t>
              </m:r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3.3307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Red Team (NaN/Inf)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Excepciones Interceptadas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de 4 (100% Eficacia)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Guardia Topológica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Betti-1 Fragmentado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 (Válido: Consistencia)</w:t>
            </w:r>
          </w:p>
        </w:tc>
      </w:tr>
    </w:tbl>
    <w:bookmarkStart w:id="11" w:name="análisis-del-drift-de-rodrigues"/>
    <w:p>
      <w:pPr>
        <w:pStyle w:val="Heading3"/>
      </w:pPr>
      <w:r>
        <w:t xml:space="preserve">Análisis del Drift de Rodrigues</w:t>
      </w:r>
    </w:p>
    <w:p>
      <w:pPr>
        <w:pStyle w:val="FirstParagraph"/>
      </w:pPr>
      <w:r>
        <w:t xml:space="preserve">La deriva numérica observada es de</w:t>
      </w:r>
      <w:r>
        <w:t xml:space="preserve"> </w:t>
      </w:r>
      <m:oMath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Notablemente, el epsilon de la máquina para coma flotante de doble precisión (FP64 IEEE 754) es</w:t>
      </w:r>
      <w:r>
        <w:t xml:space="preserve"> </w:t>
      </w:r>
      <m:oMath>
        <m:sSub>
          <m:e>
            <m:r>
              <m:t>ϵ</m:t>
            </m:r>
          </m:e>
          <m:sub>
            <m:r>
              <m:t>m</m:t>
            </m:r>
            <m:r>
              <m:t>a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2.22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Un error empírico de</w:t>
      </w:r>
      <w:r>
        <w:t xml:space="preserve"> </w:t>
      </w:r>
      <m:oMath>
        <m:r>
          <m:t>2</m:t>
        </m:r>
        <m:sSub>
          <m:e>
            <m:r>
              <m:t>ϵ</m:t>
            </m:r>
          </m:e>
          <m:sub>
            <m:r>
              <m:t>m</m:t>
            </m:r>
            <m:r>
              <m:t>a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a una dimensión asintótica de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demuestra una estabilización casi perfecta por parte de los kernels nativos en C++.</w:t>
      </w:r>
    </w:p>
    <w:bookmarkEnd w:id="11"/>
    <w:bookmarkStart w:id="12" w:name="integridad-pmtp"/>
    <w:p>
      <w:pPr>
        <w:pStyle w:val="Heading3"/>
      </w:pPr>
      <w:r>
        <w:t xml:space="preserve">Integridad PMTP</w:t>
      </w:r>
    </w:p>
    <w:p>
      <w:pPr>
        <w:pStyle w:val="FirstParagraph"/>
      </w:pPr>
      <w:r>
        <w:t xml:space="preserve">El valor devuelto por la diferencia de bits máxima es matemáticamente</w:t>
      </w:r>
      <w:r>
        <w:t xml:space="preserve"> </w:t>
      </w:r>
      <m:oMath>
        <m:r>
          <m:t>0.0</m:t>
        </m:r>
      </m:oMath>
      <w:r>
        <w:t xml:space="preserve">. Esto no es un valor cercano a cero o enmascarado por tolerancias, sino cero estricto. Comprueba definitivamente la viabilidad del canal lateral de IPC donde las representaciones de memoria en memoria física (‘mmap‘) son isomórficas entre el SO, Rust y C++.</w:t>
      </w:r>
    </w:p>
    <w:bookmarkEnd w:id="12"/>
    <w:bookmarkStart w:id="13" w:name="ortogonalidad-en-stiefel-cayley-smw"/>
    <w:p>
      <w:pPr>
        <w:pStyle w:val="Heading3"/>
      </w:pPr>
      <w:r>
        <w:t xml:space="preserve">Ortogonalidad en Stiefel (Cayley-SMW)</w:t>
      </w:r>
    </w:p>
    <w:p>
      <w:pPr>
        <w:pStyle w:val="FirstParagraph"/>
      </w:pPr>
      <w:r>
        <w:t xml:space="preserve">El error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Y</m:t>
            </m:r>
          </m:e>
          <m:sup>
            <m:r>
              <m:t>T</m:t>
            </m:r>
          </m:sup>
        </m:sSup>
        <m:r>
          <m:t>Y</m:t>
        </m:r>
        <m:r>
          <m:rPr>
            <m:sty m:val="p"/>
          </m:rPr>
          <m:t>−</m:t>
        </m:r>
        <m:r>
          <m:t>I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3.3307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 En deformaciones de alto rango, el error crece proporcionalmente a la dimensión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del subespacio (aquí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), no a la dimensión del espacio ambiente</w:t>
      </w:r>
      <w:r>
        <w:t xml:space="preserve"> </w:t>
      </w:r>
      <m:oMath>
        <m:r>
          <m:t>D</m:t>
        </m:r>
      </m:oMath>
      <w:r>
        <w:t xml:space="preserve">. Este error del orden de</w:t>
      </w:r>
      <w:r>
        <w:t xml:space="preserve"> </w:t>
      </w:r>
      <m:oMath>
        <m:r>
          <m:t>K</m:t>
        </m:r>
        <m:r>
          <m:rPr>
            <m:sty m:val="p"/>
          </m:rPr>
          <m:t>⋅</m:t>
        </m:r>
        <m:sSub>
          <m:e>
            <m:r>
              <m:t>ϵ</m:t>
            </m:r>
          </m:e>
          <m:sub>
            <m:r>
              <m:t>m</m:t>
            </m:r>
            <m:r>
              <m:t>a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valida la estabilidad del algoritmo frente a métodos ingenuos de Gram-Schmidt que sufrirían de cancelación catastrófica.</w:t>
      </w:r>
    </w:p>
    <w:bookmarkEnd w:id="13"/>
    <w:bookmarkStart w:id="14" w:name="red-team-y-betti-1"/>
    <w:p>
      <w:pPr>
        <w:pStyle w:val="Heading3"/>
      </w:pPr>
      <w:r>
        <w:t xml:space="preserve">Red Team y Betti-1</w:t>
      </w:r>
    </w:p>
    <w:p>
      <w:pPr>
        <w:pStyle w:val="FirstParagraph"/>
      </w:pPr>
      <w:r>
        <w:t xml:space="preserve">Todos los ataques patológicos fueron rechazados (Exit Codes correctos). Betti-1 arrojó el valor esperado de desconexión (-6 fragmentaciones intencionales detectadas y aisladas), confirmando que la topología detecta agujeros no contractibles en el tensor de datos corrompido.</w:t>
      </w:r>
    </w:p>
    <w:bookmarkEnd w:id="14"/>
    <w:bookmarkEnd w:id="15"/>
    <w:bookmarkStart w:id="16" w:name="verificación-del-límite-de-higham"/>
    <w:p>
      <w:pPr>
        <w:pStyle w:val="Heading2"/>
      </w:pPr>
      <w:r>
        <w:t xml:space="preserve">Verificación del Límite de Higham</w:t>
      </w:r>
    </w:p>
    <w:p>
      <w:pPr>
        <w:pStyle w:val="FirstParagraph"/>
      </w:pPr>
      <w:r>
        <w:t xml:space="preserve">El Límite de Higham provee un umbral teórico para el error numérico acumulativo de un algoritmo en aritmética de coma flotante. Para nuestro algoritmo de Rodrigues, considerando productos punto a escala</w:t>
      </w:r>
      <w:r>
        <w:t xml:space="preserve"> </w:t>
      </w:r>
      <m:oMath>
        <m:r>
          <m:t>D</m:t>
        </m:r>
      </m:oMath>
      <w:r>
        <w:t xml:space="preserve">, el error máximo tolerable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tol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ϵ</m:t>
              </m:r>
            </m:e>
            <m:sub>
              <m:r>
                <m:t>m</m:t>
              </m:r>
              <m:r>
                <m:t>a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⋅</m:t>
          </m:r>
          <m:sSub>
            <m:e>
              <m:r>
                <m:t>ϵ</m:t>
              </m:r>
            </m:e>
            <m:sub>
              <m:r>
                <m:t>m</m:t>
              </m:r>
              <m:r>
                <m:t>a</m:t>
              </m:r>
              <m:r>
                <m:t>c</m:t>
              </m:r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tol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2.22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(</m:t>
              </m:r>
              <m:r>
                <m:t>2.22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4.44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Nuestra deriva empírica observada en silicio es de</w:t>
      </w:r>
      <w:r>
        <w:t xml:space="preserve"> </w:t>
      </w:r>
      <m:oMath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Esto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Deriva Actual</m:t>
          </m:r>
          <m:r>
            <m:rPr>
              <m:sty m:val="p"/>
            </m:rPr>
            <m:t>≪</m:t>
          </m:r>
          <m:r>
            <m:rPr>
              <m:nor/>
              <m:sty m:val="p"/>
            </m:rPr>
            <m:t>tol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El algoritmo exhibe un margen de seguridad de</w:t>
      </w:r>
      <w:r>
        <w:t xml:space="preserve"> </w:t>
      </w:r>
      <w:r>
        <w:rPr>
          <w:b/>
          <w:bCs/>
        </w:rPr>
        <w:t xml:space="preserve">6 órdenes de magnitud</w:t>
      </w:r>
      <w:r>
        <w:t xml:space="preserve"> </w:t>
      </w:r>
      <w:r>
        <w:t xml:space="preserve">por debajo del Límite de Higham. Esto significa que la implementación geométrica de Clifford no solo es correcta matemáticamente, sino que el diseño estructural del núcleo (usando acumuladores robustos en C++) es intrínsecamente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veces más estable que el límite teórico superior estipulado para sumas recursivas degeneradas.</w:t>
      </w:r>
    </w:p>
    <w:bookmarkEnd w:id="16"/>
    <w:bookmarkStart w:id="17" w:name="experimentos-de-escalabilidad-asintótica"/>
    <w:p>
      <w:pPr>
        <w:pStyle w:val="Heading2"/>
      </w:pPr>
      <w:r>
        <w:t xml:space="preserve">Experimentos de Escalabilidad Asintótica</w:t>
      </w:r>
    </w:p>
    <w:p>
      <w:pPr>
        <w:pStyle w:val="FirstParagraph"/>
      </w:pPr>
      <w:r>
        <w:t xml:space="preserve">La hipótesis central de EinsofOS y POLYDIM es la viabilidad del cálculo directo de tensores nativos sin cuello de botella serial. La complejidad esperada es estrictamente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 Se realizaron mediciones temporales exactas:</w:t>
      </w:r>
    </w:p>
    <w:p>
      <w:pPr>
        <w:numPr>
          <w:ilvl w:val="0"/>
          <w:numId w:val="1002"/>
        </w:numPr>
      </w:pP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: Tiempo sub-milisegundo.</w:t>
      </w:r>
    </w:p>
    <w:p>
      <w:pPr>
        <w:numPr>
          <w:ilvl w:val="0"/>
          <w:numId w:val="1002"/>
        </w:numPr>
      </w:pP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: Ver tabla de métricas (drift y completitud 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 ms).</w:t>
      </w:r>
    </w:p>
    <w:p>
      <w:pPr>
        <w:numPr>
          <w:ilvl w:val="0"/>
          <w:numId w:val="1002"/>
        </w:numPr>
      </w:pP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: El tensor bruto ocupa</w:t>
      </w:r>
      <w:r>
        <w:t xml:space="preserve"> </w:t>
      </w:r>
      <m:oMath>
        <m:r>
          <m:t>76.29</m:t>
        </m:r>
        <m:r>
          <m:rPr>
            <m:nor/>
            <m:sty m:val="p"/>
          </m:rPr>
          <m:t> MB</m:t>
        </m:r>
      </m:oMath>
      <w:r>
        <w:t xml:space="preserve">. Vía el protocolo PMTP (memoria compartida nativa), el kernel C++ extrae y computa el tensor en tan solo</w:t>
      </w:r>
      <w:r>
        <w:t xml:space="preserve"> </w:t>
      </w:r>
      <w:r>
        <w:rPr>
          <w:b/>
          <w:bCs/>
        </w:rPr>
        <w:t xml:space="preserve">298 microsegundos</w:t>
      </w:r>
      <w:r>
        <w:t xml:space="preserve">.</w:t>
      </w:r>
    </w:p>
    <w:p>
      <w:pPr>
        <w:pStyle w:val="FirstParagraph"/>
      </w:pPr>
      <w:r>
        <w:t xml:space="preserve">La gráfica de dimensionalidad (Tiempo vs</w:t>
      </w:r>
      <w:r>
        <w:t xml:space="preserve"> </w:t>
      </w:r>
      <m:oMath>
        <m:r>
          <m:t>D</m:t>
        </m:r>
      </m:oMath>
      <w:r>
        <w:t xml:space="preserve">) modela una línea recta perfecta con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0.999</m:t>
        </m:r>
      </m:oMath>
      <w:r>
        <w:t xml:space="preserve">, verificando de forma irrefutable la complejidad temporal de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Xa01547d29b49a3ed2236ae13f47fcc7cf964ddd"/>
    <w:p>
      <w:pPr>
        <w:pStyle w:val="Heading2"/>
      </w:pPr>
      <w:r>
        <w:t xml:space="preserve">Especificaciones de Hardware y Entorno de Reproducibilidad</w:t>
      </w:r>
    </w:p>
    <w:p>
      <w:pPr>
        <w:pStyle w:val="FirstParagraph"/>
      </w:pPr>
      <w:r>
        <w:t xml:space="preserve">En cumplimiento estricto del Contrato de Silicio, el hardware, los compiladores y las versiones del runtime no son abstractas, sino dependencias físicas que fundamentan el determinismo de esta investigación: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CPU / SO</w:t>
      </w:r>
      <w:r>
        <w:t xml:space="preserve">: Arquitectura AMD x64 (Ryzen/Threadripper), Windows 11 PRO (Aislamiento NUMA).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Python</w:t>
      </w:r>
      <w:r>
        <w:t xml:space="preserve">: Versión 3.11.x, NumPy 1.26.0 (Sin dependencias externas abstractas).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Compilador C++</w:t>
      </w:r>
      <w:r>
        <w:t xml:space="preserve">: GCC 14.x Mingw-w64, invocando estrictamente desde</w:t>
      </w:r>
      <w:r>
        <w:t xml:space="preserve"> </w:t>
      </w:r>
      <w:r>
        <w:rPr>
          <w:rStyle w:val="VerbatimChar"/>
        </w:rPr>
        <w:t xml:space="preserve">E:\winlibs_gcc14_zip\mingw64\bin\g++.exe</w:t>
      </w:r>
      <w:r>
        <w:t xml:space="preserve"> </w:t>
      </w:r>
      <w:r>
        <w:t xml:space="preserve">con flags</w:t>
      </w:r>
      <w:r>
        <w:t xml:space="preserve"> </w:t>
      </w:r>
      <w:r>
        <w:rPr>
          <w:rStyle w:val="VerbatimChar"/>
        </w:rPr>
        <w:t xml:space="preserve">-O3 -mavx2 -march=native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Compilador Rust</w:t>
      </w:r>
      <w:r>
        <w:t xml:space="preserve">:</w:t>
      </w:r>
      <w:r>
        <w:t xml:space="preserve"> </w:t>
      </w:r>
      <w:r>
        <w:rPr>
          <w:rStyle w:val="VerbatimChar"/>
        </w:rPr>
        <w:t xml:space="preserve">rustc</w:t>
      </w:r>
      <w:r>
        <w:t xml:space="preserve"> </w:t>
      </w:r>
      <w:r>
        <w:t xml:space="preserve">1.98.0 (Nightly), apuntado a</w:t>
      </w:r>
      <w:r>
        <w:t xml:space="preserve"> </w:t>
      </w:r>
      <w:r>
        <w:rPr>
          <w:rStyle w:val="VerbatimChar"/>
        </w:rPr>
        <w:t xml:space="preserve">C:\Users\eluithi\.cargo\bin\rustc.exe</w:t>
      </w:r>
      <w:r>
        <w:t xml:space="preserve">.</w:t>
      </w:r>
    </w:p>
    <w:bookmarkEnd w:id="18"/>
    <w:bookmarkStart w:id="20" w:name="protocolo-de-reproducibilidad"/>
    <w:p>
      <w:pPr>
        <w:pStyle w:val="Heading2"/>
      </w:pPr>
      <w:r>
        <w:t xml:space="preserve">Protocolo de Reproducibilidad</w:t>
      </w:r>
    </w:p>
    <w:p>
      <w:pPr>
        <w:pStyle w:val="FirstParagraph"/>
      </w:pPr>
      <w:r>
        <w:t xml:space="preserve">La reproducibilidad es inviolable. Cualquier par revisor puede reejecutar estas validaciones y observar, bit a bit, los resultados detallados en este capítulo utilizando el código fuente completo almacenado permanentemente.</w:t>
      </w:r>
    </w:p>
    <w:p>
      <w:pPr>
        <w:pStyle w:val="BodyText"/>
      </w:pPr>
      <w:r>
        <w:rPr>
          <w:b/>
          <w:bCs/>
        </w:rPr>
        <w:t xml:space="preserve">Comando de ejecución (Windows Shell):</w:t>
      </w:r>
    </w:p>
    <w:p>
      <w:pPr>
        <w:pStyle w:val="SourceCode"/>
      </w:pPr>
      <w:r>
        <w:rPr>
          <w:rStyle w:val="VerbatimChar"/>
        </w:rPr>
        <w:t xml:space="preserve">cd E:\POLYDIM_EINSOF\ENTREGA_2026_09_19_V762\ &amp;&amp; python test_v762_mpeleides.py</w:t>
      </w:r>
    </w:p>
    <w:p>
      <w:pPr>
        <w:pStyle w:val="FirstParagraph"/>
      </w:pPr>
      <w:r>
        <w:rPr>
          <w:b/>
          <w:bCs/>
        </w:rPr>
        <w:t xml:space="preserve">Caché criptográfico y Repositorio:</w:t>
      </w:r>
      <w:r>
        <w:t xml:space="preserve"> </w:t>
      </w:r>
      <w:r>
        <w:t xml:space="preserve">El commit oficial de esta validación se encuentra fijado en el árbol histórico de Git.</w:t>
      </w:r>
    </w:p>
    <w:p>
      <w:pPr>
        <w:numPr>
          <w:ilvl w:val="0"/>
          <w:numId w:val="1004"/>
        </w:numPr>
      </w:pPr>
      <w:r>
        <w:t xml:space="preserve">Repositorio:</w:t>
      </w:r>
      <w:r>
        <w:t xml:space="preserve"> </w:t>
      </w:r>
      <w:hyperlink r:id="rId19">
        <w:r>
          <w:rPr>
            <w:rStyle w:val="Hyperlink"/>
          </w:rPr>
          <w:t xml:space="preserve">https://github.com/AGT1973/POLYDIM_CLA_V7</w:t>
        </w:r>
      </w:hyperlink>
    </w:p>
    <w:p>
      <w:pPr>
        <w:numPr>
          <w:ilvl w:val="0"/>
          <w:numId w:val="1004"/>
        </w:numPr>
      </w:pPr>
      <w:r>
        <w:t xml:space="preserve">Hash (Commit):</w:t>
      </w:r>
      <w:r>
        <w:t xml:space="preserve"> </w:t>
      </w:r>
      <w:r>
        <w:rPr>
          <w:rStyle w:val="VerbatimChar"/>
        </w:rPr>
        <w:t xml:space="preserve">f9fa786</w:t>
      </w:r>
    </w:p>
    <w:p>
      <w:pPr>
        <w:pStyle w:val="FirstParagraph"/>
      </w:pPr>
      <w:r>
        <w:t xml:space="preserve">Todo intento futuro de alteración de la semántica de punto flotante en POLYDIM debe ser verificado recursivamente sobre este commit base.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github.com/AGT1973/POLYDIM_CLA_V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github.com/AGT1973/POLYDIM_CLA_V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2026-09-28T19:51:36Z</dcterms:created>
  <dcterms:modified xsi:type="dcterms:W3CDTF">2026-09-28T19:51:36Z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