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365fa67420e57abdec53e539f72c414518c78f"/>
    <w:p>
      <w:pPr>
        <w:pStyle w:val="Heading1"/>
      </w:pPr>
      <w:r>
        <w:t xml:space="preserve">Impacto Termodinámico: El Costo Energético del Gusano 1D</w:t>
      </w:r>
    </w:p>
    <w:p>
      <w:pPr>
        <w:pStyle w:val="FirstParagraph"/>
      </w:pPr>
      <w:r>
        <w:rPr>
          <w:i/>
          <w:iCs/>
        </w:rPr>
        <w:t xml:space="preserve">El desperdicio energético no es un número abstracto.</w:t>
      </w:r>
      <w:r>
        <w:br/>
      </w:r>
      <w:r>
        <w:rPr>
          <w:i/>
          <w:iCs/>
        </w:rPr>
        <w:t xml:space="preserve">Es watts-hora en el medidor de electricidad</w:t>
      </w:r>
      <w:r>
        <w:br/>
      </w:r>
      <w:r>
        <w:rPr>
          <w:i/>
          <w:iCs/>
        </w:rPr>
        <w:t xml:space="preserve">de un datacenter en Buenos Aires.</w:t>
      </w:r>
      <w:r>
        <w:t xml:space="preserve"> </w:t>
      </w:r>
      <w:r>
        <w:t xml:space="preserve">— — LATAM Economic Veto, Regla 20</w:t>
      </w:r>
    </w:p>
    <w:bookmarkStart w:id="9" w:name="Xac768dd10f799361953977166b022759dce6fc4"/>
    <w:p>
      <w:pPr>
        <w:pStyle w:val="Heading2"/>
      </w:pPr>
      <w:r>
        <w:t xml:space="preserve">Energía y Computación: El Límite de Landauer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Principio de Landauer</w:t>
      </w:r>
      <w:r>
        <w:t xml:space="preserve"> </w:t>
      </w:r>
      <w:r>
        <w:t xml:space="preserve">establece el límite termodinámico mínimo de la</w:t>
      </w:r>
      <w:r>
        <w:t xml:space="preserve"> </w:t>
      </w:r>
      <w:r>
        <w:t xml:space="preserve">energía disipada al borrar un bit de información: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Landauer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≈</m:t>
          </m:r>
          <m:r>
            <m:t>2.85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nor/>
              <m:sty m:val="p"/>
            </m:rPr>
            <m:t> J a </m:t>
          </m:r>
          <m:sSup>
            <m:e>
              <m:r>
                <m:t>25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t xml:space="preserve"> </w:t>
      </w:r>
      <w:r>
        <w:t xml:space="preserve">J/K es la constante de Boltzmann 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la</w:t>
      </w:r>
      <w:r>
        <w:t xml:space="preserve"> </w:t>
      </w:r>
      <w:r>
        <w:t xml:space="preserve">temperatura absoluta. Este es el límite físico de la reversibilidad computacional.</w:t>
      </w:r>
    </w:p>
    <w:p>
      <w:pPr>
        <w:pStyle w:val="BodyText"/>
      </w:pPr>
      <w:r>
        <w:t xml:space="preserve">La tokenización de POLYDIM destruye</w:t>
      </w:r>
      <w:r>
        <w:t xml:space="preserve"> </w:t>
      </w:r>
      <w:r>
        <w:rPr>
          <w:b/>
          <w:bCs/>
        </w:rPr>
        <w:t xml:space="preserve">17225 bits por inferencia</w:t>
      </w:r>
      <w:r>
        <w:t xml:space="preserve"> </w:t>
      </w:r>
      <w:r>
        <w:t xml:space="preserve">(Capítulo </w:t>
      </w:r>
      <w:hyperlink w:anchor="ch:dpi">
        <w:r>
          <w:rPr>
            <w:rStyle w:val="Hyperlink"/>
          </w:rPr>
          <w:t xml:space="preserve">[ch:dpi]</w:t>
        </w:r>
      </w:hyperlink>
      <w:r>
        <w:t xml:space="preserve">).</w:t>
      </w:r>
      <w:r>
        <w:t xml:space="preserve"> </w:t>
      </w:r>
      <w:r>
        <w:t xml:space="preserve">El costo de Landauer de esta destrucción irreversible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tokens</m:t>
              </m:r>
            </m:sub>
          </m:sSub>
          <m:r>
            <m:rPr>
              <m:sty m:val="p"/>
            </m:rPr>
            <m:t>=</m:t>
          </m:r>
          <m:r>
            <m:t>17225</m:t>
          </m:r>
          <m:r>
            <m:rPr>
              <m:sty m:val="p"/>
            </m:rPr>
            <m:t>×</m:t>
          </m:r>
          <m:r>
            <m:t>2.85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≈</m:t>
          </m:r>
          <m:r>
            <m:t>4.9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nor/>
              <m:sty m:val="p"/>
            </m:rPr>
            <m:t> J</m:t>
          </m:r>
        </m:oMath>
      </m:oMathPara>
    </w:p>
    <w:p>
      <w:pPr>
        <w:pStyle w:val="FirstParagraph"/>
      </w:pPr>
      <w:r>
        <w:t xml:space="preserve">Esto es negligible en absoluto, pero el costo real viene del cómputo necesario</w:t>
      </w:r>
      <w:r>
        <w:t xml:space="preserve"> </w:t>
      </w:r>
      <w:r>
        <w:t xml:space="preserve">para realizar la tokenización, no del Principio de Landauer.</w:t>
      </w:r>
    </w:p>
    <w:bookmarkEnd w:id="9"/>
    <w:bookmarkStart w:id="10" w:name="Xae3831839766efeb3454d75b91cd778a5696949"/>
    <w:p>
      <w:pPr>
        <w:pStyle w:val="Heading2"/>
      </w:pPr>
      <w:r>
        <w:t xml:space="preserve">El Costo Real: FLOPs y Energía de Datacenter</w:t>
      </w:r>
    </w:p>
    <w:p>
      <w:pPr>
        <w:pStyle w:val="FirstParagraph"/>
      </w:pPr>
      <w:r>
        <w:t xml:space="preserve">El consumo energético real de la tokenización en un datacenter moderno está</w:t>
      </w:r>
      <w:r>
        <w:t xml:space="preserve"> </w:t>
      </w:r>
      <w:r>
        <w:t xml:space="preserve">determinado por:</w:t>
      </w:r>
    </w:p>
    <w:p>
      <w:pPr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eficiencia de cómputo</w:t>
      </w:r>
      <w:r>
        <w:t xml:space="preserve">: una GPU NVIDIA A100 realiza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FLOPs/Watt/segundo.</w:t>
      </w:r>
    </w:p>
    <w:p>
      <w:pPr>
        <w:numPr>
          <w:ilvl w:val="0"/>
          <w:numId w:val="1001"/>
        </w:numPr>
      </w:pPr>
      <w:r>
        <w:t xml:space="preserve">El número de FLOPs necesarios para la tokenización: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encode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×</m:t>
          </m:r>
          <m:r>
            <m:t>32768</m:t>
          </m:r>
          <m:r>
            <m:rPr>
              <m:sty m:val="p"/>
            </m:rPr>
            <m:t>≈</m:t>
          </m:r>
          <m:r>
            <m:t>1.34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nor/>
              <m:sty m:val="p"/>
            </m:rPr>
            <m:t> FLOPs</m:t>
          </m:r>
        </m:oMath>
      </m:oMathPara>
    </w:p>
    <w:p>
      <w:pPr>
        <w:numPr>
          <w:ilvl w:val="0"/>
          <w:numId w:val="1001"/>
        </w:numPr>
      </w:pPr>
      <w:r>
        <w:t xml:space="preserve">El consumo energético por tokenización: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encode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nor/>
                  <m:sty m:val="p"/>
                </m:rPr>
                <m:t> FLOPs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  <m:r>
                <m:rPr>
                  <m:nor/>
                  <m:sty m:val="p"/>
                </m:rPr>
                <m:t> FLOPs/J</m:t>
              </m:r>
            </m:den>
          </m:f>
          <m:r>
            <m:rPr>
              <m:sty m:val="p"/>
            </m:rPr>
            <m:t>=</m:t>
          </m:r>
          <m:r>
            <m:t>1.34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mJ</m:t>
          </m:r>
        </m:oMath>
      </m:oMathPara>
    </w:p>
    <w:p>
      <w:pPr>
        <w:pStyle w:val="FirstParagraph"/>
      </w:pPr>
      <w:r>
        <w:t xml:space="preserve">Comparado con el costo de una copia de memoria (memcpy) equivalente: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memcpy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nor/>
                  <m:sty m:val="p"/>
                </m:rPr>
                <m:t> bytes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  <m:r>
                <m:rPr>
                  <m:nor/>
                  <m:sty m:val="p"/>
                </m:rPr>
                <m:t> bytes/J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32768</m:t>
              </m:r>
              <m:r>
                <m:rPr>
                  <m:nor/>
                  <m:sty m:val="p"/>
                </m:rPr>
                <m:t> bytes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nor/>
              <m:sty m:val="p"/>
            </m:rPr>
            <m:t> mJ</m:t>
          </m:r>
        </m:oMath>
      </m:oMathPara>
    </w:p>
    <w:p>
      <w:pPr>
        <w:pStyle w:val="FirstParagraph"/>
      </w:pPr>
      <w:r>
        <w:t xml:space="preserve">El ratio de ineficiencia energética de la tokenización vs memcpy: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encode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memcpy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3.28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408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Para encode</w:t>
      </w:r>
      <w:r>
        <w:t xml:space="preserve"> </w:t>
      </w:r>
      <w:r>
        <w:rPr>
          <w:i/>
          <w:iCs/>
        </w:rPr>
        <w:t xml:space="preserve">más</w:t>
      </w:r>
      <w:r>
        <w:t xml:space="preserve"> </w:t>
      </w:r>
      <w:r>
        <w:t xml:space="preserve">decode (pipeline completo):</w:t>
      </w:r>
      <w:r>
        <w:t xml:space="preserve"> </w:t>
      </w:r>
      <m:oMath>
        <m:r>
          <m:rPr>
            <m:sty m:val="p"/>
          </m:rPr>
          <m:t>≈</m:t>
        </m:r>
        <m:r>
          <m:t>816</m:t>
        </m:r>
        <m:r>
          <m:rPr>
            <m:sty m:val="p"/>
          </m:rPr>
          <m:t>×</m:t>
        </m:r>
      </m:oMath>
      <w:r>
        <w:t xml:space="preserve">.</w:t>
      </w:r>
      <w:r>
        <w:t xml:space="preserve"> </w:t>
      </w:r>
      <w:r>
        <w:t xml:space="preserve">Para el pipeline de 4 agentes (4 encode + 4 decode):</w:t>
      </w:r>
      <w:r>
        <w:t xml:space="preserve"> </w:t>
      </w:r>
      <m:oMath>
        <m:r>
          <m:rPr>
            <m:sty m:val="p"/>
          </m:rPr>
          <m:t>≈</m:t>
        </m:r>
        <m:r>
          <m:t>3264</m:t>
        </m:r>
        <m:r>
          <m:rPr>
            <m:sty m:val="p"/>
          </m:rPr>
          <m:t>×</m:t>
        </m:r>
      </m:oMath>
      <w:r>
        <w:t xml:space="preserve">.</w:t>
      </w:r>
    </w:p>
    <w:bookmarkEnd w:id="10"/>
    <w:bookmarkStart w:id="11" w:name="Xdf381bef5494c6788e75241422c5f8cdbefc31a"/>
    <w:p>
      <w:pPr>
        <w:pStyle w:val="Heading2"/>
      </w:pPr>
      <w:r>
        <w:t xml:space="preserve">La Escala Global: 1 Millón de Consultas por Segundo</w:t>
      </w:r>
    </w:p>
    <w:p>
      <w:pPr>
        <w:pStyle w:val="FirstParagraph"/>
      </w:pPr>
      <w:r>
        <w:t xml:space="preserve">Los modelos de lenguaje modernos en producción (ChatGPT, Claude, Gemini) procesan</w:t>
      </w:r>
      <w:r>
        <w:t xml:space="preserve"> </w:t>
      </w:r>
      <w:r>
        <w:t xml:space="preserve">del orden de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consultas por segundo. El desperdicio energético global: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Desperdicio diario</m:t>
                  </m:r>
                </m:e>
                <m:sub>
                  <m:r>
                    <m:rPr>
                      <m:nor/>
                      <m:sty m:val="p"/>
                    </m:rPr>
                    <m:t>tokenización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nor/>
                  <m:sty m:val="p"/>
                </m:rPr>
                <m:t> req/s</m:t>
              </m:r>
              <m:r>
                <m:rPr>
                  <m:sty m:val="p"/>
                </m:rPr>
                <m:t>×</m:t>
              </m:r>
              <m:r>
                <m:t>86400</m:t>
              </m:r>
              <m:r>
                <m:rPr>
                  <m:nor/>
                  <m:sty m:val="p"/>
                </m:rPr>
                <m:t> s</m:t>
              </m:r>
              <m:r>
                <m:rPr>
                  <m:sty m:val="p"/>
                </m:rPr>
                <m:t>×</m:t>
              </m:r>
              <m:r>
                <m:t>816</m:t>
              </m:r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memcpy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86400</m:t>
              </m:r>
              <m:r>
                <m:rPr>
                  <m:sty m:val="p"/>
                </m:rPr>
                <m:t>×</m:t>
              </m:r>
              <m:r>
                <m:t>816</m:t>
              </m:r>
              <m:r>
                <m:rPr>
                  <m:sty m:val="p"/>
                </m:rPr>
                <m:t>×</m:t>
              </m:r>
              <m:r>
                <m:t>3.28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nor/>
                  <m:sty m:val="p"/>
                </m:rPr>
                <m:t> mJ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nor/>
                  <m:sty m:val="p"/>
                </m:rPr>
                <m:t> J</m:t>
              </m:r>
              <m:r>
                <m:rPr>
                  <m:sty m:val="p"/>
                </m:rPr>
                <m:t>≈</m:t>
              </m:r>
              <m:r>
                <m:t>6.4</m:t>
              </m:r>
              <m:r>
                <m:rPr>
                  <m:nor/>
                  <m:sty m:val="p"/>
                </m:rPr>
                <m:t> kWh/día</m:t>
              </m:r>
            </m:e>
          </m:eqArr>
        </m:oMath>
      </m:oMathPara>
    </w:p>
    <w:p>
      <w:pPr>
        <w:pStyle w:val="FirstParagraph"/>
      </w:pPr>
      <w:r>
        <w:t xml:space="preserve">Por supuesto, esto es el overhead de energía atribuible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a la</w:t>
      </w:r>
      <w:r>
        <w:t xml:space="preserve"> </w:t>
      </w:r>
      <w:r>
        <w:t xml:space="preserve">conversión de formato. El cómputo de inferencia real domina.</w:t>
      </w:r>
    </w:p>
    <w:bookmarkEnd w:id="11"/>
    <w:bookmarkStart w:id="12" w:name="el-impacto-económico-perspectiva-latam"/>
    <w:p>
      <w:pPr>
        <w:pStyle w:val="Heading2"/>
      </w:pPr>
      <w:r>
        <w:t xml:space="preserve">El Impacto Económico: Perspectiva LATAM</w:t>
      </w:r>
    </w:p>
    <w:p>
      <w:pPr>
        <w:pStyle w:val="FirstParagraph"/>
      </w:pPr>
      <w:r>
        <w:t xml:space="preserve">Desde Argentina, donde la electricidad tiene un costo mixto de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$</m:t>
        </m:r>
        <m:r>
          <m:t>0.08</m:t>
        </m:r>
      </m:oMath>
      <w:r>
        <w:t xml:space="preserve">/kWh (subsidiado) a</w:t>
      </w:r>
      <w:r>
        <w:t xml:space="preserve"> </w:t>
      </w:r>
      <m:oMath>
        <m:r>
          <m:rPr>
            <m:sty m:val="p"/>
          </m:rPr>
          <m:t>$</m:t>
        </m:r>
        <m:r>
          <m:t>0.20</m:t>
        </m:r>
      </m:oMath>
      <w:r>
        <w:t xml:space="preserve">/kWh (tarifa real de datacenter):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Costo anual</m:t>
              </m:r>
            </m:e>
            <m:sub>
              <m:r>
                <m:rPr>
                  <m:nor/>
                  <m:sty m:val="p"/>
                </m:rPr>
                <m:t>tokenización</m:t>
              </m:r>
            </m:sub>
          </m:sSub>
          <m:r>
            <m:rPr>
              <m:sty m:val="p"/>
            </m:rPr>
            <m:t>≈</m:t>
          </m:r>
          <m:r>
            <m:t>6.4</m:t>
          </m:r>
          <m:r>
            <m:rPr>
              <m:nor/>
              <m:sty m:val="p"/>
            </m:rPr>
            <m:t> kWh/día</m:t>
          </m:r>
          <m:r>
            <m:rPr>
              <m:sty m:val="p"/>
            </m:rPr>
            <m:t>×</m:t>
          </m:r>
          <m:r>
            <m:t>365</m:t>
          </m:r>
          <m:r>
            <m:rPr>
              <m:sty m:val="p"/>
            </m:rPr>
            <m:t>×</m:t>
          </m:r>
          <m:r>
            <m:rPr>
              <m:sty m:val="p"/>
            </m:rPr>
            <m:t>$</m:t>
          </m:r>
          <m:r>
            <m:t>0.15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350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año</m:t>
          </m:r>
        </m:oMath>
      </m:oMathPara>
    </w:p>
    <w:p>
      <w:pPr>
        <w:pStyle w:val="FirstParagraph"/>
      </w:pPr>
      <w:r>
        <w:t xml:space="preserve">Más relevante para POLYDIM es el</w:t>
      </w:r>
      <w:r>
        <w:t xml:space="preserve"> </w:t>
      </w:r>
      <w:r>
        <w:rPr>
          <w:b/>
          <w:bCs/>
        </w:rPr>
        <w:t xml:space="preserve">multiplicador de capacidad</w:t>
      </w:r>
      <w:r>
        <w:t xml:space="preserve">: si PMTP</w:t>
      </w:r>
      <w:r>
        <w:t xml:space="preserve"> </w:t>
      </w:r>
      <w:r>
        <w:t xml:space="preserve">permite que 10 agentes hagan el trabajo de 14 (por la reducción de overhead),</w:t>
      </w:r>
      <w:r>
        <w:t xml:space="preserve"> </w:t>
      </w:r>
      <w:r>
        <w:t xml:space="preserve">el costo de infraestructura de un laboratorio se reduce en</w:t>
      </w:r>
      <w:r>
        <w:t xml:space="preserve"> </w:t>
      </w:r>
      <m:oMath>
        <m:r>
          <m:rPr>
            <m:sty m:val="p"/>
          </m:rPr>
          <m:t>≈</m:t>
        </m:r>
        <m:r>
          <m:t>40</m:t>
        </m:r>
        <m:r>
          <m:rPr>
            <m:sty m:val="p"/>
          </m:rPr>
          <m:t>%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Multiplicador POLYDIM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GPUs necesarias con tokens</m:t>
              </m:r>
            </m:num>
            <m:den>
              <m:r>
                <m:rPr>
                  <m:nor/>
                  <m:sty m:val="p"/>
                </m:rPr>
                <m:t>GPUs necesarias con PMTP</m:t>
              </m:r>
            </m:den>
          </m:f>
          <m:r>
            <m:rPr>
              <m:sty m:val="p"/>
            </m:rPr>
            <m:t>≈</m:t>
          </m:r>
          <m:r>
            <m:t>14</m:t>
          </m:r>
          <m:r>
            <m:rPr>
              <m:sty m:val="p"/>
            </m:rPr>
            <m:t>/</m:t>
          </m:r>
          <m:r>
            <m:t>10</m:t>
          </m:r>
          <m:r>
            <m:rPr>
              <m:sty m:val="p"/>
            </m:rPr>
            <m:t>=</m:t>
          </m:r>
          <m:r>
            <m:t>1.4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En términos de dólares, para un cluster de 100 GPUs A100 a $3/hora: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Ahorro anual</m:t>
          </m:r>
          <m:r>
            <m:rPr>
              <m:sty m:val="p"/>
            </m:rPr>
            <m:t>=</m:t>
          </m:r>
          <m:r>
            <m:t>40</m:t>
          </m:r>
          <m:r>
            <m:rPr>
              <m:nor/>
              <m:sty m:val="p"/>
            </m:rPr>
            <m:t> GPUs</m:t>
          </m:r>
          <m:r>
            <m:rPr>
              <m:sty m:val="p"/>
            </m:rPr>
            <m:t>×</m:t>
          </m:r>
          <m:r>
            <m:rPr>
              <m:sty m:val="p"/>
            </m:rPr>
            <m:t>$</m:t>
          </m:r>
          <m:r>
            <m:t>3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hora</m:t>
          </m:r>
          <m:r>
            <m:rPr>
              <m:sty m:val="p"/>
            </m:rPr>
            <m:t>×</m:t>
          </m:r>
          <m:r>
            <m:t>8760</m:t>
          </m:r>
          <m:r>
            <m:rPr>
              <m:nor/>
              <m:sty m:val="p"/>
            </m:rPr>
            <m:t> horas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</m:t>
          </m:r>
          <m:r>
            <m:rPr>
              <m:sty m:val="p"/>
            </m:rPr>
            <m:t>,</m:t>
          </m:r>
          <m:r>
            <m:t>051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año</m:t>
          </m:r>
        </m:oMath>
      </m:oMathPara>
    </w:p>
    <w:bookmarkEnd w:id="12"/>
    <w:bookmarkStart w:id="13" w:name="la-métrica-reina-4-de-cada-10-servidores"/>
    <w:p>
      <w:pPr>
        <w:pStyle w:val="Heading2"/>
      </w:pPr>
      <w:r>
        <w:t xml:space="preserve">La Métrica Reina:</w:t>
      </w:r>
      <w:r>
        <w:t xml:space="preserve"> </w:t>
      </w:r>
      <w:r>
        <w:t xml:space="preserve">“4 de Cada 10 Servidores”</w:t>
      </w:r>
    </w:p>
    <w:p>
      <w:pPr>
        <w:pStyle w:val="FirstParagraph"/>
      </w:pPr>
      <w:r>
        <w:t xml:space="preserve">El Reporte Nocturno de 12 Horas documentó la métrica central del Whitebook:</w:t>
      </w:r>
      <w:r>
        <w:t xml:space="preserve"> </w:t>
      </w:r>
      <w:r>
        <w:t xml:space="preserve">eliminando el overhead de tokenización, un enjambre de 10 agentes puede procesar</w:t>
      </w:r>
      <w:r>
        <w:t xml:space="preserve"> </w:t>
      </w:r>
      <w:r>
        <w:t xml:space="preserve">el mismo trabajo que 14 con el overhead, haciendo que 4 de cada 14 servidores</w:t>
      </w:r>
      <w:r>
        <w:t xml:space="preserve"> </w:t>
      </w:r>
      <w:r>
        <w:t xml:space="preserve">sean redundantes cuando se adopta PMTP.</w:t>
      </w:r>
    </w:p>
    <w:p>
      <w:pPr>
        <w:pStyle w:val="BodyText"/>
      </w:pPr>
      <w:r>
        <w:t xml:space="preserve">Formalizando: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Throughput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tokens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GPUs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inference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overhead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Throughput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PMTP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GPUs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inference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overhead</m:t>
            </m:r>
          </m:sub>
        </m:sSub>
        <m:r>
          <m:rPr>
            <m:sty m:val="p"/>
          </m:rPr>
          <m:t>≈</m:t>
        </m:r>
        <m:r>
          <m:t>0.286</m:t>
        </m:r>
      </m:oMath>
      <w:r>
        <w:t xml:space="preserve"> </w:t>
      </w:r>
      <w:r>
        <w:t xml:space="preserve">(overhead de tokenización como fracción</w:t>
      </w:r>
      <w:r>
        <w:t xml:space="preserve"> </w:t>
      </w:r>
      <w:r>
        <w:t xml:space="preserve">del tiempo total de inferencia en el caso típico de 4 agentes). Por tanto: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GPUs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PMTP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GPUs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tokens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overhead</m:t>
              </m:r>
            </m:sub>
          </m:sSub>
          <m:r>
            <m:rPr>
              <m:sty m:val="p"/>
            </m:rPr>
            <m:t>≈</m:t>
          </m:r>
          <m:r>
            <m:t>0.714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14</m:t>
              </m:r>
            </m:den>
          </m:f>
        </m:oMath>
      </m:oMathPara>
    </w:p>
    <w:bookmarkEnd w:id="13"/>
    <w:bookmarkStart w:id="14" w:name="X77ff130cbb6826ff5d61c042abe89b403537132"/>
    <w:p>
      <w:pPr>
        <w:pStyle w:val="Heading2"/>
      </w:pPr>
      <w:r>
        <w:t xml:space="preserve">Impacto para Laboratorios con Escasez de Hardware (China)</w:t>
      </w:r>
    </w:p>
    <w:p>
      <w:pPr>
        <w:pStyle w:val="FirstParagraph"/>
      </w:pPr>
      <w:r>
        <w:t xml:space="preserve">El Reporte Nocturno identificó la implicación geopolítica más significativa:</w:t>
      </w:r>
      <w:r>
        <w:t xml:space="preserve"> </w:t>
      </w:r>
      <w:r>
        <w:t xml:space="preserve">los laboratorios chinos (Qwen/Alibaba, DeepSeek) operan bajo restricciones</w:t>
      </w:r>
      <w:r>
        <w:t xml:space="preserve"> </w:t>
      </w:r>
      <w:r>
        <w:t xml:space="preserve">de exportación de chips H100/A100 impuestas por EE.UU. (Controles de Exportación</w:t>
      </w:r>
      <w:r>
        <w:t xml:space="preserve"> </w:t>
      </w:r>
      <w:r>
        <w:t xml:space="preserve">de Octubre 2022 y Octubre 2023).</w:t>
      </w:r>
    </w:p>
    <w:p>
      <w:pPr>
        <w:pStyle w:val="BodyText"/>
      </w:pPr>
      <w:r>
        <w:t xml:space="preserve">Para un laboratorio con capacidad fija de 1000 GPUs:</w:t>
      </w:r>
    </w:p>
    <w:p>
      <w:pPr>
        <w:numPr>
          <w:ilvl w:val="0"/>
          <w:numId w:val="1002"/>
        </w:numPr>
      </w:pPr>
      <w:r>
        <w:t xml:space="preserve">Con tokenización: puede entrenar/inferir modelos de tamaño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Con PMTP: puede entrenar/inferir modelos de tamaño</w:t>
      </w:r>
      <w:r>
        <w:t xml:space="preserve"> </w:t>
      </w:r>
      <m:oMath>
        <m:r>
          <m:t>C</m:t>
        </m:r>
        <m:r>
          <m:rPr>
            <m:sty m:val="p"/>
          </m:rPr>
          <m:t>×</m:t>
        </m:r>
        <m:r>
          <m:t>1.4</m:t>
        </m:r>
      </m:oMath>
      <w:r>
        <w:t xml:space="preserve">.</w:t>
      </w:r>
    </w:p>
    <w:p>
      <w:pPr>
        <w:pStyle w:val="FirstParagraph"/>
      </w:pPr>
      <w:r>
        <w:t xml:space="preserve">Este multiplicador es equivalente a recibir 400 GPUs adicionales sin comprarlas —</w:t>
      </w:r>
      <w:r>
        <w:t xml:space="preserve"> </w:t>
      </w:r>
      <w:r>
        <w:t xml:space="preserve">el equivalente a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$</m:t>
        </m:r>
        <m:r>
          <m:t>100</m:t>
        </m:r>
      </m:oMath>
      <w:r>
        <w:t xml:space="preserve"> </w:t>
      </w:r>
      <w:r>
        <w:t xml:space="preserve">millones de inversión en hardware al precio de mercado.</w:t>
      </w:r>
    </w:p>
    <w:p>
      <w:pPr>
        <w:pStyle w:val="BodyText"/>
      </w:pPr>
      <w:r>
        <w:t xml:space="preserve">La adopción de PMTP por un laboratorio con escasez de hardware no es una mejora</w:t>
      </w:r>
      <w:r>
        <w:t xml:space="preserve"> </w:t>
      </w:r>
      <w:r>
        <w:t xml:space="preserve">de eficiencia: es una</w:t>
      </w:r>
      <w:r>
        <w:t xml:space="preserve"> </w:t>
      </w:r>
      <w:r>
        <w:rPr>
          <w:b/>
          <w:bCs/>
        </w:rPr>
        <w:t xml:space="preserve">ventaja competitiva estructural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2026-09-28T19:51:37Z</dcterms:created>
  <dcterms:modified xsi:type="dcterms:W3CDTF">2026-09-28T19:51:37Z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