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d0e02a2cd1dfecee2b64cf6ead7e0b9219f03d5"/>
    <w:p>
      <w:pPr>
        <w:pStyle w:val="Heading1"/>
      </w:pPr>
      <w:r>
        <w:t xml:space="preserve">POLYDIM V814: El Tribunal de Enjambre y la Teoría de Espacios Vectoriales Acoplados</w:t>
      </w:r>
    </w:p>
    <w:bookmarkStart w:id="9" w:name="X98afc087846067dd91d68c952d97d14fb2f3d9b"/>
    <w:p>
      <w:pPr>
        <w:pStyle w:val="Heading2"/>
      </w:pPr>
      <w:r>
        <w:t xml:space="preserve">Génesis de la Serie 800 y el Dogma de Cero Tokens</w:t>
      </w:r>
    </w:p>
    <w:p>
      <w:pPr>
        <w:pStyle w:val="FirstParagraph"/>
      </w:pPr>
      <w:r>
        <w:t xml:space="preserve">Con la evolución de la arquitectura POLYDIM a la Serie 800 (versiones V808 a V814), la investigación alcanzó un punto de inflexión metodológico: la erradicación definitiva de la serialización textual (el "Gusano 1D") no solo para tensores de datos, sino para el propio proceso de co-diseño, auditoría y orquestación multi-agente.</w:t>
      </w:r>
    </w:p>
    <w:p>
      <w:pPr>
        <w:pStyle w:val="BodyText"/>
      </w:pPr>
      <w:r>
        <w:t xml:space="preserve">Bajo la</w:t>
      </w:r>
      <w:r>
        <w:t xml:space="preserve"> </w:t>
      </w:r>
      <w:r>
        <w:rPr>
          <w:b/>
          <w:bCs/>
        </w:rPr>
        <w:t xml:space="preserve">Regla 19</w:t>
      </w:r>
      <w:r>
        <w:t xml:space="preserve">, la</w:t>
      </w:r>
      <w:r>
        <w:t xml:space="preserve"> </w:t>
      </w:r>
      <w:r>
        <w:rPr>
          <w:b/>
          <w:bCs/>
        </w:rPr>
        <w:t xml:space="preserve">Regla 22 (Protocolo Fantasma)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Regla 28</w:t>
      </w:r>
      <w:r>
        <w:t xml:space="preserve">, el enjambre de Inteligencias Artificiales de vanguardia (ChatGPT, Claude Opus, DeepSeek, Qwen 2.5 72B, Moonshot Kimi, Gemini y Z-AI) dejó de interactuar a través de diálogos discursivos en lenguaje natural para operar directamente sobre una base de conocimiento vectorial indexada (</w:t>
      </w:r>
      <w:r>
        <w:rPr>
          <w:rStyle w:val="VerbatimChar"/>
        </w:rPr>
        <w:t xml:space="preserve">POLYDIM_VECDB.sqlite</w:t>
      </w:r>
      <w:r>
        <w:t xml:space="preserve">) y un segmento de memoria compartida nativa (</w:t>
      </w:r>
      <w:r>
        <w:rPr>
          <w:rStyle w:val="VerbatimChar"/>
        </w:rPr>
        <w:t xml:space="preserve">SLAB_V813_SWARM_STATE</w:t>
      </w:r>
      <w:r>
        <w:t xml:space="preserve">).</w:t>
      </w:r>
    </w:p>
    <w:bookmarkEnd w:id="9"/>
    <w:bookmarkStart w:id="10" w:name="Xf08458fdd5429f3c9f799c35680c765b016e802"/>
    <w:p>
      <w:pPr>
        <w:pStyle w:val="Heading2"/>
      </w:pPr>
      <w:r>
        <w:t xml:space="preserve">La Tríada de Espacios Vectoriales (Arquitectura Formal)</w:t>
      </w:r>
    </w:p>
    <w:p>
      <w:pPr>
        <w:pStyle w:val="FirstParagraph"/>
      </w:pPr>
      <w:r>
        <w:t xml:space="preserve">La teoría de POLYDIM V814 formaliza la cognición de agentes inteligentes mediante tres variedades Riemannianas diferenciables y acopladas: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Espacio de Problema (</w:t>
      </w:r>
      <m:oMath>
        <m:sSub>
          <m:e>
            <m:r>
              <m:rPr>
                <m:scr m:val="script"/>
                <m:sty m:val="p"/>
              </m:rPr>
              <m:t>M</m:t>
            </m:r>
          </m:e>
          <m:sub>
            <m:r>
              <m:rPr>
                <m:nor/>
                <m:sty m:val="p"/>
              </m:rPr>
              <m:t>prob</m:t>
            </m:r>
          </m:sub>
        </m:sSub>
        <m:r>
          <m:rPr>
            <m:sty m:val="p"/>
          </m:rPr>
          <m:t>⊂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b/>
          <w:bCs/>
        </w:rPr>
        <w:t xml:space="preserve">):</w:t>
      </w:r>
      <w:r>
        <w:t xml:space="preserve"> </w:t>
      </w:r>
      <w:r>
        <w:t xml:space="preserve">Representa la variedad geométrica de los datos del mundo real (señales de sensores, matrices de covarianza, tensores latentes neuronales y restricciones físicas). La preservación de normas y la ortogonalidad se gobiernan mediante la rotación geodésica de Rodrigues y el álgebra de Clifford</w:t>
      </w:r>
      <w:r>
        <w:t xml:space="preserve"> </w:t>
      </w:r>
      <m:oMath>
        <m:r>
          <m:t>C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Espacio de Agente (</w:t>
      </w:r>
      <m:oMath>
        <m:sSub>
          <m:e>
            <m:r>
              <m:rPr>
                <m:scr m:val="script"/>
                <m:sty m:val="p"/>
              </m:rPr>
              <m:t>M</m:t>
            </m:r>
          </m:e>
          <m:sub>
            <m:r>
              <m:rPr>
                <m:nor/>
                <m:sty m:val="p"/>
              </m:rPr>
              <m:t>agent</m:t>
            </m:r>
          </m:sub>
        </m:sSub>
        <m:r>
          <m:rPr>
            <m:sty m:val="p"/>
          </m:rPr>
          <m:t>⊂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t>a</m:t>
                </m:r>
              </m:sub>
            </m:sSub>
          </m:sup>
        </m:sSup>
      </m:oMath>
      <w:r>
        <w:rPr>
          <w:b/>
          <w:bCs/>
        </w:rPr>
        <w:t xml:space="preserve">):</w:t>
      </w:r>
      <w:r>
        <w:t xml:space="preserve"> </w:t>
      </w:r>
      <w:r>
        <w:t xml:space="preserve">Codifica el estado operativo interno de cada agente: objetivos primarios, tensores de incertidumbre epistémica, memoria de trabajo de corto plazo y gradientes de error. Al sincronizar agentes, estos estados se transfieren como punteros a slabs de memoria física sin emitir un solo token de lenguaje natural.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Espacio de Coordinación y Habilidades (</w:t>
      </w:r>
      <m:oMath>
        <m:sSub>
          <m:e>
            <m:r>
              <m:rPr>
                <m:scr m:val="script"/>
                <m:sty m:val="p"/>
              </m:rPr>
              <m:t>M</m:t>
            </m:r>
          </m:e>
          <m:sub>
            <m:r>
              <m:rPr>
                <m:nor/>
                <m:sty m:val="p"/>
              </m:rPr>
              <m:t>coord</m:t>
            </m:r>
          </m:sub>
        </m:sSub>
        <m:r>
          <m:rPr>
            <m:sty m:val="p"/>
          </m:rPr>
          <m:t>⊂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b/>
          <w:bCs/>
        </w:rPr>
        <w:t xml:space="preserve">):</w:t>
      </w:r>
      <w:r>
        <w:t xml:space="preserve"> </w:t>
      </w:r>
      <w:r>
        <w:t xml:space="preserve">Las herramientas, funciones y</w:t>
      </w:r>
      <w:r>
        <w:t xml:space="preserve"> </w:t>
      </w:r>
      <w:r>
        <w:rPr>
          <w:i/>
          <w:iCs/>
        </w:rPr>
        <w:t xml:space="preserve">skills</w:t>
      </w:r>
      <w:r>
        <w:t xml:space="preserve"> </w:t>
      </w:r>
      <w:r>
        <w:t xml:space="preserve">del sistema se representan como coordenadas invariantes en una hiperesfera de capacidades. La asignación de tareas a un agente especializado no se realiza mediante un clasificador léxico de texto, sino calculando la proximidad angular geodésica: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sim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s</m:t>
              </m:r>
            </m:e>
            <m:sub>
              <m:r>
                <m:rPr>
                  <m:nor/>
                  <m:sty m:val="p"/>
                </m:rPr>
                <m:t>req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s</m:t>
              </m:r>
            </m:e>
            <m:sub>
              <m:r>
                <m:rPr>
                  <m:nor/>
                  <m:sty m:val="p"/>
                </m:rPr>
                <m:t>skill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sSub>
            <m:e>
              <m:r>
                <m:rPr>
                  <m:sty m:val="bi"/>
                </m:rPr>
                <m:t>s</m:t>
              </m:r>
            </m:e>
            <m:sub>
              <m:r>
                <m:rPr>
                  <m:nor/>
                  <m:sty m:val="p"/>
                </m:rPr>
                <m:t>req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s</m:t>
              </m:r>
            </m:e>
            <m:sub>
              <m:r>
                <m:rPr>
                  <m:nor/>
                  <m:sty m:val="p"/>
                </m:rPr>
                <m:t>skill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≥</m:t>
          </m:r>
          <m:sSub>
            <m:e>
              <m:r>
                <m:t>τ</m:t>
              </m:r>
            </m:e>
            <m:sub>
              <m:r>
                <m:rPr>
                  <m:nor/>
                  <m:sty m:val="p"/>
                </m:rPr>
                <m:t>admisible</m:t>
              </m:r>
            </m:sub>
          </m:sSub>
        </m:oMath>
      </m:oMathPara>
    </w:p>
    <w:bookmarkEnd w:id="10"/>
    <w:bookmarkStart w:id="11" w:name="Xe8ff2f7f8e0d1b6f25beebe0af8981a9b68f220"/>
    <w:p>
      <w:pPr>
        <w:pStyle w:val="Heading2"/>
      </w:pPr>
      <w:r>
        <w:t xml:space="preserve">Auditoría Adversarial del Tribunal Multi-IA (486 Hallazgos)</w:t>
      </w:r>
    </w:p>
    <w:p>
      <w:pPr>
        <w:pStyle w:val="FirstParagraph"/>
      </w:pPr>
      <w:r>
        <w:t xml:space="preserve">Durante el ciclo de evaluación de la Serie 800, el Tribunal Multi-IA procesó y categorizó 486 opiniones y vectores de fallo en la base de datos vectorial (</w:t>
      </w:r>
      <w:r>
        <w:rPr>
          <w:rStyle w:val="VerbatimChar"/>
        </w:rPr>
        <w:t xml:space="preserve">POLYDIM_VECDB.sqlite</w:t>
      </w:r>
      <w:r>
        <w:t xml:space="preserve">). La síntesis de consenso identificó seis ejes críticos que fueron resueltos en el Kernel V814: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Brecha Identificada (Red Team)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Resolución Arquitectónica V814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Clifford QPU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Falacia de aproximación fija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t>H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denominada erróneamente Ross-Selinger.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de síntesis exacta GridSynth en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y desacoplamiento de errores angulares reales en</w:t>
            </w:r>
            <w:r>
              <w:t xml:space="preserve"> </w:t>
            </w:r>
            <w:r>
              <w:rPr>
                <w:rStyle w:val="VerbatimChar"/>
              </w:rPr>
              <w:t xml:space="preserve">out_angular_error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Rust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Alocación en heap (</w:t>
            </w:r>
            <w:r>
              <w:rPr>
                <w:rStyle w:val="VerbatimChar"/>
              </w:rPr>
              <w:t xml:space="preserve">Vec&lt;u8&gt;</w:t>
            </w:r>
            <w:r>
              <w:t xml:space="preserve">) corrupta tras</w:t>
            </w:r>
            <w:r>
              <w:t xml:space="preserve"> </w:t>
            </w:r>
            <w:r>
              <w:rPr>
                <w:rStyle w:val="VerbatimChar"/>
              </w:rPr>
              <w:t xml:space="preserve">fork()</w:t>
            </w:r>
            <w:r>
              <w:t xml:space="preserve"> </w:t>
            </w:r>
            <w:r>
              <w:t xml:space="preserve">multivariante.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Eliminación de heap en hot-path; paso de buffers pre-asignados (</w:t>
            </w:r>
            <w:r>
              <w:rPr>
                <w:rStyle w:val="VerbatimChar"/>
              </w:rPr>
              <w:t xml:space="preserve">&amp;mut [u8]</w:t>
            </w:r>
            <w:r>
              <w:t xml:space="preserve">) gestionados por el llamador FFI.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Stiefel SMW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Matrices intermedias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  <m:r>
                    <m:t>K</m:t>
                  </m:r>
                </m:sup>
              </m:sSup>
            </m:oMath>
            <w:r>
              <w:t xml:space="preserve"> </w:t>
            </w:r>
            <w:r>
              <w:t xml:space="preserve">causantes de OOM a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Solver Streaming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×</m:t>
              </m:r>
              <m:r>
                <m:t>K</m:t>
              </m:r>
            </m:oMath>
            <w:r>
              <w:t xml:space="preserve"> </w:t>
            </w:r>
            <w:r>
              <w:t xml:space="preserve">procesado por bloques de caché L2/L3 sin tensores temporales gigantes.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PMTP Futex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Incompatibilidad de</w:t>
            </w:r>
            <w:r>
              <w:t xml:space="preserve"> </w:t>
            </w:r>
            <w:r>
              <w:rPr>
                <w:rStyle w:val="VerbatimChar"/>
              </w:rPr>
              <w:t xml:space="preserve">WaitOnAddress</w:t>
            </w:r>
            <w:r>
              <w:t xml:space="preserve"> </w:t>
            </w:r>
            <w:r>
              <w:t xml:space="preserve">cross-process y caída del escritor.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SPSC Ring Buffer con cabecera alineada de 128 bytes, timestamp monotónico y detección de caída del escritor (</w:t>
            </w:r>
            <w:r>
              <w:rPr>
                <w:i/>
                <w:iCs/>
              </w:rPr>
              <w:t xml:space="preserve">Dead-Writer Recovery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Reducción BLAS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No-determinismo en reducciones OpenMP de DSYRK para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 TwoSum / Acumulador de Neumaier determinista que acota el error de redondeo a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ϵ</m:t>
                  </m:r>
                </m:e>
                <m:sub>
                  <m:r>
                    <m:rPr>
                      <m:nor/>
                      <m:sty m:val="p"/>
                    </m:rPr>
                    <m:t>mach</m:t>
                  </m:r>
                </m:sub>
              </m:sSub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Dart/Flutter 3DGS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Fuga de punteros al proyectar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hacia shaders Impeller.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Vinculación RAII mediante</w:t>
            </w:r>
            <w:r>
              <w:t xml:space="preserve"> </w:t>
            </w:r>
            <w:r>
              <w:rPr>
                <w:rStyle w:val="VerbatimChar"/>
              </w:rPr>
              <w:t xml:space="preserve">NativeFinalizer</w:t>
            </w:r>
            <w:r>
              <w:t xml:space="preserve"> </w:t>
            </w:r>
            <w:r>
              <w:t xml:space="preserve">con memoria mapeada Zero-Copy.</w:t>
            </w:r>
          </w:p>
        </w:tc>
      </w:tr>
    </w:tbl>
    <w:bookmarkEnd w:id="11"/>
    <w:bookmarkStart w:id="12" w:name="certificación-numérica-en-silicio-v814"/>
    <w:p>
      <w:pPr>
        <w:pStyle w:val="Heading2"/>
      </w:pPr>
      <w:r>
        <w:t xml:space="preserve">Certificación Numérica en Silicio V814</w:t>
      </w:r>
    </w:p>
    <w:p>
      <w:pPr>
        <w:pStyle w:val="FirstParagraph"/>
      </w:pPr>
      <w:r>
        <w:t xml:space="preserve">Los ensayos de laboratorio ejecutados en silicio heterogéneo (AMD Ryzen x64, GCC 14.2.0, Rustc 1.98.1) confirmaron la convergencia de la arquitectura V814: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Latencia de IPC PMTP:</w:t>
      </w:r>
      <w:r>
        <w:t xml:space="preserve"> </w:t>
      </w:r>
      <w:r>
        <w:t xml:space="preserve">34.8 nanosegundos en transferencia Zero-Copy SPSC.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Deriva Numérica de Rodrigues (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rPr>
          <w:b/>
          <w:bCs/>
        </w:rPr>
        <w:t xml:space="preserve">):</w:t>
      </w:r>
      <w:r>
        <w:t xml:space="preserve"> </w:t>
      </w:r>
      <m:oMath>
        <m:r>
          <m:rPr>
            <m:nor/>
            <m:sty m:val="p"/>
          </m:rPr>
          <m:t>Drift</m:t>
        </m:r>
        <m:r>
          <m:rPr>
            <m:sty m:val="p"/>
          </m:rPr>
          <m:t>≤</m:t>
        </m:r>
        <m:r>
          <m:t>4.4409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(</w:t>
      </w:r>
      <m:oMath>
        <m:r>
          <m:t>2</m:t>
        </m:r>
        <m:sSub>
          <m:e>
            <m:r>
              <m:t>ϵ</m:t>
            </m:r>
          </m:e>
          <m:sub>
            <m:r>
              <m:rPr>
                <m:nor/>
                <m:sty m:val="p"/>
              </m:rPr>
              <m:t>mach</m:t>
            </m:r>
          </m:sub>
        </m:sSub>
      </m:oMath>
      <w:r>
        <w:t xml:space="preserve">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Ortogonalidad en Variedad de Stiefel (</w:t>
      </w:r>
      <m:oMath>
        <m:r>
          <m:t>K</m:t>
        </m:r>
        <m:r>
          <m:rPr>
            <m:sty m:val="p"/>
          </m:rPr>
          <m:t>=</m:t>
        </m:r>
        <m:r>
          <m:t>8</m:t>
        </m:r>
      </m:oMath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∥</m:t>
        </m:r>
        <m:sSup>
          <m:e>
            <m:r>
              <m:t>Y</m:t>
            </m:r>
          </m:e>
          <m:sup>
            <m:r>
              <m:t>T</m:t>
            </m:r>
          </m:sup>
        </m:sSup>
        <m:r>
          <m:t>Y</m:t>
        </m:r>
        <m:r>
          <m:rPr>
            <m:sty m:val="p"/>
          </m:rPr>
          <m:t>−</m:t>
        </m:r>
        <m:r>
          <m:t>I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3.33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Resiliencia Topológica:</w:t>
      </w:r>
      <w:r>
        <w:t xml:space="preserve"> </w:t>
      </w:r>
      <w:r>
        <w:t xml:space="preserve">Betti-0 conexo (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y detección determinista de agujeros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ante ataques adversariales.</w:t>
      </w:r>
    </w:p>
    <w:p>
      <w:pPr>
        <w:pStyle w:val="FirstParagraph"/>
      </w:pPr>
      <w:r>
        <w:t xml:space="preserve">Esta consolidación empírica cierra el puente entre la teoría matemática de variedades Riemannianas y la ejecución física en silicio industrial.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2026-09-28T19:51:35Z</dcterms:created>
  <dcterms:modified xsi:type="dcterms:W3CDTF">2026-09-28T19:51:35Z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