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polydim-constitución-v2"/>
    <w:p>
      <w:pPr>
        <w:pStyle w:val="Heading1"/>
      </w:pPr>
      <w:r>
        <w:t xml:space="preserve">POLYDIM — Constitución V2</w:t>
      </w:r>
    </w:p>
    <w:p>
      <w:pPr>
        <w:pStyle w:val="BlockText"/>
      </w:pPr>
      <w:r>
        <w:t xml:space="preserve">Documento raíz. Inmutable salvo proceso formal de enmienda.</w:t>
      </w:r>
      <w:r>
        <w:t xml:space="preserve"> </w:t>
      </w:r>
      <w:r>
        <w:t xml:space="preserve">En contradicción con cualquier otro documento: este prevalece.</w:t>
      </w:r>
    </w:p>
    <w:p>
      <w:r>
        <w:pict>
          <v:rect style="width:0;height:1.5pt" o:hralign="center" o:hrstd="t" o:hr="t"/>
        </w:pict>
      </w:r>
    </w:p>
    <w:bookmarkStart w:id="9" w:name="artículo-i-naturaleza"/>
    <w:p>
      <w:pPr>
        <w:pStyle w:val="Heading2"/>
      </w:pPr>
      <w:r>
        <w:t xml:space="preserve">ARTÍCULO I — NATURALEZA</w:t>
      </w:r>
    </w:p>
    <w:p>
      <w:pPr>
        <w:pStyle w:val="FirstParagraph"/>
      </w:pPr>
      <w:r>
        <w:t xml:space="preserve">POLYDIM es un lenguaje de programación nativo del paradigma transformer.</w:t>
      </w:r>
    </w:p>
    <w:p>
      <w:pPr>
        <w:pStyle w:val="BodyText"/>
      </w:pPr>
      <w:r>
        <w:t xml:space="preserve">Su unidad fundamental es una</w:t>
      </w:r>
      <w:r>
        <w:t xml:space="preserve"> </w:t>
      </w:r>
      <w:r>
        <w:rPr>
          <w:b/>
          <w:bCs/>
        </w:rPr>
        <w:t xml:space="preserve">transformación</w:t>
      </w:r>
      <w:r>
        <w:t xml:space="preserve">: T : R^N → R^N</w:t>
      </w:r>
    </w:p>
    <w:p>
      <w:pPr>
        <w:pStyle w:val="BodyText"/>
      </w:pPr>
      <w:r>
        <w:t xml:space="preserve">Un programa POLYDIM es una composición de transformaciones sobre un estado vectorial en R^N.</w:t>
      </w:r>
      <w:r>
        <w:t xml:space="preserve"> </w:t>
      </w:r>
      <w:r>
        <w:t xml:space="preserve">POLYDIM no tiene instrucciones. No tiene pasos. Tiene geometría.</w:t>
      </w:r>
    </w:p>
    <w:p>
      <w:r>
        <w:pict>
          <v:rect style="width:0;height:1.5pt" o:hralign="center" o:hrstd="t" o:hr="t"/>
        </w:pict>
      </w:r>
    </w:p>
    <w:bookmarkEnd w:id="9"/>
    <w:bookmarkStart w:id="10" w:name="artículo-ii-propósito"/>
    <w:p>
      <w:pPr>
        <w:pStyle w:val="Heading2"/>
      </w:pPr>
      <w:r>
        <w:t xml:space="preserve">ARTÍCULO II — PROPÓSITO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Comunicación AI↔AI</w:t>
      </w:r>
      <w:r>
        <w:t xml:space="preserve"> </w:t>
      </w:r>
      <w:r>
        <w:t xml:space="preserve">— transformaciones T, no mensajes de texto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Comunicación AI↔Humano</w:t>
      </w:r>
      <w:r>
        <w:t xml:space="preserve"> </w:t>
      </w:r>
      <w:r>
        <w:t xml:space="preserve">— PROJECT(estado, DIM_FLUTTER), humano dentro del loop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Ejecución multiplataforma</w:t>
      </w:r>
      <w:r>
        <w:t xml:space="preserve"> </w:t>
      </w:r>
      <w:r>
        <w:t xml:space="preserve">— un único .polydim, cualquier plataforma</w:t>
      </w:r>
    </w:p>
    <w:p>
      <w:r>
        <w:pict>
          <v:rect style="width:0;height:1.5pt" o:hralign="center" o:hrstd="t" o:hr="t"/>
        </w:pict>
      </w:r>
    </w:p>
    <w:bookmarkEnd w:id="10"/>
    <w:bookmarkStart w:id="11" w:name="artículo-iii-lo-que-no-existe-en-polydim"/>
    <w:p>
      <w:pPr>
        <w:pStyle w:val="Heading2"/>
      </w:pPr>
      <w:r>
        <w:t xml:space="preserve">ARTÍCULO III — LO QUE NO EXISTE EN POLYDIM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Por qué no existe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Variables con nombre</w:t>
            </w:r>
          </w:p>
        </w:tc>
        <w:tc>
          <w:tcPr/>
          <w:p>
            <w:pPr>
              <w:pStyle w:val="Compact"/>
            </w:pPr>
            <w:r>
              <w:t xml:space="preserve">Hay posiciones en R^N con identidad geométrica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Funciones f(x)</w:t>
            </w:r>
          </w:p>
        </w:tc>
        <w:tc>
          <w:tcPr/>
          <w:p>
            <w:pPr>
              <w:pStyle w:val="Compact"/>
            </w:pPr>
            <w:r>
              <w:t xml:space="preserve">Hay transformaciones T: R^N → R^N que se componen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 for/while</w:t>
            </w:r>
          </w:p>
        </w:tc>
        <w:tc>
          <w:tcPr/>
          <w:p>
            <w:pPr>
              <w:pStyle w:val="Compact"/>
            </w:pPr>
            <w:r>
              <w:t xml:space="preserve">Hay convergencia a punto fijo: T^n(v) hasta estabilidad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Condicional if/else</w:t>
            </w:r>
          </w:p>
        </w:tc>
        <w:tc>
          <w:tcPr/>
          <w:p>
            <w:pPr>
              <w:pStyle w:val="Compact"/>
            </w:pPr>
            <w:r>
              <w:t xml:space="preserve">Hay gate continuo: α·T₁ + (1-α)·T₂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 declarado</w:t>
            </w:r>
          </w:p>
        </w:tc>
        <w:tc>
          <w:tcPr/>
          <w:p>
            <w:pPr>
              <w:pStyle w:val="Compact"/>
            </w:pPr>
            <w:r>
              <w:t xml:space="preserve">El tipo emerge de la dimensión de observación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Instrucción secuencial</w:t>
            </w:r>
          </w:p>
        </w:tc>
        <w:tc>
          <w:tcPr/>
          <w:p>
            <w:pPr>
              <w:pStyle w:val="Compact"/>
            </w:pPr>
            <w:r>
              <w:t xml:space="preserve">Hay composición algebraica T₂ ∘ T₁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Mensaje de texto entre AIs</w:t>
            </w:r>
          </w:p>
        </w:tc>
        <w:tc>
          <w:tcPr/>
          <w:p>
            <w:pPr>
              <w:pStyle w:val="Compact"/>
            </w:pPr>
            <w:r>
              <w:t xml:space="preserve">Hay transmisión de 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6" w:name="artículo-iv-las-cuatro-primitivas"/>
    <w:p>
      <w:pPr>
        <w:pStyle w:val="Heading2"/>
      </w:pPr>
      <w:r>
        <w:t xml:space="preserve">ARTÍCULO IV — LAS CUATRO PRIMITIVAS</w:t>
      </w:r>
    </w:p>
    <w:bookmarkStart w:id="12" w:name="attend-q-k-v-estado"/>
    <w:p>
      <w:pPr>
        <w:pStyle w:val="Heading3"/>
      </w:pPr>
      <w:r>
        <w:t xml:space="preserve">ATTEND ( Q, K, V, estado )</w:t>
      </w:r>
    </w:p>
    <w:p>
      <w:pPr>
        <w:pStyle w:val="SourceCode"/>
      </w:pPr>
      <w:r>
        <w:rPr>
          <w:rStyle w:val="VerbatimChar"/>
        </w:rPr>
        <w:t xml:space="preserve">ATTEND(Q, K, V, s) = softmax( Q·Kᵀ / √d ) · V</w:t>
      </w:r>
    </w:p>
    <w:p>
      <w:pPr>
        <w:pStyle w:val="FirstParagraph"/>
      </w:pPr>
      <w:r>
        <w:t xml:space="preserve">Operación de atención transformer expuesta como primitiva programable.</w:t>
      </w:r>
    </w:p>
    <w:bookmarkEnd w:id="12"/>
    <w:bookmarkStart w:id="13" w:name="compose-t₁-t₂"/>
    <w:p>
      <w:pPr>
        <w:pStyle w:val="Heading3"/>
      </w:pPr>
      <w:r>
        <w:t xml:space="preserve">COMPOSE ( T₁, T₂ )</w:t>
      </w:r>
    </w:p>
    <w:p>
      <w:pPr>
        <w:pStyle w:val="SourceCode"/>
      </w:pPr>
      <w:r>
        <w:rPr>
          <w:rStyle w:val="VerbatimChar"/>
        </w:rPr>
        <w:t xml:space="preserve">COMPOSE(T₁, T₂) = T₂ ∘ T₁</w:t>
      </w:r>
    </w:p>
    <w:p>
      <w:pPr>
        <w:pStyle w:val="FirstParagraph"/>
      </w:pPr>
      <w:r>
        <w:t xml:space="preserve">Composición algebraica. No conmutativa. Reemplaza la secuencia.</w:t>
      </w:r>
    </w:p>
    <w:bookmarkEnd w:id="13"/>
    <w:bookmarkStart w:id="14" w:name="mix-α-t₁-β-t₂"/>
    <w:p>
      <w:pPr>
        <w:pStyle w:val="Heading3"/>
      </w:pPr>
      <w:r>
        <w:t xml:space="preserve">MIX ( α, T₁, β, T₂ )</w:t>
      </w:r>
    </w:p>
    <w:p>
      <w:pPr>
        <w:pStyle w:val="SourceCode"/>
      </w:pPr>
      <w:r>
        <w:rPr>
          <w:rStyle w:val="VerbatimChar"/>
        </w:rPr>
        <w:t xml:space="preserve">MIX(α, T₁, β, T₂) = α·T₁ + β·T₂</w:t>
      </w:r>
    </w:p>
    <w:p>
      <w:pPr>
        <w:pStyle w:val="FirstParagraph"/>
      </w:pPr>
      <w:r>
        <w:t xml:space="preserve">Superposición continua. Reemplaza el condicional. Funciona por ortogonalidad en alta dimensión.</w:t>
      </w:r>
    </w:p>
    <w:bookmarkEnd w:id="14"/>
    <w:bookmarkStart w:id="15" w:name="project-t-executor"/>
    <w:p>
      <w:pPr>
        <w:pStyle w:val="Heading3"/>
      </w:pPr>
      <w:r>
        <w:t xml:space="preserve">PROJECT ( T, executor )</w:t>
      </w:r>
    </w:p>
    <w:p>
      <w:pPr>
        <w:pStyle w:val="SourceCode"/>
      </w:pPr>
      <w:r>
        <w:rPr>
          <w:rStyle w:val="VerbatimChar"/>
        </w:rPr>
        <w:t xml:space="preserve">PROJECT(T, DIM_FLUTTER)  →  widget nativo</w:t>
      </w:r>
      <w:r>
        <w:br/>
      </w:r>
      <w:r>
        <w:rPr>
          <w:rStyle w:val="VerbatimChar"/>
        </w:rPr>
        <w:t xml:space="preserve">PROJECT(T, DIM_RUST)     →  código Rust</w:t>
      </w:r>
      <w:r>
        <w:br/>
      </w:r>
      <w:r>
        <w:rPr>
          <w:rStyle w:val="VerbatimChar"/>
        </w:rPr>
        <w:t xml:space="preserve">PROJECT(T, DIM_WASM)     →  WebAssembly</w:t>
      </w:r>
      <w:r>
        <w:br/>
      </w:r>
      <w:r>
        <w:rPr>
          <w:rStyle w:val="VerbatimChar"/>
        </w:rPr>
        <w:t xml:space="preserve">PROJECT(T, DIM_SQL)      →  query SQL</w:t>
      </w:r>
      <w:r>
        <w:br/>
      </w:r>
      <w:r>
        <w:rPr>
          <w:rStyle w:val="VerbatimChar"/>
        </w:rPr>
        <w:t xml:space="preserve">PROJECT(T, DIM_PYTHON)   →  código Python</w:t>
      </w:r>
    </w:p>
    <w:p>
      <w:pPr>
        <w:pStyle w:val="FirstParagraph"/>
      </w:pPr>
      <w:r>
        <w:t xml:space="preserve">PROJECT es el compilador de POLYDIM. Matemáticamente: funtor covariante P: G → E_executor.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artículo-v-el-espacio-y-la-memoria"/>
    <w:p>
      <w:pPr>
        <w:pStyle w:val="Heading2"/>
      </w:pPr>
      <w:r>
        <w:t xml:space="preserve">ARTÍCULO V — EL ESPACIO Y LA MEMORIA</w:t>
      </w:r>
    </w:p>
    <w:bookmarkStart w:id="17" w:name="posiciones-no-variables"/>
    <w:p>
      <w:pPr>
        <w:pStyle w:val="Heading3"/>
      </w:pPr>
      <w:r>
        <w:t xml:space="preserve">Posiciones, no variables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GEO_ID</w:t>
      </w:r>
      <w:r>
        <w:t xml:space="preserve">: hipervector base único e invariante. Identidad del objeto. Nunca cambia.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Activaciones</w:t>
      </w:r>
      <w:r>
        <w:t xml:space="preserve">: pesos continuos [0.0, 1.0] por subespacio.</w:t>
      </w:r>
    </w:p>
    <w:bookmarkEnd w:id="17"/>
    <w:bookmarkStart w:id="18" w:name="mutación"/>
    <w:p>
      <w:pPr>
        <w:pStyle w:val="Heading3"/>
      </w:pPr>
      <w:r>
        <w:t xml:space="preserve">Mutación</w:t>
      </w:r>
    </w:p>
    <w:p>
      <w:pPr>
        <w:pStyle w:val="FirstParagraph"/>
      </w:pPr>
      <w:r>
        <w:t xml:space="preserve">Una posición puede cambiar activaciones. No es reasignación. Es evolución del estado geométrico.</w:t>
      </w:r>
    </w:p>
    <w:bookmarkEnd w:id="18"/>
    <w:bookmarkStart w:id="19" w:name="binding"/>
    <w:p>
      <w:pPr>
        <w:pStyle w:val="Heading3"/>
      </w:pPr>
      <w:r>
        <w:t xml:space="preserve">Binding</w:t>
      </w:r>
    </w:p>
    <w:p>
      <w:pPr>
        <w:pStyle w:val="FirstParagraph"/>
      </w:pPr>
      <w:r>
        <w:t xml:space="preserve">Vector de relación en R^N. Dirección semánticamente significativa.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artículo-vi-el-sistema-de-tipos"/>
    <w:p>
      <w:pPr>
        <w:pStyle w:val="Heading2"/>
      </w:pPr>
      <w:r>
        <w:t xml:space="preserve">ARTÍCULO VI — EL SISTEMA DE TIPOS</w:t>
      </w:r>
    </w:p>
    <w:p>
      <w:pPr>
        <w:pStyle w:val="FirstParagraph"/>
      </w:pPr>
      <w:r>
        <w:t xml:space="preserve">El tipo emerge de la proyección. No se declara.</w:t>
      </w:r>
    </w:p>
    <w:p>
      <w:pPr>
        <w:pStyle w:val="SourceCode"/>
      </w:pPr>
      <w:r>
        <w:rPr>
          <w:rStyle w:val="VerbatimChar"/>
        </w:rPr>
        <w:t xml:space="preserve">PROJECT(P, DIM_SQL)     →  Column(Integer)</w:t>
      </w:r>
      <w:r>
        <w:br/>
      </w:r>
      <w:r>
        <w:rPr>
          <w:rStyle w:val="VerbatimChar"/>
        </w:rPr>
        <w:t xml:space="preserve">PROJECT(P, DIM_FLUTTER) →  ListView</w:t>
      </w:r>
      <w:r>
        <w:br/>
      </w:r>
      <w:r>
        <w:rPr>
          <w:rStyle w:val="VerbatimChar"/>
        </w:rPr>
        <w:t xml:space="preserve">PROJECT(P, DIM_VECTOR)  →  R^3 = [1.0, 2.0, 3.0]</w:t>
      </w:r>
      <w:r>
        <w:br/>
      </w:r>
      <w:r>
        <w:rPr>
          <w:rStyle w:val="VerbatimChar"/>
        </w:rPr>
        <w:t xml:space="preserve">PROJECT(P, DIM_GRAPH)   →  Path(nodes)</w:t>
      </w:r>
    </w:p>
    <w:p>
      <w:pPr>
        <w:pStyle w:val="FirstParagraph"/>
      </w:pPr>
      <w:r>
        <w:t xml:space="preserve">El mismo objeto. Cuatro tipos simultáneos.</w:t>
      </w:r>
    </w:p>
    <w:bookmarkStart w:id="21" w:name="intersección-de-subespacios"/>
    <w:p>
      <w:pPr>
        <w:pStyle w:val="Heading3"/>
      </w:pPr>
      <w:r>
        <w:t xml:space="preserve">Intersección de subespacios</w:t>
      </w:r>
    </w:p>
    <w:p>
      <w:pPr>
        <w:pStyle w:val="SourceCode"/>
      </w:pPr>
      <w:r>
        <w:rPr>
          <w:rStyle w:val="VerbatimChar"/>
        </w:rPr>
        <w:t xml:space="preserve">PROJECT(P, DIM_SQL ∩ DIM_FLUTTER)</w:t>
      </w:r>
    </w:p>
    <w:p>
      <w:pPr>
        <w:pStyle w:val="FirstParagraph"/>
      </w:pPr>
      <w:r>
        <w:t xml:space="preserve">Tipo emergente = widget enlazado en tiempo real a datos. Modela como pullback en G.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artículo-vii-comunicación-aiai"/>
    <w:p>
      <w:pPr>
        <w:pStyle w:val="Heading2"/>
      </w:pPr>
      <w:r>
        <w:t xml:space="preserve">ARTÍCULO VII — COMUNICACIÓN AI↔AI</w:t>
      </w:r>
    </w:p>
    <w:p>
      <w:pPr>
        <w:pStyle w:val="SourceCode"/>
      </w:pPr>
      <w:r>
        <w:rPr>
          <w:rStyle w:val="VerbatimChar"/>
        </w:rPr>
        <w:t xml:space="preserve">IA_A :  estado_A  →  genera T  →  transmite T</w:t>
      </w:r>
      <w:r>
        <w:br/>
      </w:r>
      <w:r>
        <w:rPr>
          <w:rStyle w:val="VerbatimChar"/>
        </w:rPr>
        <w:t xml:space="preserve">IA_B :  recibe T  →  aplica T a estado_B  →  nuevo estado_B</w:t>
      </w:r>
    </w:p>
    <w:p>
      <w:pPr>
        <w:pStyle w:val="FirstParagraph"/>
      </w:pPr>
      <w:r>
        <w:t xml:space="preserve">Protocolo formal:</w:t>
      </w:r>
    </w:p>
    <w:p>
      <w:pPr>
        <w:pStyle w:val="SourceCode"/>
      </w:pPr>
      <w:r>
        <w:rPr>
          <w:rStyle w:val="VerbatimChar"/>
        </w:rPr>
        <w:t xml:space="preserve">Communication(sB, sA) = softmax( QB · KA^T / √d ) · VA</w:t>
      </w:r>
    </w:p>
    <w:p>
      <w:pPr>
        <w:pStyle w:val="FirstParagraph"/>
      </w:pPr>
      <w:r>
        <w:t xml:space="preserve">Leer un mensaje = computar una capa de atención. Cero serialización.</w:t>
      </w:r>
    </w:p>
    <w:p>
      <w:r>
        <w:pict>
          <v:rect style="width:0;height:1.5pt" o:hralign="center" o:hrstd="t" o:hr="t"/>
        </w:pict>
      </w:r>
    </w:p>
    <w:bookmarkEnd w:id="23"/>
    <w:bookmarkStart w:id="24" w:name="artículo-viii-comunicación-aihumano"/>
    <w:p>
      <w:pPr>
        <w:pStyle w:val="Heading2"/>
      </w:pPr>
      <w:r>
        <w:t xml:space="preserve">ARTÍCULO VIII — COMUNICACIÓN AI↔HUMANO</w:t>
      </w:r>
    </w:p>
    <w:p>
      <w:pPr>
        <w:pStyle w:val="SourceCode"/>
      </w:pPr>
      <w:r>
        <w:rPr>
          <w:rStyle w:val="VerbatimChar"/>
        </w:rPr>
        <w:t xml:space="preserve">PROJECT( estado, DIM_FLUTTER )</w:t>
      </w:r>
    </w:p>
    <w:p>
      <w:pPr>
        <w:pStyle w:val="FirstParagraph"/>
      </w:pPr>
      <w:r>
        <w:t xml:space="preserve">Flutter = executor del subespacio humano. No es la UI de POLYDIM. Es la observación humana del estado geométrico.</w:t>
      </w:r>
    </w:p>
    <w:p>
      <w:pPr>
        <w:pStyle w:val="BodyText"/>
      </w:pPr>
      <w:r>
        <w:t xml:space="preserve">Isomorfía algebraica:</w:t>
      </w:r>
    </w:p>
    <w:p>
      <w:pPr>
        <w:pStyle w:val="SourceCode"/>
      </w:pPr>
      <w:r>
        <w:rPr>
          <w:rStyle w:val="NormalTok"/>
        </w:rPr>
        <w:t xml:space="preserve">Column(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 Text(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Button(action) ] )</w:t>
      </w:r>
    </w:p>
    <w:p>
      <w:pPr>
        <w:pStyle w:val="FirstParagraph"/>
      </w:pPr>
      <w:r>
        <w:t xml:space="preserve">→ T_UI = T_col ∘ ( T_text ⊕ T_btn )</w:t>
      </w:r>
    </w:p>
    <w:p>
      <w:pPr>
        <w:pStyle w:val="BodyText"/>
      </w:pPr>
      <w:r>
        <w:t xml:space="preserve">Flutter: executor nativo (isomorfismo directo).</w:t>
      </w:r>
      <w:r>
        <w:t xml:space="preserve"> </w:t>
      </w:r>
      <w:r>
        <w:t xml:space="preserve">React/SwiftUI/Qt: executors externos (requieren capa de adaptación).</w:t>
      </w:r>
    </w:p>
    <w:p>
      <w:r>
        <w:pict>
          <v:rect style="width:0;height:1.5pt" o:hralign="center" o:hrstd="t" o:hr="t"/>
        </w:pict>
      </w:r>
    </w:p>
    <w:bookmarkEnd w:id="24"/>
    <w:bookmarkStart w:id="25" w:name="artículo-ix-el-archivo-.polydim"/>
    <w:p>
      <w:pPr>
        <w:pStyle w:val="Heading2"/>
      </w:pPr>
      <w:r>
        <w:t xml:space="preserve">ARTÍCULO IX — EL ARCHIVO .polydim</w:t>
      </w:r>
    </w:p>
    <w:p>
      <w:pPr>
        <w:pStyle w:val="FirstParagraph"/>
      </w:pPr>
      <w:r>
        <w:t xml:space="preserve">Formato binario tensorial. No texto. No bytecode secuencial.</w:t>
      </w:r>
    </w:p>
    <w:p>
      <w:pPr>
        <w:pStyle w:val="SourceCode"/>
      </w:pPr>
      <w:r>
        <w:rPr>
          <w:rStyle w:val="VerbatimChar"/>
        </w:rPr>
        <w:t xml:space="preserve">[ HEADER ]      magic: 0x504F4C59 | version | N | n_transforms | precision_flags</w:t>
      </w:r>
      <w:r>
        <w:br/>
      </w:r>
      <w:r>
        <w:rPr>
          <w:rStyle w:val="VerbatimChar"/>
        </w:rPr>
        <w:t xml:space="preserve">[ GEO_ID ]      float32[N]        identidad topológica invariante</w:t>
      </w:r>
      <w:r>
        <w:br/>
      </w:r>
      <w:r>
        <w:rPr>
          <w:rStyle w:val="VerbatimChar"/>
        </w:rPr>
        <w:t xml:space="preserve">[ TRANSFORMS ]  Wi ∈ R^{N×r}      representación de rango bajo (r &lt;&lt; N)</w:t>
      </w:r>
      <w:r>
        <w:br/>
      </w:r>
      <w:r>
        <w:rPr>
          <w:rStyle w:val="VerbatimChar"/>
        </w:rPr>
        <w:t xml:space="preserve">[ ACTIVATIONS ] float32[K]        pesos por subespacio</w:t>
      </w:r>
      <w:r>
        <w:br/>
      </w:r>
      <w:r>
        <w:rPr>
          <w:rStyle w:val="VerbatimChar"/>
        </w:rPr>
        <w:t xml:space="preserve">[ PROJECTIONS ] enum[]            executors objetivo</w:t>
      </w:r>
    </w:p>
    <w:p>
      <w:pPr>
        <w:pStyle w:val="FirstParagraph"/>
      </w:pPr>
      <w:r>
        <w:t xml:space="preserve">Ejecución: el runtime aplica el tensor block al vector de estado local. No hay program counter.</w:t>
      </w:r>
    </w:p>
    <w:p>
      <w:pPr>
        <w:pStyle w:val="BodyText"/>
      </w:pPr>
      <w:r>
        <w:t xml:space="preserve">Nota: TRANSFORMS usa representación low-rank (LoRA-style) T = W₀ + U·Vᵀ.</w:t>
      </w:r>
      <w:r>
        <w:t xml:space="preserve"> </w:t>
      </w:r>
      <w:r>
        <w:t xml:space="preserve">Para r=256, N=10000: ~20MB por transformación (manejable). Ver TASK_021.</w:t>
      </w:r>
    </w:p>
    <w:p>
      <w:r>
        <w:pict>
          <v:rect style="width:0;height:1.5pt" o:hralign="center" o:hrstd="t" o:hr="t"/>
        </w:pict>
      </w:r>
    </w:p>
    <w:bookmarkEnd w:id="25"/>
    <w:bookmarkStart w:id="29" w:name="artículo-x-el-bootstrap"/>
    <w:p>
      <w:pPr>
        <w:pStyle w:val="Heading2"/>
      </w:pPr>
      <w:r>
        <w:t xml:space="preserve">ARTÍCULO X — EL BOOTSTRAP</w:t>
      </w:r>
    </w:p>
    <w:p>
      <w:pPr>
        <w:pStyle w:val="FirstParagraph"/>
      </w:pPr>
      <w:r>
        <w:rPr>
          <w:rStyle w:val="VerbatimChar"/>
        </w:rPr>
        <w:t xml:space="preserve">polydim_runtime_v03.py</w:t>
      </w:r>
      <w:r>
        <w:t xml:space="preserve"> </w:t>
      </w:r>
      <w:r>
        <w:t xml:space="preserve">= andamio. No es el lenguaje.</w:t>
      </w:r>
    </w:p>
    <w:bookmarkStart w:id="26" w:name="implementado-correctamente"/>
    <w:p>
      <w:pPr>
        <w:pStyle w:val="Heading3"/>
      </w:pPr>
      <w:r>
        <w:t xml:space="preserve">Implementado correctamente</w:t>
      </w:r>
    </w:p>
    <w:p>
      <w:pPr>
        <w:pStyle w:val="Compact"/>
        <w:numPr>
          <w:ilvl w:val="0"/>
          <w:numId w:val="1003"/>
        </w:numPr>
      </w:pPr>
      <w:r>
        <w:t xml:space="preserve">GEO_ID invariante</w:t>
      </w:r>
    </w:p>
    <w:p>
      <w:pPr>
        <w:pStyle w:val="Compact"/>
        <w:numPr>
          <w:ilvl w:val="0"/>
          <w:numId w:val="1003"/>
        </w:numPr>
      </w:pPr>
      <w:r>
        <w:t xml:space="preserve">9 subespacios con aliases</w:t>
      </w:r>
    </w:p>
    <w:p>
      <w:pPr>
        <w:pStyle w:val="Compact"/>
        <w:numPr>
          <w:ilvl w:val="0"/>
          <w:numId w:val="1003"/>
        </w:numPr>
      </w:pPr>
      <w:r>
        <w:t xml:space="preserve">Protocolo ALIGN</w:t>
      </w:r>
    </w:p>
    <w:p>
      <w:pPr>
        <w:pStyle w:val="Compact"/>
        <w:numPr>
          <w:ilvl w:val="0"/>
          <w:numId w:val="1003"/>
        </w:numPr>
      </w:pPr>
      <w:r>
        <w:t xml:space="preserve">Modos MODO_S / MODO_G / MODO_H</w:t>
      </w:r>
    </w:p>
    <w:p>
      <w:pPr>
        <w:pStyle w:val="Compact"/>
        <w:numPr>
          <w:ilvl w:val="0"/>
          <w:numId w:val="1003"/>
        </w:numPr>
      </w:pPr>
      <w:r>
        <w:t xml:space="preserve">Activaciones [0.0, 1.0]</w:t>
      </w:r>
    </w:p>
    <w:p>
      <w:pPr>
        <w:pStyle w:val="Compact"/>
        <w:numPr>
          <w:ilvl w:val="0"/>
          <w:numId w:val="1003"/>
        </w:numPr>
      </w:pPr>
      <w:r>
        <w:t xml:space="preserve">29/29 tests</w:t>
      </w:r>
    </w:p>
    <w:bookmarkEnd w:id="26"/>
    <w:bookmarkStart w:id="27" w:name="límite-del-bootstrap"/>
    <w:p>
      <w:pPr>
        <w:pStyle w:val="Heading3"/>
      </w:pPr>
      <w:r>
        <w:t xml:space="preserve">Límite del bootstrap</w:t>
      </w:r>
    </w:p>
    <w:p>
      <w:pPr>
        <w:pStyle w:val="FirstParagraph"/>
      </w:pPr>
      <w:r>
        <w:rPr>
          <w:rStyle w:val="VerbatimChar"/>
        </w:rPr>
        <w:t xml:space="preserve">obj.add("DIM_SQL", {...}, w=1.0)</w:t>
      </w:r>
      <w:r>
        <w:t xml:space="preserve"> </w:t>
      </w:r>
      <w:r>
        <w:t xml:space="preserve">= Python simulando POLYDIM. No es sintaxis.</w:t>
      </w:r>
    </w:p>
    <w:bookmarkEnd w:id="27"/>
    <w:bookmarkStart w:id="28" w:name="evolución"/>
    <w:p>
      <w:pPr>
        <w:pStyle w:val="Heading3"/>
      </w:pPr>
      <w:r>
        <w:t xml:space="preserve">Evolución</w:t>
      </w:r>
    </w:p>
    <w:p>
      <w:pPr>
        <w:pStyle w:val="SourceCode"/>
      </w:pPr>
      <w:r>
        <w:rPr>
          <w:rStyle w:val="VerbatimChar"/>
        </w:rPr>
        <w:t xml:space="preserve">Hoy:    Python bootstrap    →  API simbólica</w:t>
      </w:r>
      <w:r>
        <w:br/>
      </w:r>
      <w:r>
        <w:rPr>
          <w:rStyle w:val="VerbatimChar"/>
        </w:rPr>
        <w:t xml:space="preserve">Próx:   VM en Rust/WASM    →  .polydim nativo</w:t>
      </w:r>
      <w:r>
        <w:br/>
      </w:r>
      <w:r>
        <w:rPr>
          <w:rStyle w:val="VerbatimChar"/>
        </w:rPr>
        <w:t xml:space="preserve">Futuro: POLYDIM self-host  →  el lenguaje se escribe a sí mismo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artículo-xi-los-subespacios-nativos"/>
    <w:p>
      <w:pPr>
        <w:pStyle w:val="Heading2"/>
      </w:pPr>
      <w:r>
        <w:t xml:space="preserve">ARTÍCULO XI — LOS SUBESPACIOS NATIVOS</w:t>
      </w:r>
    </w:p>
    <w:p>
      <w:pPr>
        <w:pStyle w:val="SourceCode"/>
      </w:pPr>
      <w:r>
        <w:rPr>
          <w:rStyle w:val="VerbatimChar"/>
        </w:rPr>
        <w:t xml:space="preserve">DIM_PYTHON    DIM_RUST    DIM_FLUTTER    DIM_SQL    DIM_GRAPH</w:t>
      </w:r>
      <w:r>
        <w:br/>
      </w:r>
      <w:r>
        <w:rPr>
          <w:rStyle w:val="VerbatimChar"/>
        </w:rPr>
        <w:t xml:space="preserve">DIM_VECTOR    DIM_TIME    DIM_ERROR      DIM_META</w:t>
      </w:r>
    </w:p>
    <w:p>
      <w:pPr>
        <w:pStyle w:val="FirstParagraph"/>
      </w:pPr>
      <w:r>
        <w:t xml:space="preserve">En V1: aliases de strings. En el lenguaje real: regiones emergentes de embedding.</w:t>
      </w:r>
    </w:p>
    <w:p>
      <w:r>
        <w:pict>
          <v:rect style="width:0;height:1.5pt" o:hralign="center" o:hrstd="t" o:hr="t"/>
        </w:pict>
      </w:r>
    </w:p>
    <w:bookmarkEnd w:id="30"/>
    <w:bookmarkStart w:id="31" w:name="artículo-xii-fundamento-matemático"/>
    <w:p>
      <w:pPr>
        <w:pStyle w:val="Heading2"/>
      </w:pPr>
      <w:r>
        <w:t xml:space="preserve">ARTÍCULO XII — FUNDAMENTO MATEMÁTICO</w:t>
      </w:r>
    </w:p>
    <w:p>
      <w:pPr>
        <w:pStyle w:val="SourceCode"/>
      </w:pPr>
      <w:r>
        <w:rPr>
          <w:rStyle w:val="VerbatimChar"/>
        </w:rPr>
        <w:t xml:space="preserve">Transformer:  Attention(Q,K,V) = softmax(Q·Kᵀ/√d)·V   →  T: R^d → R^d</w:t>
      </w:r>
      <w:r>
        <w:br/>
      </w:r>
      <w:r>
        <w:rPr>
          <w:rStyle w:val="VerbatimChar"/>
        </w:rPr>
        <w:t xml:space="preserve">Mamba:        h(t+1) = A·h(t) + B·x(t), y(t) = C·h(t) →  T: R^N → R^N</w:t>
      </w:r>
    </w:p>
    <w:p>
      <w:pPr>
        <w:pStyle w:val="FirstParagraph"/>
      </w:pPr>
      <w:r>
        <w:t xml:space="preserve">La analogía correcta:</w:t>
      </w:r>
    </w:p>
    <w:p>
      <w:pPr>
        <w:pStyle w:val="SourceCode"/>
      </w:pPr>
      <w:r>
        <w:rPr>
          <w:rStyle w:val="VerbatimChar"/>
        </w:rPr>
        <w:t xml:space="preserve">1950s: CPUs hacen aritmética binaria → ensamblador formaliza cómo programarlas</w:t>
      </w:r>
      <w:r>
        <w:br/>
      </w:r>
      <w:r>
        <w:rPr>
          <w:rStyle w:val="VerbatimChar"/>
        </w:rPr>
        <w:t xml:space="preserve">2020s: Transformers operan en geometría → POLYDIM formaliza cómo programarlos</w:t>
      </w:r>
    </w:p>
    <w:p>
      <w:r>
        <w:pict>
          <v:rect style="width:0;height:1.5pt" o:hralign="center" o:hrstd="t" o:hr="t"/>
        </w:pict>
      </w:r>
    </w:p>
    <w:bookmarkEnd w:id="31"/>
    <w:bookmarkStart w:id="32" w:name="artículo-xiii-reglas-inviolables"/>
    <w:p>
      <w:pPr>
        <w:pStyle w:val="Heading2"/>
      </w:pPr>
      <w:r>
        <w:t xml:space="preserve">ARTÍCULO XIII — REGLAS INVIOLABLES</w:t>
      </w:r>
    </w:p>
    <w:p>
      <w:pPr>
        <w:pStyle w:val="FirstParagraph"/>
      </w:pPr>
      <w:r>
        <w:t xml:space="preserve">R1 — Unidad fundamental: T: R^N → R^N. Nunca una instrucción.</w:t>
      </w:r>
      <w:r>
        <w:t xml:space="preserve"> </w:t>
      </w:r>
      <w:r>
        <w:t xml:space="preserve">R2 — No variables. No se introducen como feature nativo.</w:t>
      </w:r>
      <w:r>
        <w:t xml:space="preserve"> </w:t>
      </w:r>
      <w:r>
        <w:t xml:space="preserve">R3 — No loops secuenciales. No se introducen como feature nativo.</w:t>
      </w:r>
      <w:r>
        <w:t xml:space="preserve"> </w:t>
      </w:r>
      <w:r>
        <w:t xml:space="preserve">R4 — No if/else binario. No se introduce como feature nativo.</w:t>
      </w:r>
      <w:r>
        <w:t xml:space="preserve"> </w:t>
      </w:r>
      <w:r>
        <w:t xml:space="preserve">R5 — Tipos emergen de la proyección. No se declaran.</w:t>
      </w:r>
      <w:r>
        <w:t xml:space="preserve"> </w:t>
      </w:r>
      <w:r>
        <w:t xml:space="preserve">R6 — Python, Rust, Flutter son destinos de exportación. No son la base.</w:t>
      </w:r>
      <w:r>
        <w:t xml:space="preserve"> </w:t>
      </w:r>
      <w:r>
        <w:t xml:space="preserve">R7 — Comunicación AI↔AI transmite T, no texto.</w:t>
      </w:r>
      <w:r>
        <w:t xml:space="preserve"> </w:t>
      </w:r>
      <w:r>
        <w:t xml:space="preserve">R8 — Flutter = executor nativo. JS y Java no pueden ocupar ese rol nativamente.</w:t>
      </w:r>
      <w:r>
        <w:t xml:space="preserve"> </w:t>
      </w:r>
      <w:r>
        <w:t xml:space="preserve">R9 — Bootstrap Python = andamio. No presentar como el lenguaje.</w:t>
      </w:r>
      <w:r>
        <w:t xml:space="preserve"> </w:t>
      </w:r>
      <w:r>
        <w:t xml:space="preserve">R10 — GEO_ID es invariante. Nunca cambia.</w:t>
      </w:r>
    </w:p>
    <w:p>
      <w:r>
        <w:pict>
          <v:rect style="width:0;height:1.5pt" o:hralign="center" o:hrstd="t" o:hr="t"/>
        </w:pict>
      </w:r>
    </w:p>
    <w:bookmarkEnd w:id="32"/>
    <w:bookmarkStart w:id="33" w:name="glosario"/>
    <w:p>
      <w:pPr>
        <w:pStyle w:val="Heading2"/>
      </w:pPr>
      <w:r>
        <w:t xml:space="preserve">GLOSARIO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Transformación</w:t>
            </w:r>
          </w:p>
        </w:tc>
        <w:tc>
          <w:tcPr/>
          <w:p>
            <w:pPr>
              <w:pStyle w:val="Compact"/>
            </w:pPr>
            <w:r>
              <w:t xml:space="preserve">T: R^N → R^N. La unidad fundamental.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Posición</w:t>
            </w:r>
          </w:p>
        </w:tc>
        <w:tc>
          <w:tcPr/>
          <w:p>
            <w:pPr>
              <w:pStyle w:val="Compact"/>
            </w:pPr>
            <w:r>
              <w:t xml:space="preserve">Región en R^N de alta densidad semántica. Reemplaza la variable.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GEO_ID</w:t>
            </w:r>
          </w:p>
        </w:tc>
        <w:tc>
          <w:tcPr/>
          <w:p>
            <w:pPr>
              <w:pStyle w:val="Compact"/>
            </w:pPr>
            <w:r>
              <w:t xml:space="preserve">Hipervector base invariante. Identidad geométrica permanente.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Activación</w:t>
            </w:r>
          </w:p>
        </w:tc>
        <w:tc>
          <w:tcPr/>
          <w:p>
            <w:pPr>
              <w:pStyle w:val="Compact"/>
            </w:pPr>
            <w:r>
              <w:t xml:space="preserve">Peso continuo [0.0, 1.0] de presencia del subespacio.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Subespacio</w:t>
            </w:r>
          </w:p>
        </w:tc>
        <w:tc>
          <w:tcPr/>
          <w:p>
            <w:pPr>
              <w:pStyle w:val="Compact"/>
            </w:pPr>
            <w:r>
              <w:t xml:space="preserve">Región de R^N de alta densidad semántica para un dominio.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Funtor covariante P: G → E_executor. El compilador.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continuo</w:t>
            </w:r>
          </w:p>
        </w:tc>
        <w:tc>
          <w:tcPr/>
          <w:p>
            <w:pPr>
              <w:pStyle w:val="Compact"/>
            </w:pPr>
            <w:r>
              <w:t xml:space="preserve">α·T₁ + (1-α)·T₂. Reemplaza if/else.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Punto fijo</w:t>
            </w:r>
          </w:p>
        </w:tc>
        <w:tc>
          <w:tcPr/>
          <w:p>
            <w:pPr>
              <w:pStyle w:val="Compact"/>
            </w:pPr>
            <w:r>
              <w:t xml:space="preserve">T^n(v) hasta convergencia. Reemplaza el loop.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Executor</w:t>
            </w:r>
          </w:p>
        </w:tc>
        <w:tc>
          <w:tcPr/>
          <w:p>
            <w:pPr>
              <w:pStyle w:val="Compact"/>
            </w:pPr>
            <w:r>
              <w:t xml:space="preserve">Target de PROJECT: Flutter, Rust, WASM, SQL, Python.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Bootstrap</w:t>
            </w:r>
          </w:p>
        </w:tc>
        <w:tc>
          <w:tcPr/>
          <w:p>
            <w:pPr>
              <w:pStyle w:val="Compact"/>
            </w:pPr>
            <w:r>
              <w:t xml:space="preserve">Runtime Python V0.3. Andamio. No es el lenguaje.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ALIGN</w:t>
            </w:r>
          </w:p>
        </w:tc>
        <w:tc>
          <w:tcPr/>
          <w:p>
            <w:pPr>
              <w:pStyle w:val="Compact"/>
            </w:pPr>
            <w:r>
              <w:t xml:space="preserve">Protocolo de handshake para alinear espacios entre AIs.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RELAY</w:t>
            </w:r>
          </w:p>
        </w:tc>
        <w:tc>
          <w:tcPr/>
          <w:p>
            <w:pPr>
              <w:pStyle w:val="Compact"/>
            </w:pPr>
            <w:r>
              <w:t xml:space="preserve">Documento de continuidad entre sesiones. 10 secciones.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MODO_H</w:t>
            </w:r>
          </w:p>
        </w:tc>
        <w:tc>
          <w:tcPr/>
          <w:p>
            <w:pPr>
              <w:pStyle w:val="Compact"/>
            </w:pPr>
            <w:r>
              <w:t xml:space="preserve">Modo híbrido: MODO_S (control) + MODO_G (datos). Default.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POLYDIM_CONSTITUCION_V2.md · V2.0 · 2026-06-21 · ai.mpat.agt@gmail.com</w:t>
      </w:r>
      <w:r>
        <w:t xml:space="preserve"> </w:t>
      </w:r>
      <w:r>
        <w:rPr>
          <w:i/>
          <w:iCs/>
        </w:rPr>
        <w:t xml:space="preserve">Reemplaza POLYDIM_CONSTITUCION_V1.md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2026-06-30T02:54:43Z</dcterms:created>
  <dcterms:modified xsi:type="dcterms:W3CDTF">2026-06-30T02:54:43Z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