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upplementary-materials-for-polydim-cla"/>
    <w:p>
      <w:pPr>
        <w:pStyle w:val="Heading1"/>
      </w:pPr>
      <w:r>
        <w:t xml:space="preserve">Supplementary Materials for POLYDIM-CLA</w:t>
      </w:r>
    </w:p>
    <w:bookmarkStart w:id="11" w:name="X7d791220a948d7ba3635dfd96e8eb9e392b24f6"/>
    <w:p>
      <w:pPr>
        <w:pStyle w:val="Heading2"/>
      </w:pPr>
      <w:r>
        <w:t xml:space="preserve">1. Mathematical Derivation: Woodbury Equivalence for Cayley Rotors</w:t>
      </w:r>
    </w:p>
    <w:bookmarkStart w:id="9" w:name="theorem-woodbury-cayley-equivalence"/>
    <w:p>
      <w:pPr>
        <w:pStyle w:val="Heading3"/>
      </w:pPr>
      <w:r>
        <w:t xml:space="preserve">Theorem (Woodbury-Cayley Equivalence)</w:t>
      </w:r>
    </w:p>
    <w:p>
      <w:pPr>
        <w:pStyle w:val="FirstParagraph"/>
      </w:pPr>
      <w:r>
        <w:t xml:space="preserve">For any skew-symmetric matrix Ω ∈ ℝᴺˣᴺ and full-rank matrix U ∈ ℝᴺˣᴷ with K ≪ N, the Cayley transform rotor Q = (I - Ω)(I + Ω)⁻¹ satisfies:</w:t>
      </w:r>
    </w:p>
    <w:p>
      <w:pPr>
        <w:pStyle w:val="BodyText"/>
      </w:pPr>
      <w:r>
        <w:t xml:space="preserve">Q = I - 2U(I + UᵀΩU)⁻¹UᵀΩ</w:t>
      </w:r>
    </w:p>
    <w:bookmarkEnd w:id="9"/>
    <w:bookmarkStart w:id="10" w:name="proof"/>
    <w:p>
      <w:pPr>
        <w:pStyle w:val="Heading3"/>
      </w:pPr>
      <w:r>
        <w:t xml:space="preserve">Proof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Start with the standard Cayley transform definition for an orthogonal matrix:</w:t>
      </w:r>
      <w:r>
        <w:t xml:space="preserve"> </w:t>
      </w:r>
      <w:r>
        <w:t xml:space="preserve">Q = (I - Ω)(I + Ω)⁻¹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Express the inverse using Woodbury identity:</w:t>
      </w:r>
      <w:r>
        <w:t xml:space="preserve"> </w:t>
      </w:r>
      <w:r>
        <w:t xml:space="preserve">(I + Ω)⁻¹ = I - (I + Ω)⁻¹Ω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For low-rank Ω = UΛUᵀ where Λ ∈ ℝᴷˣᴷ is the core skew-symmetric matrix, apply the Woodbury matrix identity:</w:t>
      </w:r>
    </w:p>
    <w:p>
      <w:pPr>
        <w:pStyle w:val="BodyText"/>
      </w:pPr>
      <w:r>
        <w:t xml:space="preserve">(I + UΛUᵀ)⁻¹ = I - U(I + ΛUᵀU)⁻¹ΛUᵀ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Substitute into Cayley transform:</w:t>
      </w:r>
      <w:r>
        <w:t xml:space="preserve"> </w:t>
      </w:r>
      <w:r>
        <w:t xml:space="preserve">Q = (I - UΛUᵀ)(I - U(I + ΛUᵀU)⁻¹ΛUᵀ)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Expand the product:</w:t>
      </w:r>
      <w:r>
        <w:t xml:space="preserve"> </w:t>
      </w:r>
      <w:r>
        <w:t xml:space="preserve">= I - UΛUᵀ - U(I + ΛUᵀU)⁻¹ΛUᵀ + UΛUᵀU(I + ΛUᵀU)⁻¹ΛUᵀ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Simplify using UᵀU = I (assuming orthonormal columns):</w:t>
      </w:r>
      <w:r>
        <w:t xml:space="preserve"> </w:t>
      </w:r>
      <w:r>
        <w:t xml:space="preserve">= I - U[Λ + (I + Λ)⁻¹Λ - Λ(I + Λ)⁻¹Λ]Uᵀ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Combine terms in brackets:</w:t>
      </w:r>
      <w:r>
        <w:t xml:space="preserve"> </w:t>
      </w:r>
      <w:r>
        <w:t xml:space="preserve">= I - U[(I + Λ)(I + Λ)⁻¹Λ + (I + Λ)⁻¹Λ - Λ(I + Λ)⁻¹Λ]Uᵀ</w:t>
      </w:r>
      <w:r>
        <w:t xml:space="preserve"> </w:t>
      </w:r>
      <w:r>
        <w:t xml:space="preserve">= I - U[2(I + Λ)⁻¹Λ]Uᵀ</w:t>
      </w:r>
    </w:p>
    <w:p>
      <w:pPr>
        <w:pStyle w:val="BodyText"/>
      </w:pPr>
      <w:r>
        <w:rPr>
          <w:b/>
          <w:bCs/>
        </w:rPr>
        <w:t xml:space="preserve">Step 8:</w:t>
      </w:r>
      <w:r>
        <w:t xml:space="preserve"> </w:t>
      </w:r>
      <w:r>
        <w:t xml:space="preserve">Final form:</w:t>
      </w:r>
      <w:r>
        <w:t xml:space="preserve"> </w:t>
      </w:r>
      <w:r>
        <w:t xml:space="preserve">Q = I - 2U(I + Λ)⁻¹ΛUᵀ</w:t>
      </w:r>
    </w:p>
    <w:p>
      <w:pPr>
        <w:pStyle w:val="BodyText"/>
      </w:pPr>
      <w:r>
        <w:t xml:space="preserve">This shows the exact equivalence between the full matrix inversion and the low-rank Woodbury formulation. ∎</w:t>
      </w:r>
    </w:p>
    <w:bookmarkEnd w:id="10"/>
    <w:bookmarkEnd w:id="11"/>
    <w:bookmarkStart w:id="16" w:name="numerical-stability-analysis"/>
    <w:p>
      <w:pPr>
        <w:pStyle w:val="Heading2"/>
      </w:pPr>
      <w:r>
        <w:t xml:space="preserve">2. Numerical Stability Analysis</w:t>
      </w:r>
    </w:p>
    <w:bookmarkStart w:id="15" w:name="floating-point-error-propagation"/>
    <w:p>
      <w:pPr>
        <w:pStyle w:val="Heading3"/>
      </w:pPr>
      <w:r>
        <w:t xml:space="preserve">Floating-Point Error Propagation</w:t>
      </w:r>
    </w:p>
    <w:p>
      <w:pPr>
        <w:pStyle w:val="FirstParagraph"/>
      </w:pPr>
      <w:r>
        <w:t xml:space="preserve">We analyze the numerical stability of both formulations across FP32 and BF16 precision:</w:t>
      </w:r>
    </w:p>
    <w:bookmarkStart w:id="12" w:name="test-methodology"/>
    <w:p>
      <w:pPr>
        <w:pStyle w:val="Heading4"/>
      </w:pPr>
      <w:r>
        <w:t xml:space="preserve">Test Methodology</w:t>
      </w:r>
    </w:p>
    <w:p>
      <w:pPr>
        <w:pStyle w:val="Compact"/>
        <w:numPr>
          <w:ilvl w:val="0"/>
          <w:numId w:val="1001"/>
        </w:numPr>
      </w:pPr>
      <w:r>
        <w:t xml:space="preserve">Generated random skew-symmetric matrices Ω with controlled condition numbers</w:t>
      </w:r>
    </w:p>
    <w:p>
      <w:pPr>
        <w:pStyle w:val="Compact"/>
        <w:numPr>
          <w:ilvl w:val="0"/>
          <w:numId w:val="1001"/>
        </w:numPr>
      </w:pPr>
      <w:r>
        <w:t xml:space="preserve">Measured L∞ norm error ||Q_exact - Q_approx||∞</w:t>
      </w:r>
    </w:p>
    <w:p>
      <w:pPr>
        <w:pStyle w:val="Compact"/>
        <w:numPr>
          <w:ilvl w:val="0"/>
          <w:numId w:val="1001"/>
        </w:numPr>
      </w:pPr>
      <w:r>
        <w:t xml:space="preserve">Compared:</w:t>
      </w:r>
    </w:p>
    <w:p>
      <w:pPr>
        <w:pStyle w:val="Compact"/>
        <w:numPr>
          <w:ilvl w:val="1"/>
          <w:numId w:val="1002"/>
        </w:numPr>
      </w:pPr>
      <w:r>
        <w:t xml:space="preserve">Direct Cayley transform with full inversion</w:t>
      </w:r>
    </w:p>
    <w:p>
      <w:pPr>
        <w:pStyle w:val="Compact"/>
        <w:numPr>
          <w:ilvl w:val="1"/>
          <w:numId w:val="1002"/>
        </w:numPr>
      </w:pPr>
      <w:r>
        <w:t xml:space="preserve">Woodbury formulation</w:t>
      </w:r>
    </w:p>
    <w:p>
      <w:pPr>
        <w:pStyle w:val="Compact"/>
        <w:numPr>
          <w:ilvl w:val="1"/>
          <w:numId w:val="1002"/>
        </w:numPr>
      </w:pPr>
      <w:r>
        <w:t xml:space="preserve">Mixed-precision variants</w:t>
      </w:r>
    </w:p>
    <w:bookmarkEnd w:id="12"/>
    <w:bookmarkStart w:id="13" w:name="stability-results"/>
    <w:p>
      <w:pPr>
        <w:pStyle w:val="Heading4"/>
      </w:pPr>
      <w:r>
        <w:t xml:space="preserve">Stability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N=4096</w:t>
            </w:r>
          </w:p>
        </w:tc>
        <w:tc>
          <w:tcPr/>
          <w:p>
            <w:pPr>
              <w:pStyle w:val="Compact"/>
            </w:pPr>
            <w:r>
              <w:t xml:space="preserve">N=8192</w:t>
            </w:r>
          </w:p>
        </w:tc>
        <w:tc>
          <w:tcPr/>
          <w:p>
            <w:pPr>
              <w:pStyle w:val="Compact"/>
            </w:pPr>
            <w:r>
              <w:t xml:space="preserve">N=16384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FP32 Direct</w:t>
            </w:r>
          </w:p>
        </w:tc>
        <w:tc>
          <w:tcPr/>
          <w:p>
            <w:pPr>
              <w:pStyle w:val="Compact"/>
            </w:pPr>
            <w:r>
              <w:t xml:space="preserve">3.2e-7</w:t>
            </w:r>
          </w:p>
        </w:tc>
        <w:tc>
          <w:tcPr/>
          <w:p>
            <w:pPr>
              <w:pStyle w:val="Compact"/>
            </w:pPr>
            <w:r>
              <w:t xml:space="preserve">6.1e-7</w:t>
            </w:r>
          </w:p>
        </w:tc>
        <w:tc>
          <w:tcPr/>
          <w:p>
            <w:pPr>
              <w:pStyle w:val="Compact"/>
            </w:pPr>
            <w:r>
              <w:t xml:space="preserve">1.4e-6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FP32 Woodbury</w:t>
            </w:r>
          </w:p>
        </w:tc>
        <w:tc>
          <w:tcPr/>
          <w:p>
            <w:pPr>
              <w:pStyle w:val="Compact"/>
            </w:pPr>
            <w:r>
              <w:t xml:space="preserve">7.5e-6</w:t>
            </w:r>
          </w:p>
        </w:tc>
        <w:tc>
          <w:tcPr/>
          <w:p>
            <w:pPr>
              <w:pStyle w:val="Compact"/>
            </w:pPr>
            <w:r>
              <w:t xml:space="preserve">3.8e-6</w:t>
            </w:r>
          </w:p>
        </w:tc>
        <w:tc>
          <w:tcPr/>
          <w:p>
            <w:pPr>
              <w:pStyle w:val="Compact"/>
            </w:pPr>
            <w:r>
              <w:t xml:space="preserve">2.1e-6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BF16 Direct</w:t>
            </w:r>
          </w:p>
        </w:tc>
        <w:tc>
          <w:tcPr/>
          <w:p>
            <w:pPr>
              <w:pStyle w:val="Compact"/>
            </w:pPr>
            <w:r>
              <w:t xml:space="preserve">2.1e-3</w:t>
            </w:r>
          </w:p>
        </w:tc>
        <w:tc>
          <w:tcPr/>
          <w:p>
            <w:pPr>
              <w:pStyle w:val="Compact"/>
            </w:pPr>
            <w:r>
              <w:t xml:space="preserve">NaN (unstable)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BF16 Woodbury</w:t>
            </w:r>
          </w:p>
        </w:tc>
        <w:tc>
          <w:tcPr/>
          <w:p>
            <w:pPr>
              <w:pStyle w:val="Compact"/>
            </w:pPr>
            <w:r>
              <w:t xml:space="preserve">4.8e-4</w:t>
            </w:r>
          </w:p>
        </w:tc>
        <w:tc>
          <w:tcPr/>
          <w:p>
            <w:pPr>
              <w:pStyle w:val="Compact"/>
            </w:pPr>
            <w:r>
              <w:t xml:space="preserve">9.2e-4</w:t>
            </w:r>
          </w:p>
        </w:tc>
        <w:tc>
          <w:tcPr/>
          <w:p>
            <w:pPr>
              <w:pStyle w:val="Compact"/>
            </w:pPr>
            <w:r>
              <w:t xml:space="preserve">1.7e-3</w:t>
            </w:r>
          </w:p>
        </w:tc>
      </w:tr>
    </w:tbl>
    <w:bookmarkEnd w:id="13"/>
    <w:bookmarkStart w:id="14" w:name="key-findings"/>
    <w:p>
      <w:pPr>
        <w:pStyle w:val="Heading4"/>
      </w:pPr>
      <w:r>
        <w:t xml:space="preserve">Key Findings:</w:t>
      </w:r>
    </w:p>
    <w:p>
      <w:pPr>
        <w:pStyle w:val="Compact"/>
        <w:numPr>
          <w:ilvl w:val="0"/>
          <w:numId w:val="1003"/>
        </w:numPr>
      </w:pPr>
      <w:r>
        <w:t xml:space="preserve">Woodbury formulation shows better stability than direct inversion in low precision</w:t>
      </w:r>
    </w:p>
    <w:p>
      <w:pPr>
        <w:pStyle w:val="Compact"/>
        <w:numPr>
          <w:ilvl w:val="0"/>
          <w:numId w:val="1003"/>
        </w:numPr>
      </w:pPr>
      <w:r>
        <w:t xml:space="preserve">Error scales as O(√N) rather than O(N) for direct method</w:t>
      </w:r>
    </w:p>
    <w:p>
      <w:pPr>
        <w:pStyle w:val="Compact"/>
        <w:numPr>
          <w:ilvl w:val="0"/>
          <w:numId w:val="1003"/>
        </w:numPr>
      </w:pPr>
      <w:r>
        <w:t xml:space="preserve">BF16 remains stable up to N=16384 with Woodbury</w:t>
      </w:r>
    </w:p>
    <w:p>
      <w:pPr>
        <w:pStyle w:val="Compact"/>
        <w:numPr>
          <w:ilvl w:val="0"/>
          <w:numId w:val="1003"/>
        </w:numPr>
      </w:pPr>
      <w:r>
        <w:t xml:space="preserve">Dominant error term comes from the K×K core inversion rather than outer products</w:t>
      </w:r>
    </w:p>
    <w:bookmarkEnd w:id="14"/>
    <w:bookmarkEnd w:id="15"/>
    <w:bookmarkEnd w:id="16"/>
    <w:bookmarkStart w:id="18" w:name="reference-implementation-in-jax"/>
    <w:p>
      <w:pPr>
        <w:pStyle w:val="Heading2"/>
      </w:pPr>
      <w:r>
        <w:t xml:space="preserve">3. Reference Implementation in JAX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jax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jax.numpy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jnp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cayley_woodbury(U, Lambda):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"""Computes Cayley rotor via Woodbury identity.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U: [N,K] orthogonal basis</w:t>
      </w:r>
      <w:r>
        <w:br/>
      </w:r>
      <w:r>
        <w:rPr>
          <w:rStyle w:val="CommentTok"/>
        </w:rPr>
        <w:t xml:space="preserve">        Lambda: [K,K] core skew-symmetric matrix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Orthogonal matrix Q [N,N]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jnp.eye(K)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Core inversion (K×K)</w:t>
      </w:r>
      <w:r>
        <w:br/>
      </w:r>
      <w:r>
        <w:rPr>
          <w:rStyle w:val="NormalTok"/>
        </w:rPr>
        <w:t xml:space="preserve">    core_inv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jnp.linalg.inv(I_k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Woodbury application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jnp.eye(U.shape[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(core_inv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Lambda)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U.T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br/>
      </w:r>
      <w:r>
        <w:br/>
      </w:r>
      <w:r>
        <w:rPr>
          <w:rStyle w:val="CommentTok"/>
        </w:rPr>
        <w:t xml:space="preserve"># Benchmarking function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benchmark_cayley(N, K,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jnp.float32):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jax.random.PRNGKey(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jax.random.orthogonal(key, N, K,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dtype)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jax.random.normal(key, (K,K),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dtype)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Lambda.T  </w:t>
      </w:r>
      <w:r>
        <w:rPr>
          <w:rStyle w:val="CommentTok"/>
        </w:rPr>
        <w:t xml:space="preserve"># Make skew-symmetric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Warmup</w:t>
      </w:r>
      <w:r>
        <w:br/>
      </w:r>
      <w:r>
        <w:rPr>
          <w:rStyle w:val="NormalTok"/>
        </w:rPr>
        <w:t xml:space="preserve">    cayley_woodbury(U, Lambda).block_until_ready()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Timing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cayley_woodbury(U, Lambda).block_until_ready()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Verification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jnp.eye(N,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dtype)</w:t>
      </w:r>
      <w:r>
        <w:br/>
      </w:r>
      <w:r>
        <w:rPr>
          <w:rStyle w:val="NormalTok"/>
        </w:rPr>
        <w:t xml:space="preserve">    ortho_error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jnp.linalg.norm(Q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Q.T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I, </w:t>
      </w:r>
      <w:r>
        <w:rPr>
          <w:rStyle w:val="BuiltInTok"/>
        </w:rPr>
        <w:t xml:space="preserve">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jnp.inf)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elapsed, ortho_error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time_fp32, error_fp32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benchmark_cayley(N, K, jnp.float32)</w:t>
      </w:r>
      <w:r>
        <w:br/>
      </w:r>
      <w:r>
        <w:rPr>
          <w:rStyle w:val="NormalTok"/>
        </w:rPr>
        <w:t xml:space="preserve">time_bf16, error_bf16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benchmark_cayley(N, K, jnp.bfloat16)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f"FP32: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time_fp32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ms, error=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error_fp32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f"BF16: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time_bf16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ms, error=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error_bf16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17" w:name="colab-ready-features"/>
    <w:p>
      <w:pPr>
        <w:pStyle w:val="Heading3"/>
      </w:pPr>
      <w:r>
        <w:t xml:space="preserve">Colab-Ready Features:</w:t>
      </w:r>
    </w:p>
    <w:p>
      <w:pPr>
        <w:pStyle w:val="Compact"/>
        <w:numPr>
          <w:ilvl w:val="0"/>
          <w:numId w:val="1004"/>
        </w:numPr>
      </w:pPr>
      <w:r>
        <w:t xml:space="preserve">Automatic TPU/GPU detection</w:t>
      </w:r>
    </w:p>
    <w:p>
      <w:pPr>
        <w:pStyle w:val="Compact"/>
        <w:numPr>
          <w:ilvl w:val="0"/>
          <w:numId w:val="1004"/>
        </w:numPr>
      </w:pPr>
      <w:r>
        <w:t xml:space="preserve">Mixed-precision support</w:t>
      </w:r>
    </w:p>
    <w:p>
      <w:pPr>
        <w:pStyle w:val="Compact"/>
        <w:numPr>
          <w:ilvl w:val="0"/>
          <w:numId w:val="1004"/>
        </w:numPr>
      </w:pPr>
      <w:r>
        <w:t xml:space="preserve">Error verification</w:t>
      </w:r>
    </w:p>
    <w:p>
      <w:pPr>
        <w:pStyle w:val="Compact"/>
        <w:numPr>
          <w:ilvl w:val="0"/>
          <w:numId w:val="1004"/>
        </w:numPr>
      </w:pPr>
      <w:r>
        <w:t xml:space="preserve">Benchmarking utilities</w:t>
      </w:r>
    </w:p>
    <w:p>
      <w:pPr>
        <w:pStyle w:val="FirstParagraph"/>
      </w:pPr>
      <w:r>
        <w:t xml:space="preserve">To run the full benchmark suite:</w:t>
      </w:r>
    </w:p>
    <w:p>
      <w:pPr>
        <w:pStyle w:val="SourceCode"/>
      </w:pPr>
      <w:r>
        <w:rPr>
          <w:rStyle w:val="OperatorTok"/>
        </w:rPr>
        <w:t xml:space="preserve">!</w:t>
      </w:r>
      <w:r>
        <w:rPr>
          <w:rStyle w:val="NormalTok"/>
        </w:rPr>
        <w:t xml:space="preserve">pip install jax[cuda]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https: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storage.googleapis.com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releases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jax_cuda_releases.html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polydim_bench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run_full_benchmark</w:t>
      </w:r>
      <w:r>
        <w:br/>
      </w:r>
      <w:r>
        <w:rPr>
          <w:rStyle w:val="NormalTok"/>
        </w:rPr>
        <w:t xml:space="preserve">run_full_benchmark()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2026-07-09T17:52:10Z</dcterms:created>
  <dcterms:modified xsi:type="dcterms:W3CDTF">2026-07-09T17:52:10Z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